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6A561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05F143FD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7C29A4C3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75D3CC17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极地船舶油液高低温多功能稳定性测试仪</w:t>
      </w:r>
    </w:p>
    <w:p w14:paraId="3A6F3C59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比选文件</w:t>
      </w:r>
    </w:p>
    <w:p w14:paraId="746E0DD5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7F5B1C2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0B84232F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项目编号：</w:t>
      </w:r>
      <w:r>
        <w:rPr>
          <w:rFonts w:hint="eastAsia" w:ascii="方正兰亭黑简体" w:hAnsi="方正兰亭黑简体" w:eastAsia="方正兰亭黑简体" w:cs="方正兰亭黑简体"/>
          <w:color w:val="auto"/>
          <w:sz w:val="28"/>
          <w:szCs w:val="28"/>
          <w:highlight w:val="none"/>
          <w:lang w:val="en-US" w:eastAsia="zh-CN"/>
        </w:rPr>
        <w:t>HFBX2025070</w:t>
      </w:r>
    </w:p>
    <w:p w14:paraId="43E1A51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564BAAD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1CBECD87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77AEA8D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6AFBFE6C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18A2CE08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69F671C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0E2559B5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采购人：上海海事大学</w:t>
      </w:r>
    </w:p>
    <w:p w14:paraId="64BB972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二〇二五年七月</w:t>
      </w:r>
    </w:p>
    <w:p w14:paraId="4258C5C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5637B82A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第一章 比选公告</w:t>
      </w:r>
    </w:p>
    <w:p w14:paraId="54E46ED1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为公开、公正、公平地做好各项货物与服务的采购工作，进一步提高采购过程的透明度，有利于我校选择性价比更高的产品及更优质的服务，欢迎各供应单位本着务实友好的工作态度，积极参与，并做好成本核算，进行一次性报价。我校将本着公开、公正、公平的工作原则，对各供应单位所提供的资料，进行综合评议，择优选购。为确保本次比选采购项目采购工作的顺利开展，请各报价单位按照下述要求提供报价单等相关资料。具体要求及相关注意事项如下：</w:t>
      </w:r>
    </w:p>
    <w:p w14:paraId="5694D68E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一、项目基本情况</w:t>
      </w:r>
    </w:p>
    <w:p w14:paraId="6ED9240D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项目编号：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HFBX2025070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；</w:t>
      </w:r>
    </w:p>
    <w:p w14:paraId="40680CD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项目名称：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极地船舶油液高低温多功能稳定性测试仪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；</w:t>
      </w:r>
    </w:p>
    <w:p w14:paraId="49D3EF92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采购方式：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学校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比选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；</w:t>
      </w:r>
    </w:p>
    <w:p w14:paraId="11D14FFE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预算金额（亦是最高限价）：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人民币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27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万元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；</w:t>
      </w:r>
    </w:p>
    <w:p w14:paraId="192657F0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采购需求：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根据科研需求，需采购一台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极地船舶油液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高低温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多功能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稳定性测试仪。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拟采取比选方式实施采购。（具体要求详见比选文件—第二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章节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采购需求）。</w:t>
      </w:r>
    </w:p>
    <w:p w14:paraId="07A4D9AA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交付地址：上海市海港大道1550号。</w:t>
      </w:r>
    </w:p>
    <w:p w14:paraId="510A5FA0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交付时间：合同签订后30天内交货。</w:t>
      </w:r>
    </w:p>
    <w:p w14:paraId="14D35995">
      <w:pP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付款方式：合同内全部设备安装调试完成，经甲方验收合格后的一个月内，甲方应向乙方一次性支付全部合同款项。合同内全部款项均以“银行转账”方式予以支付。</w:t>
      </w:r>
    </w:p>
    <w:p w14:paraId="41BEA8D1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二、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报价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人的资格要求</w:t>
      </w:r>
    </w:p>
    <w:p w14:paraId="022E8766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1、符合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《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中华人民共和国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政府采购法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》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第二十二条之供应商资格规定。</w:t>
      </w:r>
    </w:p>
    <w:p w14:paraId="6441606B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2、供应商未被列入“信用中国”网站（www.creditchina.gov.cn）失信执行人名单、重大税收违法案件当事人名单，和中国政府采购网（www.ccgp.gov.cn）政府严重违法失信行为记录名单的供应商。</w:t>
      </w:r>
    </w:p>
    <w:p w14:paraId="3A3BF07A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3、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经营范围及拟投标货物（服务）符合本次比选要求，具有与本次投标货物（服务）相应的经营、代理（经销）资质，能全程参与并完成本项目，且具有较强的服务能力，以及畅通的问题响应机制和渠道等；</w:t>
      </w:r>
    </w:p>
    <w:p w14:paraId="3710B34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三、报名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要求</w:t>
      </w:r>
    </w:p>
    <w:p w14:paraId="04917284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报名邮箱、时间：不单独组织报名，意向单位可在截止日期前递交响应文件。</w:t>
      </w:r>
    </w:p>
    <w:p w14:paraId="24CD6CDE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四、获取采购文件</w:t>
      </w:r>
    </w:p>
    <w:p w14:paraId="5050A625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获取方式：公告页面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下方自行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下载</w:t>
      </w:r>
    </w:p>
    <w:p w14:paraId="4D745344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bookmarkStart w:id="0" w:name="_Toc28359005"/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五、现场踏勘</w:t>
      </w:r>
      <w:bookmarkEnd w:id="0"/>
    </w:p>
    <w:p w14:paraId="2C262256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不组织。</w:t>
      </w:r>
    </w:p>
    <w:p w14:paraId="213C8131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六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、响应文件提交</w:t>
      </w:r>
    </w:p>
    <w:p w14:paraId="231DF22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bookmarkStart w:id="1" w:name="_Toc35393795"/>
      <w:bookmarkEnd w:id="1"/>
      <w:bookmarkStart w:id="2" w:name="_Toc35393626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截止</w:t>
      </w:r>
      <w:bookmarkEnd w:id="2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时间：2025年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7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16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日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周三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上午11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时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00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分</w:t>
      </w:r>
    </w:p>
    <w:p w14:paraId="52EA2719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提交方式：发送盖章扫描版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PDF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到指定邮箱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邮件名称：项目编号+公司名称</w:t>
      </w:r>
    </w:p>
    <w:p w14:paraId="45738F2D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邮箱地址：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u w:val="none"/>
        </w:rPr>
        <w:t>quotation@shmtu.edu.cn</w:t>
      </w:r>
    </w:p>
    <w:p w14:paraId="7C16205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七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、其他补充事宜</w:t>
      </w:r>
    </w:p>
    <w:p w14:paraId="3C9CF2D2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1.中标结果将通过发布比选公告的媒介进行公示，公示期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为1个工作日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，公示期内如对中标结果有异议可向校方提出书面质疑。</w:t>
      </w:r>
      <w:bookmarkStart w:id="3" w:name="_Toc35393627"/>
    </w:p>
    <w:p w14:paraId="17FB2B9E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2.</w:t>
      </w:r>
      <w:bookmarkEnd w:id="3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凡对本次采购提出询问，请按以下方式联系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：</w:t>
      </w:r>
    </w:p>
    <w:p w14:paraId="53930B0F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商务信息：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老师021-3828470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7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、13764131075</w:t>
      </w:r>
    </w:p>
    <w:p w14:paraId="1CEF1F38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技术信息：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申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老师021-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38284816、18616020615</w:t>
      </w:r>
    </w:p>
    <w:p w14:paraId="13CA3734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</w:p>
    <w:p w14:paraId="2D28AC98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</w:p>
    <w:p w14:paraId="2AA81B6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4B9C0EF3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第二章 采购需求</w:t>
      </w:r>
    </w:p>
    <w:p w14:paraId="51F33760">
      <w:pPr>
        <w:rPr>
          <w:rFonts w:hint="default" w:ascii="Times New Roman" w:hAnsi="Times New Roman" w:eastAsia="方正兰亭黑简体" w:cs="Times New Roman"/>
          <w:b/>
          <w:bCs/>
          <w:color w:val="auto"/>
          <w:sz w:val="22"/>
          <w:szCs w:val="22"/>
          <w:highlight w:val="none"/>
          <w:lang w:eastAsia="zh-CN"/>
        </w:rPr>
      </w:pPr>
      <w:r>
        <w:rPr>
          <w:rFonts w:hint="default" w:ascii="Times New Roman" w:hAnsi="Times New Roman" w:eastAsia="方正兰亭黑简体" w:cs="Times New Roman"/>
          <w:b/>
          <w:bCs/>
          <w:color w:val="auto"/>
          <w:sz w:val="22"/>
          <w:szCs w:val="22"/>
          <w:highlight w:val="none"/>
          <w:lang w:val="en-US" w:eastAsia="zh-CN"/>
        </w:rPr>
        <w:t>一、产品功能</w:t>
      </w:r>
    </w:p>
    <w:p w14:paraId="18D6FAFA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（1）能模拟船舶液压油、润滑油等油液系统的运行过程和工作环境。</w:t>
      </w:r>
    </w:p>
    <w:p w14:paraId="0A66FACD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（2）可调节油液系统的运行时间，工作温度、压力、油液的流速及振动干扰频率等参数。</w:t>
      </w:r>
    </w:p>
    <w:p w14:paraId="1E627976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（3）支持采样离线或在线实时监测油液性能参数：该参数包括电阻率以及黏度和水含量等，以评估在不同环境条件下油液的稳定性。</w:t>
      </w:r>
    </w:p>
    <w:p w14:paraId="6CB4FC18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（4）产品数量：1台。</w:t>
      </w:r>
    </w:p>
    <w:p w14:paraId="5EC4688A">
      <w:pPr>
        <w:rPr>
          <w:rFonts w:hint="default" w:ascii="Times New Roman" w:hAnsi="Times New Roman" w:eastAsia="方正兰亭黑简体" w:cs="Times New Roman"/>
          <w:b/>
          <w:bCs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b/>
          <w:bCs/>
          <w:color w:val="auto"/>
          <w:sz w:val="22"/>
          <w:szCs w:val="22"/>
          <w:highlight w:val="none"/>
          <w:lang w:val="en-US" w:eastAsia="zh-CN"/>
        </w:rPr>
        <w:t>二、</w:t>
      </w:r>
      <w:r>
        <w:rPr>
          <w:rFonts w:hint="default" w:ascii="Times New Roman" w:hAnsi="Times New Roman" w:eastAsia="方正兰亭黑简体" w:cs="Times New Roman"/>
          <w:b/>
          <w:bCs/>
          <w:color w:val="auto"/>
          <w:sz w:val="22"/>
          <w:szCs w:val="22"/>
          <w:highlight w:val="none"/>
        </w:rPr>
        <w:t>技术参数</w:t>
      </w:r>
    </w:p>
    <w:p w14:paraId="5A149ADD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（1）设备占地面积不得大于6m²，高度不得大于2米，设备可方便移动。</w:t>
      </w:r>
    </w:p>
    <w:p w14:paraId="6385F2BD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（2）设备运行功率小于6</w:t>
      </w: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eastAsia="zh-CN"/>
        </w:rPr>
        <w:t>kW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。</w:t>
      </w:r>
    </w:p>
    <w:p w14:paraId="24BE306D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（3）设备能支持双通道并行工作，并可根据试验需求，选择任一或全部通道，以保证设备能同时支持两种油液同时开展试验</w:t>
      </w: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eastAsia="zh-CN"/>
        </w:rPr>
        <w:t>。</w:t>
      </w:r>
    </w:p>
    <w:p w14:paraId="2F54916D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（4）每个通道可独立设置不同油液工作参数，以保证试验顺利运行。</w:t>
      </w:r>
    </w:p>
    <w:p w14:paraId="5A5BD58B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（5）油液压力参数0～2MPa可调，油液温度要求在-20℃～80℃可调，油液流速范围在0~5m³/h可调，干扰振动频率为0~2MHz可调。</w:t>
      </w:r>
    </w:p>
    <w:p w14:paraId="101C1243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（6）设备需采用PLC控制，所有参数通过触摸屏设置，尺寸不得小于10寸，并可通过触摸屏实时显示设备运行状态。</w:t>
      </w:r>
    </w:p>
    <w:p w14:paraId="1FF542DF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（7）水含量传感器测量范围：0-30000ppm，精度：10ppm；运动粘度传感器测量范围：1-500cst，精度：0.1cst</w:t>
      </w:r>
    </w:p>
    <w:p w14:paraId="1F133723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电阻率传感器测量范围：1X10^9-1X10^12Ω·cm,精度：10%或6X10^9Ω·cm(二者取大值)</w:t>
      </w:r>
    </w:p>
    <w:p w14:paraId="3F36F030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（8）设备要求内置工业电脑，用于实验数据的记录和处理（配置要求：Windows10系统处理器 英特尔I5，内存8GB及以上，存储空间128GB及以上，支持USB和RS485接口）。</w:t>
      </w:r>
    </w:p>
    <w:p w14:paraId="209F7DE0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（9）设备内部管路要求为316不锈钢材质，设备框架可采用不锈钢或碳钢材质，若使用碳钢需进行烤漆处理。</w:t>
      </w:r>
    </w:p>
    <w:p w14:paraId="34E9720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三、其他要求</w:t>
      </w:r>
    </w:p>
    <w:p w14:paraId="6F1991E9">
      <w:pP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（</w:t>
      </w: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）</w:t>
      </w: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</w:rPr>
        <w:t>货物须为设备原厂制造并检验合格，全新、未被使用过。设备到货时，须确保产品包装完好、所有标识清晰、封条完整。</w:t>
      </w:r>
    </w:p>
    <w:p w14:paraId="7FC5A21A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eastAsia="zh-CN"/>
        </w:rPr>
        <w:t>（</w:t>
      </w: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eastAsia="zh-CN"/>
        </w:rPr>
        <w:t>）</w:t>
      </w: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验收要求：符合上述技术指标所提出的要求。</w:t>
      </w:r>
    </w:p>
    <w:p w14:paraId="32DC4794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eastAsia="zh-CN"/>
        </w:rPr>
        <w:t>（</w:t>
      </w: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eastAsia="zh-CN"/>
        </w:rPr>
        <w:t>）</w:t>
      </w: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售后要求：设备验收后，中标单位提供一年内免费质保维修服务。</w:t>
      </w:r>
    </w:p>
    <w:p w14:paraId="337864DB">
      <w:pP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br w:type="page"/>
      </w:r>
    </w:p>
    <w:p w14:paraId="6F08D747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第三章 评审办法</w:t>
      </w:r>
    </w:p>
    <w:p w14:paraId="69EFEE19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综合本项目的特点，根据相关法律法规的规定，本着保护竞争，维护采购工作公开、公平、公正原则，特制定本评审办法，作为选定本次采购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中标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人的依据。</w:t>
      </w:r>
    </w:p>
    <w:p w14:paraId="117C4525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1、成立比选评审小组</w:t>
      </w:r>
    </w:p>
    <w:p w14:paraId="49C58FDA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采购人将根据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货物与服务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的特点，依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规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组建比选小组，比选小组由3人或以上的单数组成。</w:t>
      </w:r>
    </w:p>
    <w:p w14:paraId="123C9161">
      <w:pPr>
        <w:numPr>
          <w:ilvl w:val="0"/>
          <w:numId w:val="0"/>
        </w:num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2、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具体评分细则如下：</w:t>
      </w:r>
    </w:p>
    <w:tbl>
      <w:tblPr>
        <w:tblStyle w:val="14"/>
        <w:tblW w:w="49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734"/>
        <w:gridCol w:w="713"/>
        <w:gridCol w:w="6830"/>
      </w:tblGrid>
      <w:tr w14:paraId="64002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9" w:type="pct"/>
            <w:noWrap w:val="0"/>
            <w:vAlign w:val="center"/>
          </w:tcPr>
          <w:p w14:paraId="742FB554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bCs/>
                <w:color w:val="auto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873" w:type="pct"/>
            <w:noWrap w:val="0"/>
            <w:vAlign w:val="center"/>
          </w:tcPr>
          <w:p w14:paraId="5F54B63A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bCs/>
                <w:color w:val="auto"/>
                <w:sz w:val="20"/>
                <w:szCs w:val="20"/>
                <w:highlight w:val="none"/>
              </w:rPr>
              <w:t>评审因素</w:t>
            </w:r>
          </w:p>
        </w:tc>
        <w:tc>
          <w:tcPr>
            <w:tcW w:w="359" w:type="pct"/>
            <w:noWrap w:val="0"/>
            <w:vAlign w:val="center"/>
          </w:tcPr>
          <w:p w14:paraId="25FE165D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bCs/>
                <w:color w:val="auto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3436" w:type="pct"/>
            <w:noWrap w:val="0"/>
            <w:vAlign w:val="center"/>
          </w:tcPr>
          <w:p w14:paraId="1A737473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bCs/>
                <w:color w:val="auto"/>
                <w:sz w:val="20"/>
                <w:szCs w:val="20"/>
                <w:highlight w:val="none"/>
              </w:rPr>
              <w:t>评分说明</w:t>
            </w:r>
          </w:p>
        </w:tc>
      </w:tr>
      <w:tr w14:paraId="41C4C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3FFFCA77">
            <w:pPr>
              <w:spacing w:line="36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一、价格部分</w:t>
            </w:r>
          </w:p>
        </w:tc>
      </w:tr>
      <w:tr w14:paraId="7E29D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9" w:type="pct"/>
            <w:noWrap w:val="0"/>
            <w:vAlign w:val="center"/>
          </w:tcPr>
          <w:p w14:paraId="10CE2961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873" w:type="pct"/>
            <w:noWrap w:val="0"/>
            <w:vAlign w:val="center"/>
          </w:tcPr>
          <w:p w14:paraId="69DFDD83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价格得分</w:t>
            </w:r>
          </w:p>
          <w:p w14:paraId="5224EE0B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59" w:type="pct"/>
            <w:noWrap w:val="0"/>
            <w:vAlign w:val="center"/>
          </w:tcPr>
          <w:p w14:paraId="4CB6FE52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30</w:t>
            </w:r>
          </w:p>
        </w:tc>
        <w:tc>
          <w:tcPr>
            <w:tcW w:w="3436" w:type="pct"/>
            <w:noWrap w:val="0"/>
            <w:vAlign w:val="center"/>
          </w:tcPr>
          <w:p w14:paraId="7EE17ECD">
            <w:pPr>
              <w:spacing w:line="36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采用低价优先法计算，即满足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比选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文件要求且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最低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的报价为基准价，其价格分为满分30分。其他报价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单位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的报价得分计算公式如下：</w:t>
            </w:r>
          </w:p>
          <w:p w14:paraId="00A2DA11">
            <w:pPr>
              <w:spacing w:line="36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报价得分＝30×（评标基准价/投标报价）。</w:t>
            </w:r>
          </w:p>
        </w:tc>
      </w:tr>
      <w:tr w14:paraId="1CE67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14AC1211">
            <w:pPr>
              <w:spacing w:line="36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二、商务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技术部分</w:t>
            </w:r>
          </w:p>
        </w:tc>
      </w:tr>
      <w:tr w14:paraId="603C3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9" w:type="pct"/>
            <w:noWrap w:val="0"/>
            <w:vAlign w:val="center"/>
          </w:tcPr>
          <w:p w14:paraId="69B44514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873" w:type="pct"/>
            <w:noWrap w:val="0"/>
            <w:vAlign w:val="center"/>
          </w:tcPr>
          <w:p w14:paraId="4BAF2162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经验业绩</w:t>
            </w:r>
          </w:p>
          <w:p w14:paraId="654A2B2C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59" w:type="pct"/>
            <w:noWrap w:val="0"/>
            <w:vAlign w:val="center"/>
          </w:tcPr>
          <w:p w14:paraId="7C2DAE44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3436" w:type="pct"/>
            <w:noWrap w:val="0"/>
            <w:vAlign w:val="center"/>
          </w:tcPr>
          <w:p w14:paraId="4A5A3383">
            <w:pPr>
              <w:spacing w:line="36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提供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近3年（合同签订日期自2022年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月1日起至今）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业绩案例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。（每提供1个得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分；最高得1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分）注：需提供相关业绩的合同复印件，否则将不予认可。</w:t>
            </w:r>
          </w:p>
        </w:tc>
      </w:tr>
      <w:tr w14:paraId="4674D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9" w:type="pct"/>
            <w:noWrap w:val="0"/>
            <w:vAlign w:val="center"/>
          </w:tcPr>
          <w:p w14:paraId="147D3766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873" w:type="pct"/>
            <w:noWrap w:val="0"/>
            <w:vAlign w:val="center"/>
          </w:tcPr>
          <w:p w14:paraId="069DEA50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技术响应程度</w:t>
            </w:r>
          </w:p>
          <w:p w14:paraId="1793C67A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59" w:type="pct"/>
            <w:noWrap w:val="0"/>
            <w:vAlign w:val="center"/>
          </w:tcPr>
          <w:p w14:paraId="70332D36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30</w:t>
            </w:r>
          </w:p>
        </w:tc>
        <w:tc>
          <w:tcPr>
            <w:tcW w:w="3436" w:type="pct"/>
            <w:shd w:val="clear" w:color="auto" w:fill="auto"/>
            <w:noWrap w:val="0"/>
            <w:vAlign w:val="center"/>
          </w:tcPr>
          <w:p w14:paraId="7461B042">
            <w:pPr>
              <w:spacing w:line="36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针对第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二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章中的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采购需求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：不满足技术条款的，每项扣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分；扣完为止。</w:t>
            </w:r>
          </w:p>
        </w:tc>
      </w:tr>
      <w:tr w14:paraId="32155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9" w:type="pct"/>
            <w:noWrap w:val="0"/>
            <w:vAlign w:val="center"/>
          </w:tcPr>
          <w:p w14:paraId="67884245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8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83A718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产品性能介绍</w:t>
            </w:r>
          </w:p>
          <w:p w14:paraId="1A5865D0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主观分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59" w:type="pct"/>
            <w:noWrap w:val="0"/>
            <w:vAlign w:val="center"/>
          </w:tcPr>
          <w:p w14:paraId="3662F0A0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3436" w:type="pct"/>
            <w:noWrap w:val="0"/>
            <w:vAlign w:val="center"/>
          </w:tcPr>
          <w:p w14:paraId="37F6985E">
            <w:pPr>
              <w:spacing w:line="36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优秀（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8～10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分）：详细介绍了产品的各项性能参数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。</w:t>
            </w:r>
          </w:p>
          <w:p w14:paraId="62A7189F">
            <w:pPr>
              <w:spacing w:line="36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良好（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5～7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分）：较全面地介绍了产品的性能参数。</w:t>
            </w:r>
          </w:p>
          <w:p w14:paraId="70A493C7">
            <w:pPr>
              <w:spacing w:line="36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一般（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2～4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分）：介绍了部分性能参数，但不够全面或详细。</w:t>
            </w:r>
          </w:p>
          <w:p w14:paraId="0BEE09AF">
            <w:pPr>
              <w:spacing w:line="36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较差（0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～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分）：性能参数介绍不完整或存在明显错误。</w:t>
            </w:r>
          </w:p>
        </w:tc>
      </w:tr>
      <w:tr w14:paraId="261A6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9" w:type="pct"/>
            <w:noWrap w:val="0"/>
            <w:vAlign w:val="center"/>
          </w:tcPr>
          <w:p w14:paraId="063649C8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pct"/>
            <w:noWrap w:val="0"/>
            <w:vAlign w:val="center"/>
          </w:tcPr>
          <w:p w14:paraId="555CFAE5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技术支持与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售后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服务</w:t>
            </w:r>
          </w:p>
          <w:p w14:paraId="1F53F634">
            <w:pPr>
              <w:pStyle w:val="13"/>
              <w:spacing w:line="360" w:lineRule="auto"/>
              <w:ind w:firstLine="200" w:firstLineChars="100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主观分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59" w:type="pct"/>
            <w:noWrap w:val="0"/>
            <w:vAlign w:val="center"/>
          </w:tcPr>
          <w:p w14:paraId="7D753253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3436" w:type="pct"/>
            <w:noWrap w:val="0"/>
            <w:vAlign w:val="center"/>
          </w:tcPr>
          <w:p w14:paraId="566D5B29">
            <w:pPr>
              <w:spacing w:line="36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优秀（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12～15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分）：提供了详尽的技术支持方案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以及售后服务方案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，包括快速响应机制、服务承诺等。</w:t>
            </w:r>
          </w:p>
          <w:p w14:paraId="1B650857">
            <w:pPr>
              <w:spacing w:line="36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良好（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8～11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分）：提供了较为全面的技术支持方案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和售后服务方案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，但计划不够详细。</w:t>
            </w:r>
          </w:p>
          <w:p w14:paraId="2E6A021F">
            <w:pPr>
              <w:spacing w:line="36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一般（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4～7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分）：方案较为简单，缺乏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具体的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计划。</w:t>
            </w:r>
          </w:p>
          <w:p w14:paraId="4BA27702">
            <w:pPr>
              <w:spacing w:line="36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较差（0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～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分）：未提供技术支持方案或售后服务承诺。</w:t>
            </w:r>
          </w:p>
        </w:tc>
      </w:tr>
    </w:tbl>
    <w:p w14:paraId="07B2BD1D">
      <w:pP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br w:type="page"/>
      </w:r>
    </w:p>
    <w:p w14:paraId="71E5B026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1440" w:right="1080" w:bottom="1440" w:left="1080" w:header="851" w:footer="992" w:gutter="0"/>
          <w:pgNumType w:fmt="decimal"/>
          <w:cols w:space="425" w:num="1"/>
          <w:docGrid w:type="lines" w:linePitch="312" w:charSpace="0"/>
        </w:sectPr>
      </w:pPr>
    </w:p>
    <w:p w14:paraId="3E74C2B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第四章 格式附件</w:t>
      </w:r>
    </w:p>
    <w:p w14:paraId="636BB61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附件1：报价单</w:t>
      </w:r>
    </w:p>
    <w:p w14:paraId="52D9A168">
      <w:pPr>
        <w:spacing w:line="440" w:lineRule="exact"/>
        <w:jc w:val="center"/>
        <w:rPr>
          <w:rFonts w:hint="default" w:ascii="宋体" w:hAnsi="宋体" w:eastAsia="宋体"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>报   价   单</w:t>
      </w:r>
    </w:p>
    <w:p w14:paraId="50E6B72B">
      <w:pPr>
        <w:spacing w:line="440" w:lineRule="exact"/>
        <w:jc w:val="left"/>
        <w:rPr>
          <w:rFonts w:hint="default" w:ascii="黑体" w:hAnsi="华文楷体" w:eastAsia="黑体"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 xml:space="preserve">TO: </w:t>
      </w:r>
      <w:r>
        <w:rPr>
          <w:rFonts w:hint="eastAsia" w:ascii="黑体" w:hAnsi="华文楷体" w:eastAsia="黑体"/>
          <w:color w:val="auto"/>
          <w:sz w:val="24"/>
          <w:highlight w:val="none"/>
        </w:rPr>
        <w:t xml:space="preserve"> 上海海事大学 </w:t>
      </w:r>
      <w:r>
        <w:rPr>
          <w:rFonts w:hint="eastAsia" w:ascii="黑体" w:hAnsi="华文楷体" w:eastAsia="黑体"/>
          <w:color w:val="auto"/>
          <w:sz w:val="24"/>
          <w:highlight w:val="none"/>
          <w:lang w:val="en-US" w:eastAsia="zh-CN"/>
        </w:rPr>
        <w:t>采购与招投标管理中心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 xml:space="preserve">   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  <w:lang w:val="en-US" w:eastAsia="zh-CN"/>
        </w:rPr>
        <w:t xml:space="preserve">          </w:t>
      </w:r>
      <w:r>
        <w:rPr>
          <w:rFonts w:hint="eastAsia" w:ascii="黑体" w:hAnsi="华文楷体" w:eastAsia="黑体"/>
          <w:color w:val="auto"/>
          <w:sz w:val="24"/>
          <w:highlight w:val="none"/>
          <w:lang w:val="en-US" w:eastAsia="zh-CN"/>
        </w:rPr>
        <w:t>项目编号：HFBX2025070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 xml:space="preserve">               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  <w:lang w:val="en-US" w:eastAsia="zh-CN"/>
        </w:rPr>
        <w:t xml:space="preserve">                    </w:t>
      </w:r>
    </w:p>
    <w:p w14:paraId="192C9FAF">
      <w:pPr>
        <w:spacing w:line="440" w:lineRule="exact"/>
        <w:rPr>
          <w:rFonts w:hint="eastAsia" w:ascii="方正仿宋_GB2312" w:hAnsi="方正仿宋_GB2312" w:eastAsia="方正仿宋_GB2312" w:cs="方正仿宋_GB2312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电子邮箱：</w: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begin"/>
      </w:r>
      <w:r>
        <w:rPr>
          <w:rFonts w:ascii="黑体" w:hAnsi="华文楷体" w:eastAsia="黑体"/>
          <w:b/>
          <w:color w:val="auto"/>
          <w:sz w:val="24"/>
          <w:highlight w:val="none"/>
        </w:rPr>
        <w:instrText xml:space="preserve"> HYPERLINK "mailto:quotation@shmtu.edu.cn" </w:instrTex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separate"/>
      </w:r>
      <w:r>
        <w:rPr>
          <w:rStyle w:val="18"/>
          <w:rFonts w:ascii="黑体" w:hAnsi="华文楷体" w:eastAsia="黑体"/>
          <w:b/>
          <w:color w:val="auto"/>
          <w:sz w:val="24"/>
          <w:highlight w:val="none"/>
        </w:rPr>
        <w:t>quotation@shmtu.edu.cn</w: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end"/>
      </w:r>
    </w:p>
    <w:p w14:paraId="1D25A65B">
      <w:pPr>
        <w:spacing w:line="440" w:lineRule="exact"/>
        <w:rPr>
          <w:rFonts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公司名称：</w:t>
      </w:r>
      <w:r>
        <w:rPr>
          <w:rFonts w:hint="eastAsia" w:ascii="黑体" w:hAnsi="华文楷体" w:eastAsia="黑体"/>
          <w:color w:val="auto"/>
          <w:sz w:val="24"/>
          <w:highlight w:val="none"/>
        </w:rPr>
        <w:t xml:space="preserve">                                                </w:t>
      </w:r>
      <w:r>
        <w:rPr>
          <w:rFonts w:hint="eastAsia" w:ascii="黑体" w:hAnsi="华文楷体" w:eastAsia="黑体"/>
          <w:b/>
          <w:color w:val="auto"/>
          <w:sz w:val="24"/>
          <w:highlight w:val="none"/>
        </w:rPr>
        <w:t>联系人：</w:t>
      </w:r>
    </w:p>
    <w:p w14:paraId="0416696A">
      <w:pPr>
        <w:spacing w:line="440" w:lineRule="exact"/>
        <w:rPr>
          <w:rFonts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电子邮箱：                                                公司地址：</w:t>
      </w:r>
    </w:p>
    <w:p w14:paraId="096E10B9">
      <w:pPr>
        <w:spacing w:line="440" w:lineRule="exact"/>
        <w:rPr>
          <w:rFonts w:hint="eastAsia"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电话：                                                    联系人手机：</w:t>
      </w:r>
    </w:p>
    <w:p w14:paraId="35F2988C">
      <w:pPr>
        <w:spacing w:line="440" w:lineRule="exact"/>
        <w:rPr>
          <w:rFonts w:hint="eastAsia" w:ascii="黑体" w:hAnsi="华文楷体" w:eastAsia="黑体"/>
          <w:b/>
          <w:color w:val="auto"/>
          <w:sz w:val="24"/>
          <w:highlight w:val="none"/>
        </w:rPr>
      </w:pPr>
    </w:p>
    <w:tbl>
      <w:tblPr>
        <w:tblStyle w:val="1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2062"/>
        <w:gridCol w:w="971"/>
        <w:gridCol w:w="1463"/>
        <w:gridCol w:w="581"/>
        <w:gridCol w:w="876"/>
        <w:gridCol w:w="876"/>
        <w:gridCol w:w="1230"/>
        <w:gridCol w:w="1397"/>
      </w:tblGrid>
      <w:tr w14:paraId="48147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tcBorders>
              <w:top w:val="single" w:color="auto" w:sz="12" w:space="0"/>
              <w:left w:val="single" w:color="auto" w:sz="12" w:space="0"/>
              <w:bottom w:val="double" w:color="auto" w:sz="4" w:space="0"/>
            </w:tcBorders>
            <w:noWrap w:val="0"/>
            <w:vAlign w:val="center"/>
          </w:tcPr>
          <w:p w14:paraId="67E92170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036" w:type="pct"/>
            <w:tcBorders>
              <w:top w:val="single" w:color="auto" w:sz="12" w:space="0"/>
              <w:bottom w:val="double" w:color="auto" w:sz="4" w:space="0"/>
            </w:tcBorders>
            <w:noWrap w:val="0"/>
            <w:vAlign w:val="center"/>
          </w:tcPr>
          <w:p w14:paraId="5FFC86E8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产品名称</w:t>
            </w:r>
          </w:p>
        </w:tc>
        <w:tc>
          <w:tcPr>
            <w:tcW w:w="488" w:type="pct"/>
            <w:tcBorders>
              <w:top w:val="single" w:color="auto" w:sz="12" w:space="0"/>
              <w:bottom w:val="double" w:color="auto" w:sz="4" w:space="0"/>
            </w:tcBorders>
            <w:noWrap w:val="0"/>
            <w:vAlign w:val="center"/>
          </w:tcPr>
          <w:p w14:paraId="5F8969CF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品牌</w:t>
            </w:r>
          </w:p>
        </w:tc>
        <w:tc>
          <w:tcPr>
            <w:tcW w:w="733" w:type="pct"/>
            <w:tcBorders>
              <w:top w:val="single" w:color="auto" w:sz="12" w:space="0"/>
              <w:bottom w:val="double" w:color="auto" w:sz="4" w:space="0"/>
            </w:tcBorders>
            <w:noWrap w:val="0"/>
            <w:vAlign w:val="center"/>
          </w:tcPr>
          <w:p w14:paraId="16AB36D0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型号规格</w:t>
            </w:r>
          </w:p>
        </w:tc>
        <w:tc>
          <w:tcPr>
            <w:tcW w:w="292" w:type="pct"/>
            <w:tcBorders>
              <w:top w:val="single" w:color="auto" w:sz="12" w:space="0"/>
              <w:bottom w:val="double" w:color="auto" w:sz="4" w:space="0"/>
            </w:tcBorders>
            <w:noWrap w:val="0"/>
            <w:vAlign w:val="center"/>
          </w:tcPr>
          <w:p w14:paraId="7A41A9BF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数量</w:t>
            </w:r>
          </w:p>
        </w:tc>
        <w:tc>
          <w:tcPr>
            <w:tcW w:w="440" w:type="pct"/>
            <w:tcBorders>
              <w:top w:val="single" w:color="auto" w:sz="12" w:space="0"/>
              <w:bottom w:val="double" w:color="auto" w:sz="4" w:space="0"/>
            </w:tcBorders>
            <w:noWrap w:val="0"/>
            <w:vAlign w:val="center"/>
          </w:tcPr>
          <w:p w14:paraId="22044959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单价</w:t>
            </w:r>
          </w:p>
        </w:tc>
        <w:tc>
          <w:tcPr>
            <w:tcW w:w="440" w:type="pct"/>
            <w:tcBorders>
              <w:top w:val="single" w:color="auto" w:sz="12" w:space="0"/>
              <w:bottom w:val="double" w:color="auto" w:sz="4" w:space="0"/>
            </w:tcBorders>
            <w:noWrap w:val="0"/>
            <w:vAlign w:val="center"/>
          </w:tcPr>
          <w:p w14:paraId="61A1F830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金额</w:t>
            </w:r>
          </w:p>
        </w:tc>
        <w:tc>
          <w:tcPr>
            <w:tcW w:w="618" w:type="pct"/>
            <w:tcBorders>
              <w:top w:val="single" w:color="auto" w:sz="12" w:space="0"/>
              <w:bottom w:val="double" w:color="auto" w:sz="4" w:space="0"/>
            </w:tcBorders>
            <w:noWrap w:val="0"/>
            <w:vAlign w:val="center"/>
          </w:tcPr>
          <w:p w14:paraId="2F9A1E62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质保时间</w:t>
            </w:r>
          </w:p>
        </w:tc>
        <w:tc>
          <w:tcPr>
            <w:tcW w:w="700" w:type="pct"/>
            <w:tcBorders>
              <w:top w:val="single" w:color="auto" w:sz="12" w:space="0"/>
              <w:bottom w:val="double" w:color="auto" w:sz="4" w:space="0"/>
              <w:right w:val="single" w:color="auto" w:sz="12" w:space="0"/>
            </w:tcBorders>
            <w:noWrap w:val="0"/>
            <w:vAlign w:val="center"/>
          </w:tcPr>
          <w:p w14:paraId="09E42E8D">
            <w:pPr>
              <w:spacing w:line="440" w:lineRule="exact"/>
              <w:jc w:val="center"/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  <w:t>最快供货</w:t>
            </w: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  <w:lang w:val="en-US" w:eastAsia="zh-CN"/>
              </w:rPr>
              <w:t>时间</w:t>
            </w:r>
          </w:p>
        </w:tc>
      </w:tr>
      <w:tr w14:paraId="6076E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tcBorders>
              <w:top w:val="double" w:color="auto" w:sz="4" w:space="0"/>
              <w:left w:val="single" w:color="auto" w:sz="12" w:space="0"/>
            </w:tcBorders>
            <w:noWrap w:val="0"/>
            <w:vAlign w:val="top"/>
          </w:tcPr>
          <w:p w14:paraId="6904F50E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2312" w:hAnsi="华文楷体" w:eastAsia="方正仿宋_GB2312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036" w:type="pct"/>
            <w:tcBorders>
              <w:top w:val="double" w:color="auto" w:sz="4" w:space="0"/>
            </w:tcBorders>
            <w:noWrap w:val="0"/>
            <w:vAlign w:val="center"/>
          </w:tcPr>
          <w:p w14:paraId="2716FB82">
            <w:pPr>
              <w:ind w:left="-63" w:leftChars="-30" w:right="-63" w:rightChars="-3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88" w:type="pct"/>
            <w:tcBorders>
              <w:top w:val="double" w:color="auto" w:sz="4" w:space="0"/>
            </w:tcBorders>
            <w:noWrap w:val="0"/>
            <w:vAlign w:val="top"/>
          </w:tcPr>
          <w:p w14:paraId="68C63CC3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3" w:type="pct"/>
            <w:tcBorders>
              <w:top w:val="double" w:color="auto" w:sz="4" w:space="0"/>
            </w:tcBorders>
            <w:noWrap w:val="0"/>
            <w:vAlign w:val="top"/>
          </w:tcPr>
          <w:p w14:paraId="2062DBEC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92" w:type="pct"/>
            <w:tcBorders>
              <w:top w:val="double" w:color="auto" w:sz="4" w:space="0"/>
            </w:tcBorders>
            <w:noWrap w:val="0"/>
            <w:vAlign w:val="top"/>
          </w:tcPr>
          <w:p w14:paraId="5576A539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tcBorders>
              <w:top w:val="double" w:color="auto" w:sz="4" w:space="0"/>
            </w:tcBorders>
            <w:noWrap w:val="0"/>
            <w:vAlign w:val="top"/>
          </w:tcPr>
          <w:p w14:paraId="3366DAB2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tcBorders>
              <w:top w:val="double" w:color="auto" w:sz="4" w:space="0"/>
            </w:tcBorders>
            <w:noWrap w:val="0"/>
            <w:vAlign w:val="top"/>
          </w:tcPr>
          <w:p w14:paraId="45D03D7C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8" w:type="pct"/>
            <w:tcBorders>
              <w:top w:val="double" w:color="auto" w:sz="4" w:space="0"/>
            </w:tcBorders>
            <w:noWrap w:val="0"/>
            <w:vAlign w:val="top"/>
          </w:tcPr>
          <w:p w14:paraId="014679F0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0" w:type="pct"/>
            <w:tcBorders>
              <w:top w:val="double" w:color="auto" w:sz="4" w:space="0"/>
              <w:right w:val="single" w:color="auto" w:sz="12" w:space="0"/>
            </w:tcBorders>
            <w:noWrap w:val="0"/>
            <w:vAlign w:val="top"/>
          </w:tcPr>
          <w:p w14:paraId="605E89B2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32388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tcBorders>
              <w:left w:val="single" w:color="auto" w:sz="12" w:space="0"/>
            </w:tcBorders>
            <w:noWrap w:val="0"/>
            <w:vAlign w:val="top"/>
          </w:tcPr>
          <w:p w14:paraId="29977C73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2312" w:hAnsi="华文楷体" w:eastAsia="方正仿宋_GB2312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036" w:type="pct"/>
            <w:noWrap w:val="0"/>
            <w:vAlign w:val="center"/>
          </w:tcPr>
          <w:p w14:paraId="2866E2D0">
            <w:pPr>
              <w:ind w:left="-63" w:leftChars="-30" w:right="-63" w:rightChars="-3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88" w:type="pct"/>
            <w:noWrap w:val="0"/>
            <w:vAlign w:val="top"/>
          </w:tcPr>
          <w:p w14:paraId="0669C2FF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3" w:type="pct"/>
            <w:noWrap w:val="0"/>
            <w:vAlign w:val="top"/>
          </w:tcPr>
          <w:p w14:paraId="4D504156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92" w:type="pct"/>
            <w:noWrap w:val="0"/>
            <w:vAlign w:val="top"/>
          </w:tcPr>
          <w:p w14:paraId="74F4D8E1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noWrap w:val="0"/>
            <w:vAlign w:val="top"/>
          </w:tcPr>
          <w:p w14:paraId="27571361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noWrap w:val="0"/>
            <w:vAlign w:val="top"/>
          </w:tcPr>
          <w:p w14:paraId="45E1288F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8" w:type="pct"/>
            <w:noWrap w:val="0"/>
            <w:vAlign w:val="top"/>
          </w:tcPr>
          <w:p w14:paraId="5DDB1CC9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0" w:type="pct"/>
            <w:tcBorders>
              <w:right w:val="single" w:color="auto" w:sz="12" w:space="0"/>
            </w:tcBorders>
            <w:noWrap w:val="0"/>
            <w:vAlign w:val="top"/>
          </w:tcPr>
          <w:p w14:paraId="6BB70514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66928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tcBorders>
              <w:left w:val="single" w:color="auto" w:sz="12" w:space="0"/>
              <w:bottom w:val="single" w:color="auto" w:sz="4" w:space="0"/>
            </w:tcBorders>
            <w:noWrap w:val="0"/>
            <w:vAlign w:val="top"/>
          </w:tcPr>
          <w:p w14:paraId="5E49ACAD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2312" w:hAnsi="华文楷体" w:eastAsia="方正仿宋_GB2312"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1036" w:type="pct"/>
            <w:tcBorders>
              <w:bottom w:val="single" w:color="auto" w:sz="4" w:space="0"/>
            </w:tcBorders>
            <w:noWrap w:val="0"/>
            <w:vAlign w:val="center"/>
          </w:tcPr>
          <w:p w14:paraId="2D958EE1">
            <w:pPr>
              <w:ind w:left="-42" w:leftChars="-20" w:right="-42" w:rightChars="-2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88" w:type="pct"/>
            <w:tcBorders>
              <w:bottom w:val="single" w:color="auto" w:sz="4" w:space="0"/>
            </w:tcBorders>
            <w:noWrap w:val="0"/>
            <w:vAlign w:val="top"/>
          </w:tcPr>
          <w:p w14:paraId="6B0A81D6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3" w:type="pct"/>
            <w:tcBorders>
              <w:bottom w:val="single" w:color="auto" w:sz="4" w:space="0"/>
            </w:tcBorders>
            <w:noWrap w:val="0"/>
            <w:vAlign w:val="top"/>
          </w:tcPr>
          <w:p w14:paraId="58841A2F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92" w:type="pct"/>
            <w:tcBorders>
              <w:bottom w:val="single" w:color="auto" w:sz="4" w:space="0"/>
            </w:tcBorders>
            <w:noWrap w:val="0"/>
            <w:vAlign w:val="top"/>
          </w:tcPr>
          <w:p w14:paraId="26802B6E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tcBorders>
              <w:bottom w:val="single" w:color="auto" w:sz="4" w:space="0"/>
            </w:tcBorders>
            <w:noWrap w:val="0"/>
            <w:vAlign w:val="top"/>
          </w:tcPr>
          <w:p w14:paraId="2ECBBA3C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tcBorders>
              <w:bottom w:val="single" w:color="auto" w:sz="4" w:space="0"/>
            </w:tcBorders>
            <w:noWrap w:val="0"/>
            <w:vAlign w:val="top"/>
          </w:tcPr>
          <w:p w14:paraId="747E5F99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8" w:type="pct"/>
            <w:tcBorders>
              <w:bottom w:val="single" w:color="auto" w:sz="4" w:space="0"/>
            </w:tcBorders>
            <w:noWrap w:val="0"/>
            <w:vAlign w:val="top"/>
          </w:tcPr>
          <w:p w14:paraId="5140F715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0" w:type="pct"/>
            <w:tcBorders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7F3F6EF0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5A9D0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8" w:type="pct"/>
            <w:tcBorders>
              <w:left w:val="single" w:color="auto" w:sz="12" w:space="0"/>
              <w:bottom w:val="single" w:color="auto" w:sz="4" w:space="0"/>
            </w:tcBorders>
            <w:noWrap w:val="0"/>
            <w:vAlign w:val="top"/>
          </w:tcPr>
          <w:p w14:paraId="22131CE2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2312" w:hAnsi="华文楷体" w:eastAsia="方正仿宋_GB2312"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1036" w:type="pct"/>
            <w:tcBorders>
              <w:bottom w:val="single" w:color="auto" w:sz="4" w:space="0"/>
            </w:tcBorders>
            <w:noWrap w:val="0"/>
            <w:vAlign w:val="top"/>
          </w:tcPr>
          <w:p w14:paraId="6938BE08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88" w:type="pct"/>
            <w:tcBorders>
              <w:bottom w:val="single" w:color="auto" w:sz="4" w:space="0"/>
            </w:tcBorders>
            <w:noWrap w:val="0"/>
            <w:vAlign w:val="top"/>
          </w:tcPr>
          <w:p w14:paraId="4CD1A541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3" w:type="pct"/>
            <w:tcBorders>
              <w:bottom w:val="single" w:color="auto" w:sz="4" w:space="0"/>
            </w:tcBorders>
            <w:noWrap w:val="0"/>
            <w:vAlign w:val="top"/>
          </w:tcPr>
          <w:p w14:paraId="337FC115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92" w:type="pct"/>
            <w:tcBorders>
              <w:bottom w:val="single" w:color="auto" w:sz="4" w:space="0"/>
            </w:tcBorders>
            <w:noWrap w:val="0"/>
            <w:vAlign w:val="top"/>
          </w:tcPr>
          <w:p w14:paraId="3C03B4F1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tcBorders>
              <w:bottom w:val="single" w:color="auto" w:sz="4" w:space="0"/>
            </w:tcBorders>
            <w:noWrap w:val="0"/>
            <w:vAlign w:val="top"/>
          </w:tcPr>
          <w:p w14:paraId="47DA722A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tcBorders>
              <w:bottom w:val="single" w:color="auto" w:sz="4" w:space="0"/>
            </w:tcBorders>
            <w:noWrap w:val="0"/>
            <w:vAlign w:val="top"/>
          </w:tcPr>
          <w:p w14:paraId="76A33D3C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8" w:type="pct"/>
            <w:tcBorders>
              <w:bottom w:val="single" w:color="auto" w:sz="4" w:space="0"/>
            </w:tcBorders>
            <w:noWrap w:val="0"/>
            <w:vAlign w:val="top"/>
          </w:tcPr>
          <w:p w14:paraId="751F0F09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0" w:type="pct"/>
            <w:tcBorders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0B4D1DA3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72A11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tcBorders>
              <w:left w:val="single" w:color="auto" w:sz="12" w:space="0"/>
              <w:bottom w:val="single" w:color="auto" w:sz="4" w:space="0"/>
            </w:tcBorders>
            <w:noWrap w:val="0"/>
            <w:vAlign w:val="top"/>
          </w:tcPr>
          <w:p w14:paraId="6A9F333C">
            <w:pPr>
              <w:spacing w:line="440" w:lineRule="exact"/>
              <w:jc w:val="center"/>
              <w:rPr>
                <w:rFonts w:hint="eastAsia"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2312" w:hAnsi="华文楷体" w:eastAsia="方正仿宋_GB2312"/>
                <w:color w:val="auto"/>
                <w:kern w:val="0"/>
                <w:sz w:val="24"/>
                <w:highlight w:val="none"/>
              </w:rPr>
              <w:t>5</w:t>
            </w:r>
          </w:p>
        </w:tc>
        <w:tc>
          <w:tcPr>
            <w:tcW w:w="1036" w:type="pct"/>
            <w:tcBorders>
              <w:bottom w:val="single" w:color="auto" w:sz="4" w:space="0"/>
            </w:tcBorders>
            <w:noWrap w:val="0"/>
            <w:vAlign w:val="top"/>
          </w:tcPr>
          <w:p w14:paraId="5ED63A4B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88" w:type="pct"/>
            <w:tcBorders>
              <w:bottom w:val="single" w:color="auto" w:sz="4" w:space="0"/>
            </w:tcBorders>
            <w:noWrap w:val="0"/>
            <w:vAlign w:val="top"/>
          </w:tcPr>
          <w:p w14:paraId="49A78B8A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3" w:type="pct"/>
            <w:tcBorders>
              <w:bottom w:val="single" w:color="auto" w:sz="4" w:space="0"/>
            </w:tcBorders>
            <w:noWrap w:val="0"/>
            <w:vAlign w:val="top"/>
          </w:tcPr>
          <w:p w14:paraId="2EEE3065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92" w:type="pct"/>
            <w:tcBorders>
              <w:bottom w:val="single" w:color="auto" w:sz="4" w:space="0"/>
            </w:tcBorders>
            <w:noWrap w:val="0"/>
            <w:vAlign w:val="top"/>
          </w:tcPr>
          <w:p w14:paraId="270F8717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tcBorders>
              <w:bottom w:val="single" w:color="auto" w:sz="4" w:space="0"/>
            </w:tcBorders>
            <w:noWrap w:val="0"/>
            <w:vAlign w:val="top"/>
          </w:tcPr>
          <w:p w14:paraId="2A4C7C00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tcBorders>
              <w:bottom w:val="single" w:color="auto" w:sz="4" w:space="0"/>
            </w:tcBorders>
            <w:noWrap w:val="0"/>
            <w:vAlign w:val="top"/>
          </w:tcPr>
          <w:p w14:paraId="6028EA0C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8" w:type="pct"/>
            <w:tcBorders>
              <w:bottom w:val="single" w:color="auto" w:sz="4" w:space="0"/>
            </w:tcBorders>
            <w:noWrap w:val="0"/>
            <w:vAlign w:val="top"/>
          </w:tcPr>
          <w:p w14:paraId="7530FD9C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0" w:type="pct"/>
            <w:tcBorders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1CF8882E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512FF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7" w:type="pct"/>
            <w:gridSpan w:val="4"/>
            <w:tcBorders>
              <w:top w:val="double" w:color="auto" w:sz="4" w:space="0"/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 w14:paraId="57ECA68A">
            <w:pPr>
              <w:spacing w:line="440" w:lineRule="exact"/>
              <w:jc w:val="center"/>
              <w:rPr>
                <w:rFonts w:hint="eastAsia" w:ascii="黑体" w:hAnsi="华文楷体" w:eastAsia="黑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 w:cs="Times New Roman"/>
                <w:color w:val="auto"/>
                <w:kern w:val="0"/>
                <w:sz w:val="24"/>
                <w:highlight w:val="none"/>
              </w:rPr>
              <w:t>合计金额（人民币）</w:t>
            </w:r>
          </w:p>
        </w:tc>
        <w:tc>
          <w:tcPr>
            <w:tcW w:w="2492" w:type="pct"/>
            <w:gridSpan w:val="5"/>
            <w:tcBorders>
              <w:top w:val="doub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5C538379">
            <w:pPr>
              <w:spacing w:line="440" w:lineRule="exact"/>
              <w:jc w:val="center"/>
              <w:rPr>
                <w:rFonts w:hint="eastAsia" w:ascii="黑体" w:hAnsi="华文楷体" w:eastAsia="黑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 w:cs="Times New Roman"/>
                <w:color w:val="auto"/>
                <w:kern w:val="0"/>
                <w:sz w:val="24"/>
                <w:highlight w:val="none"/>
              </w:rPr>
              <w:t xml:space="preserve">￥           （大写）：                               </w:t>
            </w:r>
          </w:p>
        </w:tc>
      </w:tr>
    </w:tbl>
    <w:p w14:paraId="655247D5">
      <w:pPr>
        <w:spacing w:line="440" w:lineRule="exact"/>
        <w:rPr>
          <w:rFonts w:hint="eastAsia" w:ascii="黑体" w:hAnsi="华文楷体" w:eastAsia="黑体"/>
          <w:b/>
          <w:color w:val="auto"/>
          <w:sz w:val="24"/>
          <w:highlight w:val="none"/>
        </w:rPr>
      </w:pPr>
    </w:p>
    <w:p w14:paraId="2181F384">
      <w:pPr>
        <w:spacing w:line="440" w:lineRule="exact"/>
        <w:rPr>
          <w:rFonts w:hint="eastAsia" w:ascii="黑体" w:hAnsi="华文楷体" w:eastAsia="黑体"/>
          <w:b/>
          <w:color w:val="auto"/>
          <w:sz w:val="24"/>
          <w:highlight w:val="none"/>
        </w:rPr>
      </w:pPr>
    </w:p>
    <w:p w14:paraId="5E23D6EF">
      <w:pPr>
        <w:pStyle w:val="13"/>
        <w:ind w:left="0" w:leftChars="0" w:firstLine="0" w:firstLineChars="0"/>
        <w:rPr>
          <w:rFonts w:hint="eastAsia"/>
          <w:color w:val="auto"/>
          <w:highlight w:val="none"/>
        </w:rPr>
      </w:pPr>
    </w:p>
    <w:p w14:paraId="296AA70E">
      <w:pPr>
        <w:spacing w:line="440" w:lineRule="exact"/>
        <w:rPr>
          <w:rFonts w:ascii="黑体" w:hAnsi="华文楷体" w:eastAsia="黑体"/>
          <w:color w:val="auto"/>
          <w:sz w:val="24"/>
          <w:highlight w:val="none"/>
        </w:rPr>
      </w:pPr>
      <w:r>
        <w:rPr>
          <w:rFonts w:hint="eastAsia" w:ascii="黑体" w:hAnsi="华文楷体" w:eastAsia="黑体"/>
          <w:color w:val="auto"/>
          <w:sz w:val="24"/>
          <w:highlight w:val="none"/>
        </w:rPr>
        <w:t>公司名称（盖章）：          委托代理人（签字）：        报价日期：      年    月   日</w:t>
      </w:r>
    </w:p>
    <w:p w14:paraId="345567A0">
      <w:pPr>
        <w:rPr>
          <w:rFonts w:hint="eastAsia" w:ascii="黑体" w:hAnsi="华文楷体" w:eastAsia="黑体"/>
          <w:color w:val="auto"/>
          <w:szCs w:val="21"/>
          <w:highlight w:val="none"/>
        </w:rPr>
      </w:pPr>
    </w:p>
    <w:p w14:paraId="24F3C11F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>报价说明：1、报价公司提供的上述产品，应完全满足或者优于我校提出的需求。</w:t>
      </w:r>
    </w:p>
    <w:p w14:paraId="6C546935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2、如属非标配产品，其技术指标（特别是优于我校需求的部分）请另行附页说明。</w:t>
      </w:r>
    </w:p>
    <w:p w14:paraId="360E75B8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3、特殊的售后服务措施、代理证明情况等需要说明的，请另行附页说明。</w:t>
      </w:r>
    </w:p>
    <w:p w14:paraId="4A21681F">
      <w:pPr>
        <w:rPr>
          <w:rFonts w:hint="eastAsia"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4、报价单附页（如有）共</w:t>
      </w:r>
      <w:r>
        <w:rPr>
          <w:rFonts w:hint="eastAsia" w:ascii="黑体" w:hAnsi="华文楷体" w:eastAsia="黑体"/>
          <w:color w:val="auto"/>
          <w:szCs w:val="21"/>
          <w:highlight w:val="none"/>
          <w:u w:val="single"/>
        </w:rPr>
        <w:t xml:space="preserve">      </w:t>
      </w:r>
      <w:r>
        <w:rPr>
          <w:rFonts w:hint="eastAsia" w:ascii="黑体" w:hAnsi="华文楷体" w:eastAsia="黑体"/>
          <w:color w:val="auto"/>
          <w:szCs w:val="21"/>
          <w:highlight w:val="none"/>
        </w:rPr>
        <w:t>页。</w:t>
      </w:r>
    </w:p>
    <w:p w14:paraId="4403A77C">
      <w:pP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br w:type="page"/>
      </w:r>
    </w:p>
    <w:p w14:paraId="0D7FB27B">
      <w:pPr>
        <w:spacing w:after="120" w:afterLines="50" w:line="240" w:lineRule="auto"/>
        <w:ind w:left="0" w:leftChars="0" w:firstLine="0" w:firstLineChars="0"/>
        <w:jc w:val="center"/>
        <w:rPr>
          <w:rFonts w:ascii="仿宋" w:hAnsi="仿宋" w:eastAsia="仿宋"/>
          <w:b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t>报</w:t>
      </w:r>
      <w:bookmarkStart w:id="4" w:name="_GoBack"/>
      <w:bookmarkEnd w:id="4"/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t>价</w:t>
      </w: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</w:rPr>
        <w:t>承诺函</w:t>
      </w:r>
    </w:p>
    <w:p w14:paraId="154139ED">
      <w:pPr>
        <w:spacing w:after="120" w:afterLines="50" w:line="240" w:lineRule="auto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致：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上海海事大学</w:t>
      </w:r>
    </w:p>
    <w:p w14:paraId="37C42137">
      <w:pPr>
        <w:spacing w:after="120" w:afterLines="50" w:line="240" w:lineRule="auto"/>
        <w:ind w:left="0" w:leftChars="0" w:firstLine="480" w:firstLineChars="20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我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公司在参加本次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比选采购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活动中，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作出如下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承诺：</w:t>
      </w:r>
    </w:p>
    <w:p w14:paraId="46C0BB39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一、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具备独立法人资格，能够独立承担民事责任。</w:t>
      </w:r>
    </w:p>
    <w:p w14:paraId="50EE2300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二、我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财务状况良好，具备履行合同所需资金实力。</w:t>
      </w:r>
    </w:p>
    <w:p w14:paraId="3F8FCAE5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三、我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拥有履行项目所需的专业技术人员和先进的生产设备。</w:t>
      </w:r>
    </w:p>
    <w:p w14:paraId="45943AA8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四、我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依法纳税，并按时缴纳社会保险费。</w:t>
      </w:r>
    </w:p>
    <w:p w14:paraId="0F0C6E90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五、我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在最近三年内无任何违法违规行为，信誉良好。</w:t>
      </w:r>
    </w:p>
    <w:p w14:paraId="3EF4200C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六、我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完全符合政府采购法及其他相关法律法规的规定。</w:t>
      </w:r>
    </w:p>
    <w:p w14:paraId="072F3ABB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公司提供的相关文件均真实、有效。</w:t>
      </w:r>
    </w:p>
    <w:p w14:paraId="1E86BCEA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八、我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公司未挂靠、借用资质进行投标等违法违规行为。</w:t>
      </w:r>
    </w:p>
    <w:p w14:paraId="1961C25F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九、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我公司承诺在参加本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采购活动中，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不存在串标围标行为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不存在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损害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校方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或者其他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报价单位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利益的行为。</w:t>
      </w:r>
    </w:p>
    <w:p w14:paraId="1B3C8AA7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十、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公司管理层中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没有从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贵校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离职或退休3年以内的人员担任控股股东或实际控股人、董事、监事，也没有聘用从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贵校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离职或退休3年以内的人员。</w:t>
      </w:r>
    </w:p>
    <w:p w14:paraId="3FE2B1FA">
      <w:pPr>
        <w:spacing w:after="120" w:afterLines="50" w:line="240" w:lineRule="auto"/>
        <w:ind w:left="0" w:leftChars="0" w:firstLine="480" w:firstLineChars="20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我公司保证上述声明真实无误，如有不实，愿承担相应法律责任。</w:t>
      </w:r>
    </w:p>
    <w:p w14:paraId="2C38F8B9">
      <w:pPr>
        <w:spacing w:after="120" w:afterLines="50" w:line="240" w:lineRule="auto"/>
        <w:ind w:left="0" w:leftChars="0" w:firstLine="0" w:firstLineChars="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</w:p>
    <w:p w14:paraId="4A13A388">
      <w:pPr>
        <w:spacing w:after="120" w:afterLines="50" w:line="240" w:lineRule="auto"/>
        <w:ind w:left="0" w:leftChars="0" w:firstLine="0" w:firstLineChars="0"/>
        <w:rPr>
          <w:rFonts w:ascii="黑体" w:hAnsi="华文楷体" w:eastAsia="黑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黑体" w:hAnsi="华文楷体" w:eastAsia="黑体"/>
          <w:color w:val="auto"/>
          <w:sz w:val="24"/>
          <w:szCs w:val="24"/>
          <w:highlight w:val="none"/>
        </w:rPr>
        <w:t>公司名称（盖章）：                              委托代理人（签字）：</w:t>
      </w:r>
    </w:p>
    <w:p w14:paraId="476D3484">
      <w:pPr>
        <w:pStyle w:val="7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</w:p>
    <w:p w14:paraId="3F5F1DB4">
      <w:pPr>
        <w:pStyle w:val="7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</w:p>
    <w:p w14:paraId="086B01F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sectPr>
          <w:pgSz w:w="11906" w:h="16838"/>
          <w:pgMar w:top="1440" w:right="1083" w:bottom="1440" w:left="1083" w:header="851" w:footer="992" w:gutter="0"/>
          <w:pgNumType w:fmt="decimal"/>
          <w:cols w:space="0" w:num="1"/>
          <w:rtlGutter w:val="0"/>
          <w:docGrid w:type="lines" w:linePitch="314" w:charSpace="0"/>
        </w:sectPr>
      </w:pPr>
    </w:p>
    <w:p w14:paraId="7CDE4BA2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附件2：其他材料</w:t>
      </w:r>
    </w:p>
    <w:p w14:paraId="7D103AD2">
      <w:pPr>
        <w:pStyle w:val="6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包括但不限于：</w:t>
      </w:r>
    </w:p>
    <w:p w14:paraId="6163A2E2">
      <w:pPr>
        <w:pStyle w:val="6"/>
        <w:numPr>
          <w:ilvl w:val="0"/>
          <w:numId w:val="0"/>
        </w:numPr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1、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营业执照扫描件</w:t>
      </w:r>
    </w:p>
    <w:p w14:paraId="75BA9CDB">
      <w:pPr>
        <w:pStyle w:val="6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2、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产品资料（产品参数及性能）</w:t>
      </w:r>
    </w:p>
    <w:p w14:paraId="1BB2A8EF">
      <w:pPr>
        <w:pStyle w:val="6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3、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实施计划</w:t>
      </w:r>
    </w:p>
    <w:p w14:paraId="32423874">
      <w:pPr>
        <w:pStyle w:val="6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4、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售后方案</w:t>
      </w:r>
    </w:p>
    <w:p w14:paraId="47143B82">
      <w:pPr>
        <w:pStyle w:val="6"/>
        <w:numPr>
          <w:ilvl w:val="0"/>
          <w:numId w:val="0"/>
        </w:numPr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5、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业绩案例</w:t>
      </w:r>
    </w:p>
    <w:p w14:paraId="3644FF0B">
      <w:pPr>
        <w:pStyle w:val="6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6、其他所必需的相关材料</w:t>
      </w:r>
    </w:p>
    <w:sectPr>
      <w:pgSz w:w="11906" w:h="16838"/>
      <w:pgMar w:top="1440" w:right="1083" w:bottom="1440" w:left="1083" w:header="851" w:footer="992" w:gutter="0"/>
      <w:pgNumType w:fmt="decimal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BEF332-486D-4D66-BF60-C335E8A8DA7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Times New Roman (标题 CS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兰亭黑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65D8FC3-392B-4888-A304-935BD1D68589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6E5ADD2F-65CD-402B-B3A8-692B058F61E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49B6F4DF-1F9A-4B0C-BA61-D503B2415A9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A1F522E-BB2E-4258-88A0-2FE4E906A5E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04925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62FB9A"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62FB9A"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722401"/>
    <w:multiLevelType w:val="multilevel"/>
    <w:tmpl w:val="17722401"/>
    <w:lvl w:ilvl="0" w:tentative="0">
      <w:start w:val="1"/>
      <w:numFmt w:val="japaneseCounting"/>
      <w:pStyle w:val="2"/>
      <w:lvlText w:val="%1、"/>
      <w:lvlJc w:val="left"/>
      <w:pPr>
        <w:ind w:left="464" w:hanging="72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544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064" w:hanging="440"/>
      </w:pPr>
    </w:lvl>
    <w:lvl w:ilvl="3" w:tentative="0">
      <w:start w:val="1"/>
      <w:numFmt w:val="decimal"/>
      <w:lvlText w:val="%4."/>
      <w:lvlJc w:val="left"/>
      <w:pPr>
        <w:ind w:left="1504" w:hanging="440"/>
      </w:pPr>
    </w:lvl>
    <w:lvl w:ilvl="4" w:tentative="0">
      <w:start w:val="1"/>
      <w:numFmt w:val="lowerLetter"/>
      <w:lvlText w:val="%5)"/>
      <w:lvlJc w:val="left"/>
      <w:pPr>
        <w:ind w:left="1944" w:hanging="440"/>
      </w:pPr>
    </w:lvl>
    <w:lvl w:ilvl="5" w:tentative="0">
      <w:start w:val="1"/>
      <w:numFmt w:val="lowerRoman"/>
      <w:lvlText w:val="%6."/>
      <w:lvlJc w:val="right"/>
      <w:pPr>
        <w:ind w:left="2384" w:hanging="440"/>
      </w:pPr>
    </w:lvl>
    <w:lvl w:ilvl="6" w:tentative="0">
      <w:start w:val="1"/>
      <w:numFmt w:val="decimal"/>
      <w:lvlText w:val="%7."/>
      <w:lvlJc w:val="left"/>
      <w:pPr>
        <w:ind w:left="2824" w:hanging="440"/>
      </w:pPr>
    </w:lvl>
    <w:lvl w:ilvl="7" w:tentative="0">
      <w:start w:val="1"/>
      <w:numFmt w:val="lowerLetter"/>
      <w:lvlText w:val="%8)"/>
      <w:lvlJc w:val="left"/>
      <w:pPr>
        <w:ind w:left="3264" w:hanging="440"/>
      </w:pPr>
    </w:lvl>
    <w:lvl w:ilvl="8" w:tentative="0">
      <w:start w:val="1"/>
      <w:numFmt w:val="lowerRoman"/>
      <w:lvlText w:val="%9."/>
      <w:lvlJc w:val="right"/>
      <w:pPr>
        <w:ind w:left="3704" w:hanging="440"/>
      </w:pPr>
    </w:lvl>
  </w:abstractNum>
  <w:abstractNum w:abstractNumId="1">
    <w:nsid w:val="6EE46474"/>
    <w:multiLevelType w:val="multilevel"/>
    <w:tmpl w:val="6EE46474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75436"/>
    <w:rsid w:val="029C08D4"/>
    <w:rsid w:val="0875321F"/>
    <w:rsid w:val="09642E33"/>
    <w:rsid w:val="0B7B6E53"/>
    <w:rsid w:val="146C6B60"/>
    <w:rsid w:val="157E6317"/>
    <w:rsid w:val="22AA0589"/>
    <w:rsid w:val="24050543"/>
    <w:rsid w:val="2DAA3F84"/>
    <w:rsid w:val="2FB07FD7"/>
    <w:rsid w:val="32C92655"/>
    <w:rsid w:val="3A774F92"/>
    <w:rsid w:val="3CFB52B6"/>
    <w:rsid w:val="3D6469F5"/>
    <w:rsid w:val="3DBA1AA2"/>
    <w:rsid w:val="3E5C4869"/>
    <w:rsid w:val="3FCC680A"/>
    <w:rsid w:val="41007DAA"/>
    <w:rsid w:val="480A63EB"/>
    <w:rsid w:val="4A2362AE"/>
    <w:rsid w:val="4AFC4A60"/>
    <w:rsid w:val="4EFD134C"/>
    <w:rsid w:val="5AEA704B"/>
    <w:rsid w:val="5CB31D19"/>
    <w:rsid w:val="5E8720EC"/>
    <w:rsid w:val="5EE9209B"/>
    <w:rsid w:val="62DD78C6"/>
    <w:rsid w:val="699E1F48"/>
    <w:rsid w:val="6C3138A4"/>
    <w:rsid w:val="6FC06751"/>
    <w:rsid w:val="769D2894"/>
    <w:rsid w:val="7C2C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numPr>
        <w:ilvl w:val="0"/>
        <w:numId w:val="1"/>
      </w:numPr>
      <w:spacing w:before="120" w:after="80"/>
      <w:ind w:firstLineChars="0"/>
      <w:outlineLvl w:val="0"/>
    </w:pPr>
    <w:rPr>
      <w:rFonts w:cs="Times New Roman (标题 CS)" w:asciiTheme="majorHAnsi" w:hAnsiTheme="majorHAnsi"/>
      <w:b/>
      <w:bCs/>
      <w:sz w:val="28"/>
      <w:szCs w:val="48"/>
    </w:rPr>
  </w:style>
  <w:style w:type="paragraph" w:styleId="3">
    <w:name w:val="heading 2"/>
    <w:basedOn w:val="1"/>
    <w:next w:val="1"/>
    <w:unhideWhenUsed/>
    <w:qFormat/>
    <w:uiPriority w:val="9"/>
    <w:pPr>
      <w:numPr>
        <w:ilvl w:val="1"/>
        <w:numId w:val="2"/>
      </w:numPr>
      <w:spacing w:before="80" w:after="80"/>
      <w:ind w:firstLineChars="0"/>
      <w:outlineLvl w:val="1"/>
    </w:pPr>
    <w:rPr>
      <w:rFonts w:cs="Times New Roman (标题 CS)" w:asciiTheme="majorHAnsi" w:hAnsiTheme="majorHAnsi"/>
      <w:b/>
      <w:bCs/>
      <w:color w:val="000000" w:themeColor="text1"/>
      <w:sz w:val="24"/>
      <w:szCs w:val="40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unhideWhenUsed/>
    <w:qFormat/>
    <w:uiPriority w:val="9"/>
    <w:pPr>
      <w:spacing w:before="160" w:after="80"/>
      <w:ind w:left="737" w:firstLine="0" w:firstLineChars="0"/>
      <w:outlineLvl w:val="2"/>
    </w:pPr>
    <w:rPr>
      <w:rFonts w:cs="Times New Roman (标题 CS)" w:asciiTheme="majorHAnsi" w:hAnsiTheme="majorHAnsi"/>
      <w:sz w:val="24"/>
      <w:szCs w:val="32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unhideWhenUsed/>
    <w:qFormat/>
    <w:uiPriority w:val="39"/>
    <w:rPr>
      <w:rFonts w:ascii="Calibri" w:hAnsi="Calibri" w:eastAsia="宋体" w:cs="Times New Roman"/>
    </w:rPr>
  </w:style>
  <w:style w:type="paragraph" w:styleId="11">
    <w:name w:val="Body Text Indent 3"/>
    <w:basedOn w:val="1"/>
    <w:qFormat/>
    <w:uiPriority w:val="0"/>
    <w:pPr>
      <w:ind w:firstLine="600" w:firstLineChars="200"/>
    </w:pPr>
    <w:rPr>
      <w:color w:val="FF0000"/>
      <w:sz w:val="30"/>
      <w:szCs w:val="20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"/>
    <w:basedOn w:val="5"/>
    <w:qFormat/>
    <w:uiPriority w:val="0"/>
    <w:pPr>
      <w:widowControl/>
      <w:spacing w:after="120"/>
      <w:ind w:firstLine="420" w:firstLineChars="100"/>
      <w:jc w:val="left"/>
    </w:pPr>
    <w:rPr>
      <w:rFonts w:ascii="Times New Roman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22"/>
    <w:rPr>
      <w:b/>
      <w:bCs/>
    </w:rPr>
  </w:style>
  <w:style w:type="character" w:styleId="18">
    <w:name w:val="Hyperlink"/>
    <w:basedOn w:val="16"/>
    <w:unhideWhenUsed/>
    <w:qFormat/>
    <w:uiPriority w:val="99"/>
    <w:rPr>
      <w:color w:val="0000FF"/>
      <w:u w:val="single"/>
    </w:rPr>
  </w:style>
  <w:style w:type="paragraph" w:customStyle="1" w:styleId="19">
    <w:name w:val="列表段落1"/>
    <w:basedOn w:val="1"/>
    <w:qFormat/>
    <w:uiPriority w:val="0"/>
    <w:pPr>
      <w:ind w:firstLine="420" w:firstLineChars="200"/>
    </w:p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" w:hAnsi="Times New Roman" w:eastAsia="楷体" w:cs="楷体"/>
      <w:color w:val="000000"/>
      <w:sz w:val="24"/>
      <w:szCs w:val="24"/>
      <w:lang w:val="en-US" w:eastAsia="zh-CN" w:bidi="ar-SA"/>
    </w:rPr>
  </w:style>
  <w:style w:type="character" w:customStyle="1" w:styleId="21">
    <w:name w:val="15"/>
    <w:basedOn w:val="16"/>
    <w:qFormat/>
    <w:uiPriority w:val="0"/>
    <w:rPr>
      <w:rFonts w:hint="default" w:ascii="Calibri" w:hAnsi="Calibri" w:cs="Calibri"/>
      <w:b/>
      <w:bCs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  <w:style w:type="character" w:customStyle="1" w:styleId="23">
    <w:name w:val="楷体 (中文) 楷体"/>
    <w:qFormat/>
    <w:uiPriority w:val="0"/>
    <w:rPr>
      <w:rFonts w:ascii="楷体" w:hAnsi="楷体" w:eastAsia="楷体"/>
      <w:kern w:val="1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2390</Words>
  <Characters>2675</Characters>
  <Lines>0</Lines>
  <Paragraphs>0</Paragraphs>
  <TotalTime>1</TotalTime>
  <ScaleCrop>false</ScaleCrop>
  <LinksUpToDate>false</LinksUpToDate>
  <CharactersWithSpaces>2885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2025-04-03T05:09:00Z</dcterms:created>
  <dc:creator>HP</dc:creator>
  <cp:lastModifiedBy>仲杰</cp:lastModifiedBy>
  <dcterms:modified xsi:type="dcterms:W3CDTF">2025-07-11T00:24:11Z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eyJoZGlkIjoiZDlmOGQwYjhiNmI4NDMzYTcyZjE3NmU1NDRkMTcyMTMiLCJ1c2VySWQiOiIyOTgyOTgyOTEifQ==</vt:lpwstr>
  </property>
  <property fmtid="{D5CDD505-2E9C-101B-9397-08002B2CF9AE}" pid="4" name="ICV">
    <vt:lpwstr>2BFD31D5F3FB4B709DBC969892577809_12</vt:lpwstr>
  </property>
</Properties>
</file>