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上海海事大学“党旗领航•向海图强”伟大工程示范党课会务服务</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HFBX2026047</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六</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HFBX2026047</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上海海事大学“党旗领航•向海图强”</w:t>
      </w:r>
      <w:bookmarkStart w:id="6" w:name="_GoBack"/>
      <w:bookmarkEnd w:id="6"/>
      <w:r>
        <w:rPr>
          <w:rFonts w:hint="eastAsia" w:ascii="方正兰亭黑简体" w:hAnsi="方正兰亭黑简体" w:eastAsia="方正兰亭黑简体" w:cs="方正兰亭黑简体"/>
          <w:color w:val="auto"/>
          <w:sz w:val="22"/>
          <w:szCs w:val="28"/>
          <w:highlight w:val="none"/>
          <w:lang w:eastAsia="zh-CN"/>
        </w:rPr>
        <w:t>伟大工程示范党课会务服务</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20</w:t>
      </w:r>
      <w:r>
        <w:rPr>
          <w:rFonts w:hint="eastAsia" w:ascii="方正兰亭黑简体" w:hAnsi="方正兰亭黑简体" w:eastAsia="方正兰亭黑简体" w:cs="方正兰亭黑简体"/>
          <w:color w:val="auto"/>
          <w:sz w:val="22"/>
          <w:szCs w:val="28"/>
          <w:highlight w:val="none"/>
        </w:rPr>
        <w:t>万元；</w:t>
      </w:r>
    </w:p>
    <w:p w14:paraId="744B8F40">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采购需求：</w:t>
      </w:r>
      <w:r>
        <w:rPr>
          <w:rFonts w:hint="default" w:ascii="方正兰亭黑简体" w:hAnsi="方正兰亭黑简体" w:eastAsia="方正兰亭黑简体" w:cs="方正兰亭黑简体"/>
          <w:color w:val="auto"/>
          <w:sz w:val="22"/>
          <w:szCs w:val="28"/>
          <w:highlight w:val="none"/>
          <w:lang w:val="en-US" w:eastAsia="zh-CN"/>
        </w:rPr>
        <w:t>本项目</w:t>
      </w:r>
      <w:r>
        <w:rPr>
          <w:rFonts w:hint="eastAsia" w:ascii="方正兰亭黑简体" w:hAnsi="方正兰亭黑简体" w:eastAsia="方正兰亭黑简体" w:cs="方正兰亭黑简体"/>
          <w:color w:val="auto"/>
          <w:sz w:val="22"/>
          <w:szCs w:val="28"/>
          <w:highlight w:val="none"/>
          <w:lang w:val="en-US" w:eastAsia="zh-CN"/>
        </w:rPr>
        <w:t>需委托一家合格供应商为我校</w:t>
      </w:r>
      <w:r>
        <w:rPr>
          <w:rFonts w:hint="eastAsia" w:ascii="方正兰亭黑简体" w:hAnsi="方正兰亭黑简体" w:eastAsia="方正兰亭黑简体" w:cs="方正兰亭黑简体"/>
          <w:color w:val="auto"/>
          <w:sz w:val="22"/>
          <w:szCs w:val="28"/>
          <w:highlight w:val="none"/>
          <w:lang w:eastAsia="zh-CN"/>
        </w:rPr>
        <w:t>“党旗领航•向海图强”伟大工程示范党课</w:t>
      </w:r>
      <w:r>
        <w:rPr>
          <w:rFonts w:hint="default" w:ascii="方正兰亭黑简体" w:hAnsi="方正兰亭黑简体" w:eastAsia="方正兰亭黑简体" w:cs="方正兰亭黑简体"/>
          <w:color w:val="auto"/>
          <w:sz w:val="22"/>
          <w:szCs w:val="28"/>
          <w:highlight w:val="none"/>
          <w:lang w:val="en-US" w:eastAsia="zh-CN"/>
        </w:rPr>
        <w:t>提供策划、执行全流程服务</w:t>
      </w:r>
      <w:r>
        <w:rPr>
          <w:rFonts w:hint="eastAsia" w:ascii="方正兰亭黑简体" w:hAnsi="方正兰亭黑简体" w:eastAsia="方正兰亭黑简体" w:cs="方正兰亭黑简体"/>
          <w:color w:val="auto"/>
          <w:sz w:val="22"/>
          <w:szCs w:val="28"/>
          <w:highlight w:val="none"/>
          <w:lang w:val="en-US" w:eastAsia="zh-CN"/>
        </w:rPr>
        <w:t>，需完成各节目指导、平面设计、活动舞台搭建、音箱、灯光及大屏租赁、现场导演及现场执行等，所涉及各类物料的运输、安装及拆除等。</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280C0FF5">
      <w:pPr>
        <w:pStyle w:val="19"/>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服务期限：自合同生效之日起至活动完全结束。</w:t>
      </w:r>
    </w:p>
    <w:p w14:paraId="5ABB710B">
      <w:pPr>
        <w:pStyle w:val="19"/>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服务地点：上海海事大学（海港大道1550号）大礼堂。</w:t>
      </w:r>
    </w:p>
    <w:p w14:paraId="500DF29A">
      <w:pPr>
        <w:pStyle w:val="19"/>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w:t>
      </w:r>
      <w:r>
        <w:rPr>
          <w:rFonts w:hint="eastAsia" w:ascii="方正兰亭黑简体" w:hAnsi="方正兰亭黑简体" w:eastAsia="方正兰亭黑简体" w:cs="方正兰亭黑简体"/>
          <w:color w:val="auto"/>
          <w:sz w:val="22"/>
          <w:szCs w:val="28"/>
          <w:highlight w:val="none"/>
          <w:lang w:eastAsia="zh-CN"/>
        </w:rPr>
        <w:t>项目完成</w:t>
      </w:r>
      <w:r>
        <w:rPr>
          <w:rFonts w:hint="eastAsia" w:ascii="方正兰亭黑简体" w:hAnsi="方正兰亭黑简体" w:eastAsia="方正兰亭黑简体" w:cs="方正兰亭黑简体"/>
          <w:color w:val="auto"/>
          <w:sz w:val="22"/>
          <w:szCs w:val="28"/>
          <w:highlight w:val="none"/>
          <w:lang w:val="en-US" w:eastAsia="zh-CN"/>
        </w:rPr>
        <w:t>经甲方</w:t>
      </w:r>
      <w:r>
        <w:rPr>
          <w:rFonts w:hint="eastAsia" w:ascii="方正兰亭黑简体" w:hAnsi="方正兰亭黑简体" w:eastAsia="方正兰亭黑简体" w:cs="方正兰亭黑简体"/>
          <w:color w:val="auto"/>
          <w:sz w:val="22"/>
          <w:szCs w:val="28"/>
          <w:highlight w:val="none"/>
          <w:lang w:eastAsia="zh-CN"/>
        </w:rPr>
        <w:t>验收合格后15个工作日内，</w:t>
      </w:r>
      <w:r>
        <w:rPr>
          <w:rFonts w:hint="eastAsia" w:ascii="方正兰亭黑简体" w:hAnsi="方正兰亭黑简体" w:eastAsia="方正兰亭黑简体" w:cs="方正兰亭黑简体"/>
          <w:color w:val="auto"/>
          <w:sz w:val="22"/>
          <w:szCs w:val="28"/>
          <w:highlight w:val="none"/>
          <w:lang w:val="en-US" w:eastAsia="zh-CN"/>
        </w:rPr>
        <w:t>甲方支付全部款项。</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4243CE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6393E20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2"/>
      <w:bookmarkStart w:id="4" w:name="OLE_LINK1"/>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8</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一</w:t>
      </w:r>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w:t>
      </w:r>
      <w:r>
        <w:rPr>
          <w:rFonts w:hint="eastAsia" w:ascii="方正兰亭黑简体" w:hAnsi="方正兰亭黑简体" w:eastAsia="方正兰亭黑简体" w:cs="方正兰亭黑简体"/>
          <w:color w:val="auto"/>
          <w:sz w:val="22"/>
          <w:szCs w:val="28"/>
          <w:highlight w:val="none"/>
        </w:rPr>
        <w:t>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陈</w:t>
      </w:r>
      <w:r>
        <w:rPr>
          <w:rFonts w:hint="eastAsia" w:ascii="方正兰亭黑简体" w:hAnsi="方正兰亭黑简体" w:eastAsia="方正兰亭黑简体" w:cs="方正兰亭黑简体"/>
          <w:color w:val="auto"/>
          <w:sz w:val="22"/>
          <w:szCs w:val="28"/>
          <w:highlight w:val="none"/>
        </w:rPr>
        <w:t>老师</w:t>
      </w:r>
      <w:r>
        <w:rPr>
          <w:rFonts w:hint="eastAsia" w:ascii="方正兰亭黑简体" w:hAnsi="方正兰亭黑简体" w:eastAsia="方正兰亭黑简体" w:cs="方正兰亭黑简体"/>
          <w:color w:val="auto"/>
          <w:sz w:val="22"/>
          <w:szCs w:val="28"/>
          <w:highlight w:val="none"/>
          <w:lang w:val="en-US" w:eastAsia="zh-CN"/>
        </w:rPr>
        <w:t>021-38284060</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39E2A589">
      <w:pPr>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项目概况</w:t>
      </w:r>
    </w:p>
    <w:p w14:paraId="4584D192">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2025年学校入选立德树人机制综合改革教育部试点院系和上海市试点高校，制定深化综合改革方案（2025—2030年），树牢“为科服务、为产育人”的理念和“重服务、强贡献”的导向，积极开展对接服务航运强国、海洋强国战略和上海国际航运中心建设。学校以“伟大工程”示范党课为载体，推动宣传航运文化、传承航海精神、展示上海航运历史底蕴，展示学校高质量党建引领学校高质量发展成果。本项目采购上海海事大学伟大工程示范党课会务服务，成交供应商提供策划、执行全流程服务，需完成各节目指导、平面设计、活动舞台搭建、音箱、灯光及大屏租赁、现场导演及现场执行等，所涉及各类物料的运输、安装及拆除等。</w:t>
      </w:r>
    </w:p>
    <w:p w14:paraId="48E072D9">
      <w:pPr>
        <w:spacing w:line="360" w:lineRule="auto"/>
        <w:ind w:left="0" w:leftChars="0" w:firstLine="440" w:firstLineChars="20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示范党课讲授时间：2026年6月24日。示范党课讲授地点：上海海事大学（海港大道1550号）大礼堂。</w:t>
      </w:r>
    </w:p>
    <w:p w14:paraId="14F7295A">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u w:val="none"/>
        </w:rPr>
      </w:pPr>
    </w:p>
    <w:p w14:paraId="2564B485">
      <w:pPr>
        <w:widowControl/>
        <w:shd w:val="clear" w:color="auto" w:fill="FFFFFF"/>
        <w:spacing w:line="360" w:lineRule="auto"/>
        <w:ind w:left="0" w:leftChars="0" w:firstLine="0" w:firstLineChars="0"/>
        <w:jc w:val="left"/>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二、服务内容</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
        <w:gridCol w:w="853"/>
        <w:gridCol w:w="2316"/>
        <w:gridCol w:w="6321"/>
      </w:tblGrid>
      <w:tr w14:paraId="42E14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237" w:type="pct"/>
            <w:vAlign w:val="center"/>
          </w:tcPr>
          <w:p w14:paraId="015ED6A2">
            <w:pPr>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序号</w:t>
            </w:r>
          </w:p>
        </w:tc>
        <w:tc>
          <w:tcPr>
            <w:tcW w:w="428" w:type="pct"/>
            <w:vAlign w:val="center"/>
          </w:tcPr>
          <w:p w14:paraId="7FFAFE2A">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名称</w:t>
            </w:r>
          </w:p>
        </w:tc>
        <w:tc>
          <w:tcPr>
            <w:tcW w:w="1162" w:type="pct"/>
            <w:vAlign w:val="center"/>
          </w:tcPr>
          <w:p w14:paraId="786BB856">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服务期限</w:t>
            </w:r>
          </w:p>
        </w:tc>
        <w:tc>
          <w:tcPr>
            <w:tcW w:w="3171" w:type="pct"/>
            <w:vAlign w:val="center"/>
          </w:tcPr>
          <w:p w14:paraId="4EF91C11">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服务说明</w:t>
            </w:r>
          </w:p>
        </w:tc>
      </w:tr>
      <w:tr w14:paraId="10970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237" w:type="pct"/>
            <w:vAlign w:val="center"/>
          </w:tcPr>
          <w:p w14:paraId="6ADEA301">
            <w:pPr>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1</w:t>
            </w:r>
          </w:p>
        </w:tc>
        <w:tc>
          <w:tcPr>
            <w:tcW w:w="428" w:type="pct"/>
            <w:vAlign w:val="center"/>
          </w:tcPr>
          <w:p w14:paraId="44C4573A">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舞台搭建及制作</w:t>
            </w:r>
          </w:p>
        </w:tc>
        <w:tc>
          <w:tcPr>
            <w:tcW w:w="1162" w:type="pct"/>
            <w:vMerge w:val="restart"/>
          </w:tcPr>
          <w:p w14:paraId="38D57294">
            <w:pPr>
              <w:widowControl/>
              <w:numPr>
                <w:ilvl w:val="-1"/>
                <w:numId w:val="0"/>
              </w:numPr>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（1）彩排：6月</w:t>
            </w:r>
            <w:r>
              <w:rPr>
                <w:rFonts w:hint="eastAsia" w:ascii="Times New Roman" w:hAnsi="Times New Roman" w:eastAsia="方正兰亭黑简体" w:cs="Times New Roman"/>
                <w:color w:val="auto"/>
                <w:sz w:val="22"/>
                <w:szCs w:val="22"/>
                <w:highlight w:val="none"/>
                <w:lang w:val="en-US" w:eastAsia="zh-CN"/>
              </w:rPr>
              <w:t>22</w:t>
            </w:r>
            <w:r>
              <w:rPr>
                <w:rFonts w:hint="default" w:ascii="Times New Roman" w:hAnsi="Times New Roman" w:eastAsia="方正兰亭黑简体" w:cs="Times New Roman"/>
                <w:color w:val="auto"/>
                <w:sz w:val="22"/>
                <w:szCs w:val="22"/>
                <w:highlight w:val="none"/>
                <w:lang w:val="en-US" w:eastAsia="zh-CN"/>
              </w:rPr>
              <w:t>日、</w:t>
            </w:r>
            <w:r>
              <w:rPr>
                <w:rFonts w:hint="eastAsia" w:ascii="Times New Roman" w:hAnsi="Times New Roman" w:eastAsia="方正兰亭黑简体" w:cs="Times New Roman"/>
                <w:color w:val="auto"/>
                <w:sz w:val="22"/>
                <w:szCs w:val="22"/>
                <w:highlight w:val="none"/>
                <w:lang w:val="en-US" w:eastAsia="zh-CN"/>
              </w:rPr>
              <w:t>23</w:t>
            </w:r>
            <w:r>
              <w:rPr>
                <w:rFonts w:hint="default" w:ascii="Times New Roman" w:hAnsi="Times New Roman" w:eastAsia="方正兰亭黑简体" w:cs="Times New Roman"/>
                <w:color w:val="auto"/>
                <w:sz w:val="22"/>
                <w:szCs w:val="22"/>
                <w:highlight w:val="none"/>
                <w:lang w:val="en-US" w:eastAsia="zh-CN"/>
              </w:rPr>
              <w:t>日全天，6月</w:t>
            </w:r>
            <w:r>
              <w:rPr>
                <w:rFonts w:hint="eastAsia" w:ascii="Times New Roman" w:hAnsi="Times New Roman" w:eastAsia="方正兰亭黑简体" w:cs="Times New Roman"/>
                <w:color w:val="auto"/>
                <w:sz w:val="22"/>
                <w:szCs w:val="22"/>
                <w:highlight w:val="none"/>
                <w:lang w:val="en-US" w:eastAsia="zh-CN"/>
              </w:rPr>
              <w:t>24</w:t>
            </w:r>
            <w:r>
              <w:rPr>
                <w:rFonts w:hint="default" w:ascii="Times New Roman" w:hAnsi="Times New Roman" w:eastAsia="方正兰亭黑简体" w:cs="Times New Roman"/>
                <w:color w:val="auto"/>
                <w:sz w:val="22"/>
                <w:szCs w:val="22"/>
                <w:highlight w:val="none"/>
                <w:lang w:val="en-US" w:eastAsia="zh-CN"/>
              </w:rPr>
              <w:t>日上午。</w:t>
            </w:r>
          </w:p>
          <w:p w14:paraId="57DF8EE7">
            <w:pPr>
              <w:widowControl/>
              <w:numPr>
                <w:ilvl w:val="-1"/>
                <w:numId w:val="0"/>
              </w:numPr>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（2）演出：6月</w:t>
            </w:r>
            <w:r>
              <w:rPr>
                <w:rFonts w:hint="eastAsia" w:ascii="Times New Roman" w:hAnsi="Times New Roman" w:eastAsia="方正兰亭黑简体" w:cs="Times New Roman"/>
                <w:color w:val="auto"/>
                <w:sz w:val="22"/>
                <w:szCs w:val="22"/>
                <w:highlight w:val="none"/>
                <w:lang w:val="en-US" w:eastAsia="zh-CN"/>
              </w:rPr>
              <w:t>24</w:t>
            </w:r>
            <w:r>
              <w:rPr>
                <w:rFonts w:hint="default" w:ascii="Times New Roman" w:hAnsi="Times New Roman" w:eastAsia="方正兰亭黑简体" w:cs="Times New Roman"/>
                <w:color w:val="auto"/>
                <w:sz w:val="22"/>
                <w:szCs w:val="22"/>
                <w:highlight w:val="none"/>
                <w:lang w:val="en-US" w:eastAsia="zh-CN"/>
              </w:rPr>
              <w:t>日下午</w:t>
            </w:r>
          </w:p>
        </w:tc>
        <w:tc>
          <w:tcPr>
            <w:tcW w:w="3171" w:type="pct"/>
            <w:vAlign w:val="center"/>
          </w:tcPr>
          <w:p w14:paraId="34A08FA0">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完成铝合金舞台搭建（长15米宽2米）；三层合唱台阶（长15米每层台阶宽40厘米）；木结构、雪弗板灯塔造型1块，四周灯带，顶部安装灯光（高2.4米宽1.2米）；活动设备总控台平台搭建（长10米、宽1.2米、高80厘米）</w:t>
            </w:r>
          </w:p>
          <w:p w14:paraId="1E0078A3">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备注：包含设备运输费用。</w:t>
            </w:r>
          </w:p>
        </w:tc>
      </w:tr>
      <w:tr w14:paraId="595AF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237" w:type="pct"/>
            <w:vAlign w:val="center"/>
          </w:tcPr>
          <w:p w14:paraId="70ED8F3B">
            <w:pPr>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2</w:t>
            </w:r>
          </w:p>
        </w:tc>
        <w:tc>
          <w:tcPr>
            <w:tcW w:w="428" w:type="pct"/>
            <w:vAlign w:val="center"/>
          </w:tcPr>
          <w:p w14:paraId="35133676">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音箱租赁</w:t>
            </w:r>
          </w:p>
        </w:tc>
        <w:tc>
          <w:tcPr>
            <w:tcW w:w="1162" w:type="pct"/>
            <w:vMerge w:val="continue"/>
          </w:tcPr>
          <w:p w14:paraId="59D70D60">
            <w:pPr>
              <w:widowControl/>
              <w:numPr>
                <w:ilvl w:val="0"/>
                <w:numId w:val="0"/>
              </w:numPr>
              <w:spacing w:line="360" w:lineRule="auto"/>
              <w:jc w:val="left"/>
              <w:rPr>
                <w:rFonts w:hint="default" w:ascii="Times New Roman" w:hAnsi="Times New Roman" w:eastAsia="方正兰亭黑简体" w:cs="Times New Roman"/>
                <w:b/>
                <w:bCs/>
                <w:color w:val="auto"/>
                <w:sz w:val="22"/>
                <w:szCs w:val="22"/>
                <w:highlight w:val="none"/>
                <w:lang w:val="en-US" w:eastAsia="zh-CN"/>
              </w:rPr>
            </w:pPr>
          </w:p>
        </w:tc>
        <w:tc>
          <w:tcPr>
            <w:tcW w:w="3171" w:type="pct"/>
            <w:vAlign w:val="center"/>
          </w:tcPr>
          <w:p w14:paraId="5E0777D7">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全套线阵音箱（含8组高频、4组低频、功放、放大器、均衡器、效果器、线材及配件）；反听音箱4个；32路数字调音台；话筒（手持6个、耳麦6个）</w:t>
            </w:r>
          </w:p>
          <w:p w14:paraId="05DCFBC2">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备注：包含设备运输费用。</w:t>
            </w:r>
          </w:p>
        </w:tc>
      </w:tr>
      <w:tr w14:paraId="0261D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237" w:type="pct"/>
            <w:vAlign w:val="center"/>
          </w:tcPr>
          <w:p w14:paraId="57540A10">
            <w:pPr>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3</w:t>
            </w:r>
          </w:p>
        </w:tc>
        <w:tc>
          <w:tcPr>
            <w:tcW w:w="428" w:type="pct"/>
            <w:vAlign w:val="center"/>
          </w:tcPr>
          <w:p w14:paraId="66C1A475">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灯光租赁</w:t>
            </w:r>
          </w:p>
        </w:tc>
        <w:tc>
          <w:tcPr>
            <w:tcW w:w="1162" w:type="pct"/>
            <w:vMerge w:val="continue"/>
          </w:tcPr>
          <w:p w14:paraId="10E3E70C">
            <w:pPr>
              <w:widowControl/>
              <w:numPr>
                <w:ilvl w:val="0"/>
                <w:numId w:val="0"/>
              </w:numPr>
              <w:spacing w:line="360" w:lineRule="auto"/>
              <w:jc w:val="left"/>
              <w:rPr>
                <w:rFonts w:hint="default" w:ascii="Times New Roman" w:hAnsi="Times New Roman" w:eastAsia="方正兰亭黑简体" w:cs="Times New Roman"/>
                <w:color w:val="auto"/>
                <w:sz w:val="22"/>
                <w:szCs w:val="22"/>
                <w:highlight w:val="none"/>
                <w:lang w:val="en-US" w:eastAsia="zh-CN"/>
              </w:rPr>
            </w:pPr>
          </w:p>
        </w:tc>
        <w:tc>
          <w:tcPr>
            <w:tcW w:w="3171" w:type="pct"/>
            <w:vAlign w:val="center"/>
          </w:tcPr>
          <w:p w14:paraId="73A58758">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切割灯8台、光束灯20台、LED染色灯30台、MA2数字控台、追光灯2台、薄雾机2台、线材等配件</w:t>
            </w:r>
          </w:p>
          <w:p w14:paraId="51867940">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备注：包含设备运输费用。</w:t>
            </w:r>
          </w:p>
        </w:tc>
      </w:tr>
      <w:tr w14:paraId="4B4F7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237" w:type="pct"/>
            <w:vAlign w:val="center"/>
          </w:tcPr>
          <w:p w14:paraId="2635C2E8">
            <w:pPr>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4</w:t>
            </w:r>
          </w:p>
        </w:tc>
        <w:tc>
          <w:tcPr>
            <w:tcW w:w="428" w:type="pct"/>
            <w:vAlign w:val="center"/>
          </w:tcPr>
          <w:p w14:paraId="080B9340">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LED屏幕租赁</w:t>
            </w:r>
          </w:p>
        </w:tc>
        <w:tc>
          <w:tcPr>
            <w:tcW w:w="1162" w:type="pct"/>
            <w:vMerge w:val="continue"/>
          </w:tcPr>
          <w:p w14:paraId="3517CFED">
            <w:pPr>
              <w:widowControl/>
              <w:numPr>
                <w:ilvl w:val="0"/>
                <w:numId w:val="0"/>
              </w:numPr>
              <w:spacing w:line="360" w:lineRule="auto"/>
              <w:jc w:val="left"/>
              <w:rPr>
                <w:rFonts w:hint="default" w:ascii="Times New Roman" w:hAnsi="Times New Roman" w:eastAsia="方正兰亭黑简体" w:cs="Times New Roman"/>
                <w:color w:val="auto"/>
                <w:sz w:val="22"/>
                <w:szCs w:val="22"/>
                <w:highlight w:val="none"/>
                <w:lang w:val="en-US" w:eastAsia="zh-CN"/>
              </w:rPr>
            </w:pPr>
          </w:p>
        </w:tc>
        <w:tc>
          <w:tcPr>
            <w:tcW w:w="3171" w:type="pct"/>
            <w:vAlign w:val="center"/>
          </w:tcPr>
          <w:p w14:paraId="0A889392">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P2.5高清LED大屏（长15米高5.5米）、雷尔架、S3大屏服务器及配件；</w:t>
            </w:r>
          </w:p>
          <w:p w14:paraId="37E9496F">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备注：包含设备运输费用。</w:t>
            </w:r>
          </w:p>
        </w:tc>
      </w:tr>
      <w:tr w14:paraId="2656D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237" w:type="pct"/>
            <w:vAlign w:val="center"/>
          </w:tcPr>
          <w:p w14:paraId="2B066EE0">
            <w:pPr>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5</w:t>
            </w:r>
          </w:p>
        </w:tc>
        <w:tc>
          <w:tcPr>
            <w:tcW w:w="428" w:type="pct"/>
            <w:vAlign w:val="center"/>
          </w:tcPr>
          <w:p w14:paraId="44DE8CE1">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视频制作</w:t>
            </w:r>
          </w:p>
        </w:tc>
        <w:tc>
          <w:tcPr>
            <w:tcW w:w="1162" w:type="pct"/>
          </w:tcPr>
          <w:p w14:paraId="45AE97D6">
            <w:pPr>
              <w:widowControl/>
              <w:numPr>
                <w:ilvl w:val="-1"/>
                <w:numId w:val="0"/>
              </w:numPr>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自合同生效之日起至活动完全结束</w:t>
            </w:r>
          </w:p>
        </w:tc>
        <w:tc>
          <w:tcPr>
            <w:tcW w:w="3171" w:type="pct"/>
            <w:vAlign w:val="center"/>
          </w:tcPr>
          <w:p w14:paraId="472DE0F3">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节目背景视频素材制作（12个节目）、视频特效制作含AI视频、活动总流程视频制作（多机位剪辑，整个活动视频需全程添加字幕）</w:t>
            </w:r>
          </w:p>
        </w:tc>
      </w:tr>
      <w:tr w14:paraId="354EB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237" w:type="pct"/>
            <w:vAlign w:val="center"/>
          </w:tcPr>
          <w:p w14:paraId="6AE34864">
            <w:pPr>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6</w:t>
            </w:r>
          </w:p>
        </w:tc>
        <w:tc>
          <w:tcPr>
            <w:tcW w:w="428" w:type="pct"/>
            <w:vAlign w:val="center"/>
          </w:tcPr>
          <w:p w14:paraId="3C17C382">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人员配置</w:t>
            </w:r>
          </w:p>
        </w:tc>
        <w:tc>
          <w:tcPr>
            <w:tcW w:w="1162" w:type="pct"/>
          </w:tcPr>
          <w:p w14:paraId="49166C15">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人员1、2、3服务期限为自合同生效之日起至活动完全结束。</w:t>
            </w:r>
          </w:p>
          <w:p w14:paraId="4D94C76E">
            <w:pPr>
              <w:widowControl/>
              <w:numPr>
                <w:ilvl w:val="-1"/>
                <w:numId w:val="0"/>
              </w:numPr>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人员4服务期限：（1）彩排：6月</w:t>
            </w:r>
            <w:r>
              <w:rPr>
                <w:rFonts w:hint="eastAsia" w:ascii="Times New Roman" w:hAnsi="Times New Roman" w:eastAsia="方正兰亭黑简体" w:cs="Times New Roman"/>
                <w:color w:val="auto"/>
                <w:sz w:val="22"/>
                <w:szCs w:val="22"/>
                <w:highlight w:val="none"/>
                <w:lang w:val="en-US" w:eastAsia="zh-CN"/>
              </w:rPr>
              <w:t>22</w:t>
            </w:r>
            <w:r>
              <w:rPr>
                <w:rFonts w:hint="default" w:ascii="Times New Roman" w:hAnsi="Times New Roman" w:eastAsia="方正兰亭黑简体" w:cs="Times New Roman"/>
                <w:color w:val="auto"/>
                <w:sz w:val="22"/>
                <w:szCs w:val="22"/>
                <w:highlight w:val="none"/>
                <w:lang w:val="en-US" w:eastAsia="zh-CN"/>
              </w:rPr>
              <w:t>日、</w:t>
            </w:r>
            <w:r>
              <w:rPr>
                <w:rFonts w:hint="eastAsia" w:ascii="Times New Roman" w:hAnsi="Times New Roman" w:eastAsia="方正兰亭黑简体" w:cs="Times New Roman"/>
                <w:color w:val="auto"/>
                <w:sz w:val="22"/>
                <w:szCs w:val="22"/>
                <w:highlight w:val="none"/>
                <w:lang w:val="en-US" w:eastAsia="zh-CN"/>
              </w:rPr>
              <w:t>23</w:t>
            </w:r>
            <w:r>
              <w:rPr>
                <w:rFonts w:hint="default" w:ascii="Times New Roman" w:hAnsi="Times New Roman" w:eastAsia="方正兰亭黑简体" w:cs="Times New Roman"/>
                <w:color w:val="auto"/>
                <w:sz w:val="22"/>
                <w:szCs w:val="22"/>
                <w:highlight w:val="none"/>
                <w:lang w:val="en-US" w:eastAsia="zh-CN"/>
              </w:rPr>
              <w:t>日全天，6月</w:t>
            </w:r>
            <w:r>
              <w:rPr>
                <w:rFonts w:hint="eastAsia" w:ascii="Times New Roman" w:hAnsi="Times New Roman" w:eastAsia="方正兰亭黑简体" w:cs="Times New Roman"/>
                <w:color w:val="auto"/>
                <w:sz w:val="22"/>
                <w:szCs w:val="22"/>
                <w:highlight w:val="none"/>
                <w:lang w:val="en-US" w:eastAsia="zh-CN"/>
              </w:rPr>
              <w:t>24</w:t>
            </w:r>
            <w:r>
              <w:rPr>
                <w:rFonts w:hint="default" w:ascii="Times New Roman" w:hAnsi="Times New Roman" w:eastAsia="方正兰亭黑简体" w:cs="Times New Roman"/>
                <w:color w:val="auto"/>
                <w:sz w:val="22"/>
                <w:szCs w:val="22"/>
                <w:highlight w:val="none"/>
                <w:lang w:val="en-US" w:eastAsia="zh-CN"/>
              </w:rPr>
              <w:t>日上午。</w:t>
            </w:r>
          </w:p>
          <w:p w14:paraId="24837AD6">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（2）演出：6月</w:t>
            </w:r>
            <w:r>
              <w:rPr>
                <w:rFonts w:hint="eastAsia" w:ascii="Times New Roman" w:hAnsi="Times New Roman" w:eastAsia="方正兰亭黑简体" w:cs="Times New Roman"/>
                <w:color w:val="auto"/>
                <w:sz w:val="22"/>
                <w:szCs w:val="22"/>
                <w:highlight w:val="none"/>
                <w:lang w:val="en-US" w:eastAsia="zh-CN"/>
              </w:rPr>
              <w:t>24</w:t>
            </w:r>
            <w:r>
              <w:rPr>
                <w:rFonts w:hint="default" w:ascii="Times New Roman" w:hAnsi="Times New Roman" w:eastAsia="方正兰亭黑简体" w:cs="Times New Roman"/>
                <w:color w:val="auto"/>
                <w:sz w:val="22"/>
                <w:szCs w:val="22"/>
                <w:highlight w:val="none"/>
                <w:lang w:val="en-US" w:eastAsia="zh-CN"/>
              </w:rPr>
              <w:t>日下午</w:t>
            </w:r>
          </w:p>
        </w:tc>
        <w:tc>
          <w:tcPr>
            <w:tcW w:w="3171" w:type="pct"/>
            <w:vAlign w:val="center"/>
          </w:tcPr>
          <w:p w14:paraId="2D947F2E">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1.活动总导演1人（需提前参与活动整体策划，彩排、活动现场，工作经验在10年以上，以电视台导演为佳）；2.语言类节目指导1人（需提前参与节目辅导，彩排、活动现场，工作经验在10年以上，以电视台编导为佳）；3.语言类节目文字指导1人；4.现场执行导演1人、大屏内容导演1人、ppt修改编辑1人、音乐编辑1人、平面设计及延展设计、舞台监督1人、化妆师发型师5人、摄影含云相册1人、摄像2人、现场执行人员4人、工作人员含搭建10人</w:t>
            </w:r>
          </w:p>
        </w:tc>
      </w:tr>
      <w:tr w14:paraId="3A42E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237" w:type="pct"/>
            <w:vAlign w:val="center"/>
          </w:tcPr>
          <w:p w14:paraId="56786823">
            <w:pPr>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7</w:t>
            </w:r>
          </w:p>
        </w:tc>
        <w:tc>
          <w:tcPr>
            <w:tcW w:w="428" w:type="pct"/>
            <w:vAlign w:val="center"/>
          </w:tcPr>
          <w:p w14:paraId="6D44B94C">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现场氛围物料</w:t>
            </w:r>
          </w:p>
        </w:tc>
        <w:tc>
          <w:tcPr>
            <w:tcW w:w="1162" w:type="pct"/>
          </w:tcPr>
          <w:p w14:paraId="0CC1E48F">
            <w:pPr>
              <w:widowControl/>
              <w:numPr>
                <w:ilvl w:val="-1"/>
                <w:numId w:val="0"/>
              </w:numPr>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（1）彩排：6月</w:t>
            </w:r>
            <w:r>
              <w:rPr>
                <w:rFonts w:hint="eastAsia" w:ascii="Times New Roman" w:hAnsi="Times New Roman" w:eastAsia="方正兰亭黑简体" w:cs="Times New Roman"/>
                <w:color w:val="auto"/>
                <w:sz w:val="22"/>
                <w:szCs w:val="22"/>
                <w:highlight w:val="none"/>
                <w:lang w:val="en-US" w:eastAsia="zh-CN"/>
              </w:rPr>
              <w:t>22</w:t>
            </w:r>
            <w:r>
              <w:rPr>
                <w:rFonts w:hint="default" w:ascii="Times New Roman" w:hAnsi="Times New Roman" w:eastAsia="方正兰亭黑简体" w:cs="Times New Roman"/>
                <w:color w:val="auto"/>
                <w:sz w:val="22"/>
                <w:szCs w:val="22"/>
                <w:highlight w:val="none"/>
                <w:lang w:val="en-US" w:eastAsia="zh-CN"/>
              </w:rPr>
              <w:t>日、</w:t>
            </w:r>
            <w:r>
              <w:rPr>
                <w:rFonts w:hint="eastAsia" w:ascii="Times New Roman" w:hAnsi="Times New Roman" w:eastAsia="方正兰亭黑简体" w:cs="Times New Roman"/>
                <w:color w:val="auto"/>
                <w:sz w:val="22"/>
                <w:szCs w:val="22"/>
                <w:highlight w:val="none"/>
                <w:lang w:val="en-US" w:eastAsia="zh-CN"/>
              </w:rPr>
              <w:t>23</w:t>
            </w:r>
            <w:r>
              <w:rPr>
                <w:rFonts w:hint="default" w:ascii="Times New Roman" w:hAnsi="Times New Roman" w:eastAsia="方正兰亭黑简体" w:cs="Times New Roman"/>
                <w:color w:val="auto"/>
                <w:sz w:val="22"/>
                <w:szCs w:val="22"/>
                <w:highlight w:val="none"/>
                <w:lang w:val="en-US" w:eastAsia="zh-CN"/>
              </w:rPr>
              <w:t>日全天，6月</w:t>
            </w:r>
            <w:r>
              <w:rPr>
                <w:rFonts w:hint="eastAsia" w:ascii="Times New Roman" w:hAnsi="Times New Roman" w:eastAsia="方正兰亭黑简体" w:cs="Times New Roman"/>
                <w:color w:val="auto"/>
                <w:sz w:val="22"/>
                <w:szCs w:val="22"/>
                <w:highlight w:val="none"/>
                <w:lang w:val="en-US" w:eastAsia="zh-CN"/>
              </w:rPr>
              <w:t>24</w:t>
            </w:r>
            <w:r>
              <w:rPr>
                <w:rFonts w:hint="default" w:ascii="Times New Roman" w:hAnsi="Times New Roman" w:eastAsia="方正兰亭黑简体" w:cs="Times New Roman"/>
                <w:color w:val="auto"/>
                <w:sz w:val="22"/>
                <w:szCs w:val="22"/>
                <w:highlight w:val="none"/>
                <w:lang w:val="en-US" w:eastAsia="zh-CN"/>
              </w:rPr>
              <w:t>日上午。</w:t>
            </w:r>
          </w:p>
          <w:p w14:paraId="39E69035">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（2）演出：6月</w:t>
            </w:r>
            <w:r>
              <w:rPr>
                <w:rFonts w:hint="eastAsia" w:ascii="Times New Roman" w:hAnsi="Times New Roman" w:eastAsia="方正兰亭黑简体" w:cs="Times New Roman"/>
                <w:color w:val="auto"/>
                <w:sz w:val="22"/>
                <w:szCs w:val="22"/>
                <w:highlight w:val="none"/>
                <w:lang w:val="en-US" w:eastAsia="zh-CN"/>
              </w:rPr>
              <w:t>24</w:t>
            </w:r>
            <w:r>
              <w:rPr>
                <w:rFonts w:hint="default" w:ascii="Times New Roman" w:hAnsi="Times New Roman" w:eastAsia="方正兰亭黑简体" w:cs="Times New Roman"/>
                <w:color w:val="auto"/>
                <w:sz w:val="22"/>
                <w:szCs w:val="22"/>
                <w:highlight w:val="none"/>
                <w:lang w:val="en-US" w:eastAsia="zh-CN"/>
              </w:rPr>
              <w:t>日下午。</w:t>
            </w:r>
          </w:p>
        </w:tc>
        <w:tc>
          <w:tcPr>
            <w:tcW w:w="3171" w:type="pct"/>
            <w:vAlign w:val="center"/>
          </w:tcPr>
          <w:p w14:paraId="104FB6A1">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小党旗600面、小国旗600面、领结40个、丝巾40根、手卡120张、主持人服装1套、木架1个、入党誓词KT板1块</w:t>
            </w:r>
          </w:p>
        </w:tc>
      </w:tr>
    </w:tbl>
    <w:p w14:paraId="54A7173E">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w:t>
      </w:r>
      <w:r>
        <w:rPr>
          <w:rFonts w:hint="eastAsia" w:ascii="Times New Roman" w:hAnsi="Times New Roman" w:eastAsia="方正兰亭黑简体" w:cs="Times New Roman"/>
          <w:color w:val="auto"/>
          <w:sz w:val="22"/>
          <w:szCs w:val="22"/>
          <w:highlight w:val="none"/>
          <w:lang w:val="en-US" w:eastAsia="zh-CN"/>
        </w:rPr>
        <w:t>1</w:t>
      </w:r>
      <w:r>
        <w:rPr>
          <w:rFonts w:hint="default" w:ascii="Times New Roman" w:hAnsi="Times New Roman" w:eastAsia="方正兰亭黑简体" w:cs="Times New Roman"/>
          <w:color w:val="auto"/>
          <w:sz w:val="22"/>
          <w:szCs w:val="22"/>
          <w:highlight w:val="none"/>
          <w:lang w:val="en-US" w:eastAsia="zh-CN"/>
        </w:rPr>
        <w:t>）材料要求</w:t>
      </w:r>
    </w:p>
    <w:p w14:paraId="352565A1">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需自行适配符合专业要求的设备，所有服务过程中产生的原始素材、工程文件需完整归档交付，交付的电子文件格式需为通用标准格式，符合学校存储、再编辑的要求。</w:t>
      </w:r>
    </w:p>
    <w:p w14:paraId="3E39178D">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w:t>
      </w:r>
      <w:r>
        <w:rPr>
          <w:rFonts w:hint="eastAsia" w:ascii="Times New Roman" w:hAnsi="Times New Roman" w:eastAsia="方正兰亭黑简体" w:cs="Times New Roman"/>
          <w:color w:val="auto"/>
          <w:sz w:val="22"/>
          <w:szCs w:val="22"/>
          <w:highlight w:val="none"/>
          <w:lang w:val="en-US" w:eastAsia="zh-CN"/>
        </w:rPr>
        <w:t>2</w:t>
      </w:r>
      <w:r>
        <w:rPr>
          <w:rFonts w:hint="default" w:ascii="Times New Roman" w:hAnsi="Times New Roman" w:eastAsia="方正兰亭黑简体" w:cs="Times New Roman"/>
          <w:color w:val="auto"/>
          <w:sz w:val="22"/>
          <w:szCs w:val="22"/>
          <w:highlight w:val="none"/>
          <w:lang w:val="en-US" w:eastAsia="zh-CN"/>
        </w:rPr>
        <w:t>）安全要求</w:t>
      </w:r>
    </w:p>
    <w:p w14:paraId="03F7AAE8">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所有内容需经过严格的校对审核，确保不存在政治错误、史实错误、表述错误，不存在版权纠纷、肖像权纠纷，所有素材均为原创或获得合法授权。</w:t>
      </w:r>
    </w:p>
    <w:p w14:paraId="4B31CA80">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eastAsia="zh-CN"/>
        </w:rPr>
        <w:t>（</w:t>
      </w:r>
      <w:r>
        <w:rPr>
          <w:rFonts w:hint="eastAsia" w:ascii="Times New Roman" w:hAnsi="Times New Roman" w:eastAsia="方正兰亭黑简体" w:cs="Times New Roman"/>
          <w:color w:val="auto"/>
          <w:sz w:val="22"/>
          <w:szCs w:val="22"/>
          <w:highlight w:val="none"/>
          <w:lang w:val="en-US" w:eastAsia="zh-CN"/>
        </w:rPr>
        <w:t>3</w:t>
      </w:r>
      <w:r>
        <w:rPr>
          <w:rFonts w:hint="eastAsia"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规范</w:t>
      </w:r>
      <w:r>
        <w:rPr>
          <w:rFonts w:hint="eastAsia" w:ascii="Times New Roman" w:hAnsi="Times New Roman" w:eastAsia="方正兰亭黑简体" w:cs="Times New Roman"/>
          <w:color w:val="auto"/>
          <w:sz w:val="22"/>
          <w:szCs w:val="22"/>
          <w:highlight w:val="none"/>
          <w:lang w:val="en-US" w:eastAsia="zh-CN"/>
        </w:rPr>
        <w:t>要求</w:t>
      </w:r>
    </w:p>
    <w:p w14:paraId="3D18CBFA">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本项目需符合高校思政宣传内容审核相关规范要求。</w:t>
      </w:r>
    </w:p>
    <w:p w14:paraId="50E9FF47">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sz w:val="22"/>
          <w:szCs w:val="22"/>
          <w:highlight w:val="none"/>
          <w:lang w:val="en-US" w:eastAsia="zh-CN"/>
        </w:rPr>
        <w:t>（4）其他</w:t>
      </w:r>
      <w:r>
        <w:rPr>
          <w:rFonts w:hint="default" w:ascii="Times New Roman" w:hAnsi="Times New Roman" w:eastAsia="方正兰亭黑简体" w:cs="Times New Roman"/>
          <w:color w:val="auto"/>
          <w:sz w:val="22"/>
          <w:szCs w:val="22"/>
          <w:highlight w:val="none"/>
        </w:rPr>
        <w:t>要求</w:t>
      </w:r>
    </w:p>
    <w:tbl>
      <w:tblPr>
        <w:tblStyle w:val="14"/>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6"/>
        <w:gridCol w:w="1756"/>
        <w:gridCol w:w="7390"/>
      </w:tblGrid>
      <w:tr w14:paraId="345AA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5" w:type="pct"/>
            <w:vAlign w:val="center"/>
          </w:tcPr>
          <w:p w14:paraId="25122D1F">
            <w:pPr>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序号</w:t>
            </w:r>
          </w:p>
        </w:tc>
        <w:tc>
          <w:tcPr>
            <w:tcW w:w="882" w:type="pct"/>
            <w:vAlign w:val="center"/>
          </w:tcPr>
          <w:p w14:paraId="7C4CDE52">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指标名称</w:t>
            </w:r>
          </w:p>
        </w:tc>
        <w:tc>
          <w:tcPr>
            <w:tcW w:w="3711" w:type="pct"/>
            <w:vAlign w:val="center"/>
          </w:tcPr>
          <w:p w14:paraId="57F56F9A">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指标要求</w:t>
            </w:r>
          </w:p>
        </w:tc>
      </w:tr>
      <w:tr w14:paraId="3CA21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5" w:type="pct"/>
            <w:vAlign w:val="center"/>
          </w:tcPr>
          <w:p w14:paraId="3821098F">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882" w:type="pct"/>
            <w:vAlign w:val="center"/>
          </w:tcPr>
          <w:p w14:paraId="22DEBB84">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成片分辨率及格式要求</w:t>
            </w:r>
          </w:p>
        </w:tc>
        <w:tc>
          <w:tcPr>
            <w:tcW w:w="3711" w:type="pct"/>
            <w:vAlign w:val="center"/>
          </w:tcPr>
          <w:p w14:paraId="0BEEA9CF">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视频成品分辨率不低于1920*1080，交付格式为MP4格式</w:t>
            </w:r>
          </w:p>
        </w:tc>
      </w:tr>
      <w:tr w14:paraId="050FE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5" w:type="pct"/>
            <w:vAlign w:val="center"/>
          </w:tcPr>
          <w:p w14:paraId="59A11888">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p>
        </w:tc>
        <w:tc>
          <w:tcPr>
            <w:tcW w:w="882" w:type="pct"/>
            <w:vAlign w:val="center"/>
          </w:tcPr>
          <w:p w14:paraId="35CE529F">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交付成果完整性要求</w:t>
            </w:r>
          </w:p>
        </w:tc>
        <w:tc>
          <w:tcPr>
            <w:tcW w:w="3711" w:type="pct"/>
            <w:vAlign w:val="center"/>
          </w:tcPr>
          <w:p w14:paraId="535CF301">
            <w:pPr>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需交付全部剪辑工程文件、成品视频</w:t>
            </w:r>
            <w:r>
              <w:rPr>
                <w:rFonts w:hint="eastAsia" w:ascii="Times New Roman" w:hAnsi="Times New Roman" w:eastAsia="方正兰亭黑简体" w:cs="Times New Roman"/>
                <w:color w:val="auto"/>
                <w:sz w:val="22"/>
                <w:szCs w:val="22"/>
                <w:highlight w:val="none"/>
                <w:lang w:val="en-US" w:eastAsia="zh-CN"/>
              </w:rPr>
              <w:t>；视频成果采用网盘形式存储，对于网络链接失效的文件，供应商应及时补全</w:t>
            </w:r>
            <w:r>
              <w:rPr>
                <w:rFonts w:hint="eastAsia" w:ascii="Times New Roman" w:hAnsi="Times New Roman" w:eastAsia="方正兰亭黑简体" w:cs="Times New Roman"/>
                <w:color w:val="auto"/>
                <w:sz w:val="22"/>
                <w:szCs w:val="22"/>
                <w:highlight w:val="none"/>
                <w:lang w:val="zh-CN" w:eastAsia="zh-CN"/>
              </w:rPr>
              <w:t>。</w:t>
            </w:r>
          </w:p>
        </w:tc>
      </w:tr>
      <w:tr w14:paraId="13EDF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5" w:type="pct"/>
            <w:vAlign w:val="center"/>
          </w:tcPr>
          <w:p w14:paraId="3BD2ED04">
            <w:pPr>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3</w:t>
            </w:r>
          </w:p>
        </w:tc>
        <w:tc>
          <w:tcPr>
            <w:tcW w:w="882" w:type="pct"/>
            <w:vAlign w:val="center"/>
          </w:tcPr>
          <w:p w14:paraId="04DDB948">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交付时间要求</w:t>
            </w:r>
          </w:p>
        </w:tc>
        <w:tc>
          <w:tcPr>
            <w:tcW w:w="3711" w:type="pct"/>
            <w:vAlign w:val="center"/>
          </w:tcPr>
          <w:p w14:paraId="31F433AA">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自合同签订后在规定时间内完成所有舞台展现辅导、搭建、执行</w:t>
            </w:r>
          </w:p>
        </w:tc>
      </w:tr>
      <w:tr w14:paraId="75E2C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5" w:type="pct"/>
            <w:vAlign w:val="center"/>
          </w:tcPr>
          <w:p w14:paraId="53887E91">
            <w:pPr>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4</w:t>
            </w:r>
          </w:p>
        </w:tc>
        <w:tc>
          <w:tcPr>
            <w:tcW w:w="882" w:type="pct"/>
            <w:vAlign w:val="center"/>
          </w:tcPr>
          <w:p w14:paraId="6F3C2D16">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知识产权与版权要求</w:t>
            </w:r>
          </w:p>
        </w:tc>
        <w:tc>
          <w:tcPr>
            <w:tcW w:w="3711" w:type="pct"/>
            <w:vAlign w:val="center"/>
          </w:tcPr>
          <w:p w14:paraId="509BB373">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本项目所有交付成果的知识产权均归采购人所有，供应商不得对成果进行任何形式的使用、传播或授权第三方使用，不得泄露项目采访中的未公开内容，若产生知识产权纠纷，全部责任由供应商承担。</w:t>
            </w:r>
          </w:p>
        </w:tc>
      </w:tr>
      <w:tr w14:paraId="6C077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5" w:type="pct"/>
            <w:vAlign w:val="center"/>
          </w:tcPr>
          <w:p w14:paraId="53668DD1">
            <w:pPr>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5、</w:t>
            </w:r>
          </w:p>
        </w:tc>
        <w:tc>
          <w:tcPr>
            <w:tcW w:w="882" w:type="pct"/>
            <w:vAlign w:val="center"/>
          </w:tcPr>
          <w:p w14:paraId="419C4247">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配合服务</w:t>
            </w:r>
          </w:p>
        </w:tc>
        <w:tc>
          <w:tcPr>
            <w:tcW w:w="3711" w:type="pct"/>
            <w:vAlign w:val="center"/>
          </w:tcPr>
          <w:p w14:paraId="2752DC20">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供</w:t>
            </w:r>
            <w:r>
              <w:rPr>
                <w:rFonts w:hint="eastAsia" w:ascii="Times New Roman" w:hAnsi="Times New Roman" w:eastAsia="方正兰亭黑简体" w:cs="Times New Roman"/>
                <w:color w:val="auto"/>
                <w:sz w:val="22"/>
                <w:szCs w:val="22"/>
                <w:highlight w:val="none"/>
                <w:lang w:val="zh-CN" w:eastAsia="zh-CN"/>
              </w:rPr>
              <w:t>应商需安排专人对接本项目，质保期内接到采购人报修或调整需求后，需在2个工作日内响应并给出解决方案，及时配合完成调整修改工作。</w:t>
            </w:r>
          </w:p>
        </w:tc>
      </w:tr>
      <w:tr w14:paraId="54E5E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5" w:type="pct"/>
            <w:vAlign w:val="center"/>
          </w:tcPr>
          <w:p w14:paraId="194D0695">
            <w:pPr>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6</w:t>
            </w:r>
          </w:p>
        </w:tc>
        <w:tc>
          <w:tcPr>
            <w:tcW w:w="882" w:type="pct"/>
            <w:vAlign w:val="center"/>
          </w:tcPr>
          <w:p w14:paraId="13E7E519">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履约验收</w:t>
            </w:r>
          </w:p>
        </w:tc>
        <w:tc>
          <w:tcPr>
            <w:tcW w:w="3711" w:type="pct"/>
            <w:vAlign w:val="center"/>
          </w:tcPr>
          <w:p w14:paraId="1B74DDBF">
            <w:pPr>
              <w:widowControl/>
              <w:spacing w:line="360" w:lineRule="auto"/>
              <w:jc w:val="left"/>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zh-CN" w:eastAsia="zh-CN"/>
              </w:rPr>
              <w:t>项目完成后，由</w:t>
            </w:r>
            <w:r>
              <w:rPr>
                <w:rFonts w:hint="eastAsia" w:ascii="Times New Roman" w:hAnsi="Times New Roman" w:eastAsia="方正兰亭黑简体" w:cs="Times New Roman"/>
                <w:color w:val="auto"/>
                <w:sz w:val="22"/>
                <w:szCs w:val="22"/>
                <w:highlight w:val="none"/>
                <w:lang w:val="en-US" w:eastAsia="zh-CN"/>
              </w:rPr>
              <w:t>校方</w:t>
            </w:r>
            <w:r>
              <w:rPr>
                <w:rFonts w:hint="eastAsia" w:ascii="Times New Roman" w:hAnsi="Times New Roman" w:eastAsia="方正兰亭黑简体" w:cs="Times New Roman"/>
                <w:color w:val="auto"/>
                <w:sz w:val="22"/>
                <w:szCs w:val="22"/>
                <w:highlight w:val="none"/>
                <w:lang w:val="zh-CN" w:eastAsia="zh-CN"/>
              </w:rPr>
              <w:t>组织相关人员对交付成果进行验收，成果需符合本采购需求书所列的全部技术、商务指标要求，经审核内容合格、成果完整即为验收通过。</w:t>
            </w:r>
          </w:p>
        </w:tc>
      </w:tr>
    </w:tbl>
    <w:p w14:paraId="316F4EB3">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p>
    <w:p w14:paraId="61650663">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vAlign w:val="center"/>
          </w:tcPr>
          <w:p w14:paraId="04667E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vAlign w:val="center"/>
          </w:tcPr>
          <w:p w14:paraId="6B1AA947">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vAlign w:val="center"/>
          </w:tcPr>
          <w:p w14:paraId="78DCF4D6">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vAlign w:val="center"/>
          </w:tcPr>
          <w:p w14:paraId="6E043E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2F6FAA4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vAlign w:val="center"/>
          </w:tcPr>
          <w:p w14:paraId="69E5170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采用低价优先法计算，即满足比选文件要求且最低的报价为基准价，其价格分为满分20分。其他报价单位的报价得分计算公式如下：报价得分＝20×（评标基准价/投标报价）。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9" w:type="pct"/>
            <w:vAlign w:val="center"/>
          </w:tcPr>
          <w:p w14:paraId="7AF339F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557659E">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74E23610">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6</w:t>
            </w:r>
            <w:r>
              <w:rPr>
                <w:rFonts w:hint="eastAsia" w:ascii="方正兰亭黑简体" w:hAnsi="方正兰亭黑简体" w:eastAsia="方正兰亭黑简体" w:cs="方正兰亭黑简体"/>
                <w:color w:val="auto"/>
                <w:sz w:val="20"/>
                <w:szCs w:val="20"/>
                <w:highlight w:val="none"/>
              </w:rPr>
              <w:t>月1日起至今）业绩案例。（每提供1个得5分；最高得15分）注：需提供相关业绩的合同复印件，否则将不予认可。</w:t>
            </w:r>
          </w:p>
        </w:tc>
      </w:tr>
      <w:tr w14:paraId="6AF9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vAlign w:val="center"/>
          </w:tcPr>
          <w:p w14:paraId="4780BF04">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669" w:type="pct"/>
            <w:vAlign w:val="center"/>
          </w:tcPr>
          <w:p w14:paraId="312CC6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服务响应程度</w:t>
            </w:r>
          </w:p>
          <w:p w14:paraId="1DD2C7B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A438D6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4C942918">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针对第二章中的采购需求：不满足技术条款的，每项扣3分；扣完为止。</w:t>
            </w:r>
          </w:p>
        </w:tc>
      </w:tr>
      <w:tr w14:paraId="4D0BBB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vAlign w:val="center"/>
          </w:tcPr>
          <w:p w14:paraId="788752C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669" w:type="pct"/>
            <w:tcBorders>
              <w:top w:val="single" w:color="auto" w:sz="6" w:space="0"/>
              <w:left w:val="single" w:color="auto" w:sz="6" w:space="0"/>
              <w:bottom w:val="single" w:color="auto" w:sz="6" w:space="0"/>
              <w:right w:val="single" w:color="auto" w:sz="6" w:space="0"/>
            </w:tcBorders>
            <w:vAlign w:val="center"/>
          </w:tcPr>
          <w:p w14:paraId="7A8085A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2F94F36C">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004B4B4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635" w:type="pct"/>
            <w:vAlign w:val="center"/>
          </w:tcPr>
          <w:p w14:paraId="6393C2D9">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优秀（21～30分）：方案整体质量高，方案合理可行性强，响应措施及时高效，项目进度安排紧凑合理。</w:t>
            </w:r>
          </w:p>
          <w:p w14:paraId="36A6F9C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良好（11～20分）：方案整体质量较好，响应措施尚可，方案个别细节有待进一步完善。</w:t>
            </w:r>
          </w:p>
          <w:p w14:paraId="3EC9A56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一般（6～10分）：方案整体质量一般，合理性与可行性一般，存在风险但总体可控的。</w:t>
            </w:r>
          </w:p>
          <w:p w14:paraId="58DA62C3">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较差（0～5分）：方案整体质量较差，与项目实际契合度低的。</w:t>
            </w:r>
          </w:p>
        </w:tc>
      </w:tr>
      <w:tr w14:paraId="3BB31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vAlign w:val="center"/>
          </w:tcPr>
          <w:p w14:paraId="5628672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669" w:type="pct"/>
            <w:vAlign w:val="center"/>
          </w:tcPr>
          <w:p w14:paraId="6709E7B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20BE35A">
            <w:pPr>
              <w:pStyle w:val="13"/>
              <w:ind w:firstLine="200"/>
              <w:rPr>
                <w:color w:val="auto"/>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1D1DB5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tcPr>
          <w:p w14:paraId="17BC9C7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优秀（16～20分）：服务承诺等合理可行。</w:t>
            </w:r>
          </w:p>
          <w:p w14:paraId="39CBBAF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良好（11～15分）：服务承诺等比较合理。</w:t>
            </w:r>
          </w:p>
          <w:p w14:paraId="57D0EDA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一般（6～10分）：服务承诺等合理性与可行性一般。</w:t>
            </w:r>
          </w:p>
          <w:p w14:paraId="053ACC0F">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较差（0～5分）：服务承诺等合理性与可行性较差。</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28C0DCFE">
      <w:pP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HFBX2026047</w:t>
      </w:r>
      <w:r>
        <w:rPr>
          <w:rFonts w:hint="eastAsia" w:ascii="黑体" w:hAnsi="华文楷体" w:eastAsia="黑体"/>
          <w:b/>
          <w:color w:val="auto"/>
          <w:sz w:val="36"/>
          <w:szCs w:val="36"/>
          <w:highlight w:val="none"/>
        </w:rPr>
        <w:t xml:space="preserve">                     </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8"/>
          <w:rFonts w:ascii="黑体" w:hAnsi="华文楷体" w:eastAsia="黑体"/>
          <w:b/>
          <w:color w:val="auto"/>
          <w:sz w:val="24"/>
          <w:highlight w:val="none"/>
        </w:rPr>
        <w:t>quotation@shmtu.edu.cn</w:t>
      </w:r>
      <w:r>
        <w:rPr>
          <w:rStyle w:val="18"/>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184D96DB">
      <w:pPr>
        <w:spacing w:line="440" w:lineRule="exact"/>
        <w:rPr>
          <w:rFonts w:hint="eastAsia" w:ascii="黑体" w:hAnsi="华文楷体" w:eastAsia="黑体"/>
          <w:b/>
          <w:color w:val="auto"/>
          <w:sz w:val="24"/>
          <w:highlight w:val="none"/>
        </w:rPr>
      </w:pPr>
    </w:p>
    <w:tbl>
      <w:tblPr>
        <w:tblStyle w:val="14"/>
        <w:tblW w:w="498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11"/>
        <w:gridCol w:w="4494"/>
        <w:gridCol w:w="2600"/>
        <w:gridCol w:w="2066"/>
      </w:tblGrid>
      <w:tr w14:paraId="164CE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313" w:type="pct"/>
            <w:tcBorders>
              <w:top w:val="single" w:color="auto" w:sz="12" w:space="0"/>
              <w:left w:val="single" w:color="auto" w:sz="12" w:space="0"/>
              <w:bottom w:val="double" w:color="auto" w:sz="4" w:space="0"/>
            </w:tcBorders>
            <w:vAlign w:val="center"/>
          </w:tcPr>
          <w:p w14:paraId="2BBD17A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序号</w:t>
            </w:r>
          </w:p>
        </w:tc>
        <w:tc>
          <w:tcPr>
            <w:tcW w:w="2299" w:type="pct"/>
            <w:tcBorders>
              <w:top w:val="single" w:color="auto" w:sz="12" w:space="0"/>
              <w:bottom w:val="double" w:color="auto" w:sz="4" w:space="0"/>
            </w:tcBorders>
            <w:vAlign w:val="center"/>
          </w:tcPr>
          <w:p w14:paraId="1041179F">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项目名称</w:t>
            </w:r>
          </w:p>
        </w:tc>
        <w:tc>
          <w:tcPr>
            <w:tcW w:w="1330" w:type="pct"/>
            <w:tcBorders>
              <w:top w:val="single" w:color="auto" w:sz="12" w:space="0"/>
              <w:bottom w:val="double" w:color="auto" w:sz="4" w:space="0"/>
              <w:right w:val="single" w:color="auto" w:sz="4" w:space="0"/>
            </w:tcBorders>
            <w:vAlign w:val="center"/>
          </w:tcPr>
          <w:p w14:paraId="2C33D9D9">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项目报价（元）</w:t>
            </w:r>
          </w:p>
        </w:tc>
        <w:tc>
          <w:tcPr>
            <w:tcW w:w="1057" w:type="pct"/>
            <w:tcBorders>
              <w:top w:val="single" w:color="auto" w:sz="12" w:space="0"/>
              <w:left w:val="single" w:color="auto" w:sz="4" w:space="0"/>
              <w:bottom w:val="double" w:color="auto" w:sz="4" w:space="0"/>
              <w:right w:val="single" w:color="auto" w:sz="12" w:space="0"/>
            </w:tcBorders>
            <w:vAlign w:val="center"/>
          </w:tcPr>
          <w:p w14:paraId="5C391E51">
            <w:pPr>
              <w:tabs>
                <w:tab w:val="left" w:pos="7020"/>
              </w:tabs>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备注</w:t>
            </w:r>
          </w:p>
        </w:tc>
      </w:tr>
      <w:tr w14:paraId="09A6E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313" w:type="pct"/>
            <w:tcBorders>
              <w:top w:val="double" w:color="auto" w:sz="4" w:space="0"/>
              <w:left w:val="single" w:color="auto" w:sz="12" w:space="0"/>
              <w:bottom w:val="double" w:color="auto" w:sz="4" w:space="0"/>
            </w:tcBorders>
            <w:vAlign w:val="center"/>
          </w:tcPr>
          <w:p w14:paraId="1ED4381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1</w:t>
            </w:r>
          </w:p>
        </w:tc>
        <w:tc>
          <w:tcPr>
            <w:tcW w:w="2299" w:type="pct"/>
            <w:tcBorders>
              <w:top w:val="double" w:color="auto" w:sz="4" w:space="0"/>
              <w:bottom w:val="double" w:color="auto" w:sz="4" w:space="0"/>
            </w:tcBorders>
            <w:vAlign w:val="center"/>
          </w:tcPr>
          <w:p w14:paraId="4E78542C">
            <w:pPr>
              <w:tabs>
                <w:tab w:val="left" w:pos="7020"/>
              </w:tabs>
              <w:jc w:val="center"/>
              <w:rPr>
                <w:rFonts w:hint="eastAsia" w:ascii="黑体" w:hAnsi="黑体" w:eastAsia="黑体" w:cs="Times New Roman"/>
                <w:b/>
                <w:color w:val="auto"/>
                <w:sz w:val="24"/>
                <w:highlight w:val="none"/>
                <w:lang w:eastAsia="zh-CN"/>
              </w:rPr>
            </w:pPr>
            <w:r>
              <w:rPr>
                <w:rFonts w:hint="eastAsia" w:ascii="黑体" w:hAnsi="黑体" w:eastAsia="黑体"/>
                <w:b/>
                <w:color w:val="auto"/>
                <w:sz w:val="24"/>
                <w:highlight w:val="none"/>
                <w:lang w:eastAsia="zh-CN"/>
              </w:rPr>
              <w:t>上海海事大学“党旗领航•向海图强”伟大工程示范党课会务服务</w:t>
            </w:r>
          </w:p>
        </w:tc>
        <w:tc>
          <w:tcPr>
            <w:tcW w:w="1330" w:type="pct"/>
            <w:tcBorders>
              <w:top w:val="double" w:color="auto" w:sz="4" w:space="0"/>
              <w:bottom w:val="double" w:color="auto" w:sz="4" w:space="0"/>
              <w:right w:val="single" w:color="auto" w:sz="4" w:space="0"/>
            </w:tcBorders>
            <w:vAlign w:val="center"/>
          </w:tcPr>
          <w:p w14:paraId="7941EDF4">
            <w:pPr>
              <w:tabs>
                <w:tab w:val="left" w:pos="7020"/>
              </w:tabs>
              <w:jc w:val="center"/>
              <w:rPr>
                <w:color w:val="auto"/>
                <w:highlight w:val="none"/>
              </w:rPr>
            </w:pPr>
          </w:p>
        </w:tc>
        <w:tc>
          <w:tcPr>
            <w:tcW w:w="1057" w:type="pct"/>
            <w:tcBorders>
              <w:top w:val="double" w:color="auto" w:sz="4" w:space="0"/>
              <w:left w:val="single" w:color="auto" w:sz="4" w:space="0"/>
              <w:bottom w:val="double" w:color="auto" w:sz="4" w:space="0"/>
              <w:right w:val="single" w:color="auto" w:sz="12" w:space="0"/>
            </w:tcBorders>
            <w:vAlign w:val="center"/>
          </w:tcPr>
          <w:p w14:paraId="71529EE7">
            <w:pPr>
              <w:tabs>
                <w:tab w:val="left" w:pos="7020"/>
              </w:tabs>
              <w:jc w:val="center"/>
              <w:rPr>
                <w:rFonts w:hint="default" w:eastAsiaTheme="minorEastAsia"/>
                <w:color w:val="auto"/>
                <w:highlight w:val="none"/>
                <w:lang w:val="en-US" w:eastAsia="zh-CN"/>
              </w:rPr>
            </w:pPr>
          </w:p>
        </w:tc>
      </w:tr>
      <w:tr w14:paraId="77FEC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612" w:type="pct"/>
            <w:gridSpan w:val="2"/>
            <w:tcBorders>
              <w:top w:val="double" w:color="auto" w:sz="4" w:space="0"/>
              <w:left w:val="single" w:color="auto" w:sz="12" w:space="0"/>
              <w:bottom w:val="single" w:color="auto" w:sz="12" w:space="0"/>
              <w:right w:val="single" w:color="auto" w:sz="4" w:space="0"/>
            </w:tcBorders>
            <w:vAlign w:val="center"/>
          </w:tcPr>
          <w:p w14:paraId="6322DB60">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2387" w:type="pct"/>
            <w:gridSpan w:val="2"/>
            <w:tcBorders>
              <w:top w:val="double" w:color="auto" w:sz="4" w:space="0"/>
              <w:left w:val="single" w:color="auto" w:sz="4" w:space="0"/>
              <w:bottom w:val="single" w:color="auto" w:sz="12" w:space="0"/>
              <w:right w:val="single" w:color="auto" w:sz="12" w:space="0"/>
            </w:tcBorders>
            <w:vAlign w:val="center"/>
          </w:tcPr>
          <w:p w14:paraId="4B46D8FA">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           （大写）：</w:t>
            </w:r>
          </w:p>
        </w:tc>
      </w:tr>
    </w:tbl>
    <w:p w14:paraId="0408D135">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20B1E828">
      <w:pPr>
        <w:spacing w:line="440" w:lineRule="exact"/>
        <w:rPr>
          <w:rFonts w:hint="eastAsia" w:ascii="黑体" w:hAnsi="华文楷体" w:eastAsia="黑体"/>
          <w:color w:val="auto"/>
          <w:sz w:val="24"/>
          <w:highlight w:val="none"/>
        </w:rPr>
      </w:pP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097F108E">
      <w:pPr>
        <w:pStyle w:val="5"/>
        <w:rPr>
          <w:rFonts w:hint="eastAsia" w:ascii="方正兰亭黑简体" w:hAnsi="方正兰亭黑简体" w:eastAsia="方正兰亭黑简体" w:cs="方正兰亭黑简体"/>
          <w:color w:val="auto"/>
          <w:sz w:val="22"/>
          <w:szCs w:val="28"/>
          <w:highlight w:val="none"/>
        </w:rPr>
      </w:pPr>
    </w:p>
    <w:p w14:paraId="6AAADDA4">
      <w:pPr>
        <w:pStyle w:val="5"/>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4"/>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61E7BD-3D19-461B-806A-5B84B022445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FFF48130-D2D7-467D-9CD9-9949A9796572}"/>
  </w:font>
  <w:font w:name="仿宋">
    <w:panose1 w:val="02010609060101010101"/>
    <w:charset w:val="86"/>
    <w:family w:val="modern"/>
    <w:pitch w:val="default"/>
    <w:sig w:usb0="800002BF" w:usb1="38CF7CFA" w:usb2="00000016" w:usb3="00000000" w:csb0="00040001" w:csb1="00000000"/>
    <w:embedRegular r:id="rId3" w:fontKey="{9AA3D4AD-2EB6-466D-A680-BDDCB12E5A9D}"/>
  </w:font>
  <w:font w:name="方正兰亭黑简体">
    <w:panose1 w:val="02000000000000000000"/>
    <w:charset w:val="86"/>
    <w:family w:val="auto"/>
    <w:pitch w:val="default"/>
    <w:sig w:usb0="A00002BF" w:usb1="184F6CFA" w:usb2="00000012" w:usb3="00000000" w:csb0="00040001" w:csb1="00000000"/>
    <w:embedRegular r:id="rId4" w:fontKey="{15D7270F-238C-4559-BBFD-72BB703AFDA5}"/>
  </w:font>
  <w:font w:name="华文楷体">
    <w:panose1 w:val="02010600040101010101"/>
    <w:charset w:val="86"/>
    <w:family w:val="auto"/>
    <w:pitch w:val="default"/>
    <w:sig w:usb0="A00002BF" w:usb1="78CF7CFB" w:usb2="00000016" w:usb3="00000000" w:csb0="6006009F" w:csb1="DFD70000"/>
    <w:embedRegular r:id="rId5" w:fontKey="{DC565184-CC3A-42F9-8597-028FC7FBDE8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8B545A5"/>
    <w:rsid w:val="092F2754"/>
    <w:rsid w:val="0B0A5F01"/>
    <w:rsid w:val="13353790"/>
    <w:rsid w:val="13CA7CE9"/>
    <w:rsid w:val="157E6317"/>
    <w:rsid w:val="19F06820"/>
    <w:rsid w:val="1E596D71"/>
    <w:rsid w:val="24050543"/>
    <w:rsid w:val="269F2B16"/>
    <w:rsid w:val="2FB07FD7"/>
    <w:rsid w:val="317D7420"/>
    <w:rsid w:val="331671BF"/>
    <w:rsid w:val="33B3033B"/>
    <w:rsid w:val="33DD0342"/>
    <w:rsid w:val="348549D4"/>
    <w:rsid w:val="35906085"/>
    <w:rsid w:val="3610103A"/>
    <w:rsid w:val="3A9852E0"/>
    <w:rsid w:val="3CFB44C3"/>
    <w:rsid w:val="3D6469F5"/>
    <w:rsid w:val="3EB44731"/>
    <w:rsid w:val="3FCC680A"/>
    <w:rsid w:val="3FDF48A5"/>
    <w:rsid w:val="40115E5B"/>
    <w:rsid w:val="40134FEB"/>
    <w:rsid w:val="41007DAA"/>
    <w:rsid w:val="42C4399A"/>
    <w:rsid w:val="438704B0"/>
    <w:rsid w:val="44E73D39"/>
    <w:rsid w:val="480A63EB"/>
    <w:rsid w:val="487158D1"/>
    <w:rsid w:val="488E3B06"/>
    <w:rsid w:val="48F25244"/>
    <w:rsid w:val="4CCA439B"/>
    <w:rsid w:val="4D0D4ED5"/>
    <w:rsid w:val="4EFD134C"/>
    <w:rsid w:val="53F3317F"/>
    <w:rsid w:val="540C2133"/>
    <w:rsid w:val="543D6D6A"/>
    <w:rsid w:val="58C4549A"/>
    <w:rsid w:val="5AEA704B"/>
    <w:rsid w:val="5C376D46"/>
    <w:rsid w:val="5DF2219B"/>
    <w:rsid w:val="5E8720EC"/>
    <w:rsid w:val="5EE9209B"/>
    <w:rsid w:val="5F44384A"/>
    <w:rsid w:val="60BF2A71"/>
    <w:rsid w:val="63887FE1"/>
    <w:rsid w:val="63F161B6"/>
    <w:rsid w:val="66E533C4"/>
    <w:rsid w:val="681A51E0"/>
    <w:rsid w:val="695E3370"/>
    <w:rsid w:val="699D5EE7"/>
    <w:rsid w:val="6A660877"/>
    <w:rsid w:val="6B99520C"/>
    <w:rsid w:val="7A92721C"/>
    <w:rsid w:val="7CFA5264"/>
    <w:rsid w:val="7E4E1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rPr>
      <w:kern w:val="0"/>
      <w:sz w:val="20"/>
      <w:szCs w:val="20"/>
    </w:rPr>
  </w:style>
  <w:style w:type="paragraph" w:styleId="3">
    <w:name w:val="Body Text"/>
    <w:basedOn w:val="1"/>
    <w:next w:val="1"/>
    <w:qFormat/>
    <w:uiPriority w:val="0"/>
    <w:pPr>
      <w:spacing w:after="1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rPr>
  </w:style>
  <w:style w:type="paragraph" w:styleId="6">
    <w:name w:val="Body Text Indent 2"/>
    <w:basedOn w:val="1"/>
    <w:unhideWhenUsed/>
    <w:qFormat/>
    <w:uiPriority w:val="0"/>
    <w:pPr>
      <w:ind w:firstLine="540"/>
    </w:pPr>
    <w:rPr>
      <w:rFonts w:ascii="Calibri" w:hAnsi="Calibri"/>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rPr>
      <w:rFonts w:ascii="Calibri" w:hAnsi="Calibri" w:eastAsia="宋体" w:cs="Times New Roman"/>
    </w:rPr>
  </w:style>
  <w:style w:type="paragraph" w:styleId="10">
    <w:name w:val="Body Text Indent 3"/>
    <w:basedOn w:val="1"/>
    <w:qFormat/>
    <w:uiPriority w:val="0"/>
    <w:pPr>
      <w:ind w:firstLine="600" w:firstLineChars="200"/>
    </w:pPr>
    <w:rPr>
      <w:color w:val="FF0000"/>
      <w:sz w:val="30"/>
      <w:szCs w:val="20"/>
    </w:rPr>
  </w:style>
  <w:style w:type="paragraph" w:styleId="11">
    <w:name w:val="Body Text 2"/>
    <w:basedOn w:val="1"/>
    <w:qFormat/>
    <w:uiPriority w:val="0"/>
    <w:pPr>
      <w:spacing w:after="120" w:line="480" w:lineRule="auto"/>
    </w:p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3"/>
    <w:qFormat/>
    <w:uiPriority w:val="0"/>
    <w:pPr>
      <w:widowControl/>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表格正文内容"/>
    <w:basedOn w:val="1"/>
    <w:next w:val="1"/>
    <w:autoRedefine/>
    <w:qFormat/>
    <w:uiPriority w:val="0"/>
    <w:pPr>
      <w:widowControl/>
      <w:spacing w:line="360" w:lineRule="exact"/>
      <w:jc w:val="left"/>
    </w:pPr>
    <w:rPr>
      <w:rFonts w:ascii="方正楷体_GB2312" w:hAnsi="方正小标宋简体" w:eastAsia="方正仿宋_GB2312" w:cs="仿宋"/>
      <w:sz w:val="24"/>
      <w:szCs w:val="32"/>
    </w:rPr>
  </w:style>
  <w:style w:type="paragraph" w:customStyle="1" w:styleId="25">
    <w:name w:val="列出段落2"/>
    <w:basedOn w:val="1"/>
    <w:qFormat/>
    <w:uiPriority w:val="0"/>
    <w:pPr>
      <w:ind w:firstLine="420" w:firstLineChars="200"/>
    </w:pPr>
    <w:rPr>
      <w:rFonts w:ascii="Times New Roman" w:hAnsi="Times New Roman" w:eastAsia="宋体" w:cs="Times New Roman"/>
      <w:szCs w:val="21"/>
    </w:rPr>
  </w:style>
  <w:style w:type="paragraph" w:customStyle="1" w:styleId="26">
    <w:name w:val="列出段落1"/>
    <w:basedOn w:val="1"/>
    <w:qFormat/>
    <w:uiPriority w:val="34"/>
    <w:pPr>
      <w:suppressAutoHyphens/>
      <w:ind w:firstLine="420"/>
    </w:pPr>
    <w:rPr>
      <w:rFonts w:ascii="Times New Roman" w:hAnsi="Times New Roman" w:eastAsia="宋体" w:cs="Times New Roman"/>
      <w:kern w:val="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92f865ee-b77d-4178-8bbe-1e34e7a396be</errorID>
      <errorWord>船队上</errorWord>
      <group>L1_Word</group>
      <groupName>字词问题</groupName>
      <ability>L2_Typo</ability>
      <abilityName>字词错误</abilityName>
      <candidateList>
        <item>船队</item>
      </candidateList>
      <explain/>
      <paraID>290FE171</paraID>
      <start>41</start>
      <end>44</end>
      <status>unmodified</status>
      <modifiedWord/>
      <trackRevisions>false</trackRevisions>
    </reviewItem>
    <reviewItem>
      <errorID>4c65fec2-71a6-4c6f-89c8-1ffd3cc2a2cc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8320d6c2-dc07-4336-a690-494873ea1dc5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ec091902-4d3d-4a1a-9c65-839844e8baf5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845228a8-9f86-438b-a808-137be1effe4e</errorID>
      <errorWord>船队上</errorWord>
      <group>L1_Word</group>
      <groupName>字词问题</groupName>
      <ability>L2_Typo</ability>
      <abilityName>字词错误</abilityName>
      <candidateList>
        <item>船队</item>
      </candidateList>
      <explain/>
      <paraID>426BCD54</paraID>
      <start>27</start>
      <end>30</end>
      <status>unmodified</status>
      <modifiedWord/>
      <trackRevisions>false</trackRevisions>
    </reviewItem>
    <reviewItem>
      <errorID>5cc4980b-b523-4468-bb3d-c5f2261bf11a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1B522E72</paraID>
      <start>0</start>
      <end>2</end>
      <status>unmodified</status>
      <modifiedWord/>
      <trackRevisions>false</trackRevisions>
    </reviewItem>
    <reviewItem>
      <errorID>ad51fe59-3b78-4b90-9ca2-acec892ec32b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34C7A21</paraID>
      <start>0</start>
      <end>2</end>
      <status>unmodified</status>
      <modifiedWord/>
      <trackRevisions>false</trackRevisions>
    </reviewItem>
    <reviewItem>
      <errorID>eef0f125-336b-419b-80d9-780c2da0245c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26ED6F9</paraID>
      <start>0</start>
      <end>2</end>
      <status>unmodified</status>
      <modifiedWord/>
      <trackRevisions>false</trackRevisions>
    </reviewItem>
    <reviewItem>
      <errorID>530d0c05-f01a-4b7e-a212-ba15e58c575a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6E2DC22B</paraID>
      <start>0</start>
      <end>2</end>
      <status>unmodified</status>
      <modifiedWord/>
      <trackRevisions>false</trackRevisions>
    </reviewItem>
    <reviewItem>
      <errorID>d6de4ffe-7bb2-494b-92b3-5717ff3b650f</errorID>
      <errorWord>详实</errorWord>
      <group>L1_Word</group>
      <groupName>字词问题</groupName>
      <ability>L2_Typo</ability>
      <abilityName>字词错误</abilityName>
      <candidateList>
        <item>翔实</item>
      </candidateList>
      <explain/>
      <paraID>2FD20316</paraID>
      <start>27</start>
      <end>29</end>
      <status>unmodified</status>
      <modifiedWord/>
      <trackRevisions>false</trackRevisions>
    </reviewItem>
    <reviewItem>
      <errorID>9a7e0eac-67db-4e97-80e4-34848efabe69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316F4EB3</paraID>
      <start>0</start>
      <end>2</end>
      <status>unmodified</status>
      <modifiedWord/>
      <trackRevisions>false</trackRevisions>
    </reviewItem>
    <reviewItem>
      <errorID>bbc870ce-2ea1-4332-8d57-798f60abfebf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1fe2cb6f-be27-45fb-af63-de00029e9984</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ff532582-93b5-4ada-bd55-cbd5361ec399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b7c015d6-e3e0-44d7-932a-111a943eb08e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278db2fa-d97b-4777-a40b-1c483d590c31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e8825424-c45b-4962-ab7a-1d59a1997d93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a6efc49c-6fd1-477c-91f2-f4b7eb9f1ee8</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19650dda-84ed-455b-997d-7e9e8326dfc2</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2a899f-052a-47d4-a0b7-9300a88a60e5}">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2395</Words>
  <Characters>2594</Characters>
  <Lines>133</Lines>
  <Paragraphs>161</Paragraphs>
  <TotalTime>10</TotalTime>
  <ScaleCrop>false</ScaleCrop>
  <LinksUpToDate>false</LinksUpToDate>
  <CharactersWithSpaces>2596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2026-06-03T07:15:43Z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