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="432"/>
      </w:pPr>
      <w:r>
        <w:rPr>
          <w:rFonts w:hint="eastAsia"/>
        </w:rPr>
        <w:t>技术规格及要求</w:t>
      </w:r>
    </w:p>
    <w:p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一、项目说明：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项目名称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港湾校区会堂后区音响改造项目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2、本项目质保期3年.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3、项目工期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合同签订后10天内完工。</w:t>
      </w:r>
    </w:p>
    <w:p>
      <w:pPr>
        <w:pStyle w:val="13"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二、建设内容</w:t>
      </w:r>
    </w:p>
    <w:p>
      <w:pPr>
        <w:snapToGrid w:val="0"/>
        <w:spacing w:line="360" w:lineRule="auto"/>
        <w:ind w:firstLine="420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本次项目包括上海海事大学港湾学校会堂音响设备的供货、安装及其他相关服务等。</w:t>
      </w:r>
    </w:p>
    <w:tbl>
      <w:tblPr>
        <w:tblStyle w:val="1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026"/>
        <w:gridCol w:w="1134"/>
        <w:gridCol w:w="1275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音箱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MS Gothic" w:asciiTheme="minorEastAsia" w:hAnsiTheme="minorEastAsia"/>
                <w:sz w:val="24"/>
                <w:szCs w:val="24"/>
              </w:rPr>
            </w:pPr>
            <w:r>
              <w:rPr>
                <w:rFonts w:hint="eastAsia" w:cs="MS Gothic" w:asciiTheme="minorEastAsia" w:hAnsiTheme="minorEastAsia"/>
                <w:sz w:val="24"/>
                <w:szCs w:val="24"/>
              </w:rPr>
              <w:t>只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四通道功放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MS Gothic" w:asciiTheme="minorEastAsia" w:hAnsiTheme="minorEastAsia"/>
                <w:sz w:val="24"/>
                <w:szCs w:val="24"/>
              </w:rPr>
            </w:pPr>
            <w:r>
              <w:rPr>
                <w:rFonts w:hint="eastAsia" w:cs="MS Gothic" w:asciiTheme="minorEastAsia" w:hAnsiTheme="minorEastAsia"/>
                <w:sz w:val="24"/>
                <w:szCs w:val="24"/>
              </w:rPr>
              <w:t>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双</w:t>
            </w:r>
            <w:r>
              <w:rPr>
                <w:rFonts w:cs="仿宋" w:asciiTheme="minorEastAsia" w:hAnsiTheme="minorEastAsia"/>
                <w:sz w:val="24"/>
                <w:szCs w:val="24"/>
              </w:rPr>
              <w:t>通道功放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MS Gothic" w:asciiTheme="minorEastAsia" w:hAnsiTheme="minorEastAsia"/>
                <w:sz w:val="24"/>
                <w:szCs w:val="24"/>
              </w:rPr>
            </w:pPr>
            <w:r>
              <w:rPr>
                <w:rFonts w:cs="MS Gothic" w:asciiTheme="minorEastAsia" w:hAnsiTheme="minorEastAsia"/>
                <w:sz w:val="24"/>
                <w:szCs w:val="24"/>
              </w:rPr>
              <w:t>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线材附件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MS Gothic" w:asciiTheme="minorEastAsia" w:hAnsiTheme="minorEastAsia"/>
                <w:sz w:val="24"/>
                <w:szCs w:val="24"/>
              </w:rPr>
            </w:pPr>
            <w:r>
              <w:rPr>
                <w:rFonts w:cs="MS Gothic" w:asciiTheme="minorEastAsia" w:hAnsiTheme="minorEastAsia"/>
                <w:sz w:val="24"/>
                <w:szCs w:val="24"/>
              </w:rPr>
              <w:t>套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ind w:firstLine="420"/>
        <w:rPr>
          <w:rFonts w:ascii="宋体" w:hAnsi="宋体" w:cs="Calibri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napToGrid w:val="0"/>
          <w:sz w:val="24"/>
          <w:szCs w:val="24"/>
        </w:rPr>
      </w:pPr>
      <w:r>
        <w:rPr>
          <w:rFonts w:hint="eastAsia" w:ascii="宋体" w:hAnsi="宋体"/>
          <w:b/>
          <w:snapToGrid w:val="0"/>
          <w:sz w:val="24"/>
          <w:szCs w:val="24"/>
        </w:rPr>
        <w:t>具体需求如下：（</w:t>
      </w:r>
      <w:r>
        <w:rPr>
          <w:rFonts w:hint="eastAsia" w:ascii="宋体" w:hAnsi="宋体" w:cs="Calibri"/>
          <w:b/>
          <w:sz w:val="24"/>
          <w:szCs w:val="24"/>
        </w:rPr>
        <w:t>带</w:t>
      </w:r>
      <w:r>
        <w:rPr>
          <w:rFonts w:hint="eastAsia" w:ascii="宋体" w:hAnsi="宋体" w:eastAsia="宋体"/>
          <w:b/>
          <w:sz w:val="24"/>
          <w:szCs w:val="24"/>
        </w:rPr>
        <w:t>★部分为不可偏离项</w:t>
      </w:r>
      <w:r>
        <w:rPr>
          <w:rFonts w:hint="eastAsia" w:ascii="宋体" w:hAnsi="宋体"/>
          <w:b/>
          <w:snapToGrid w:val="0"/>
          <w:sz w:val="24"/>
          <w:szCs w:val="24"/>
        </w:rPr>
        <w:t>）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 w:hanging="36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拆除会堂原有音响设备及管线，重新安装布线，拆除的设备搬运送到学校指定地点存放。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 w:hanging="360"/>
        <w:rPr>
          <w:rFonts w:ascii="宋体" w:hAnsi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</w:rPr>
        <w:t>考虑到系统兼容性以及后期维保方便性，新增加的音响设备须和会堂原有音响系统品牌型号高度兼容。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 w:hanging="360"/>
        <w:rPr>
          <w:rFonts w:ascii="宋体" w:hAnsi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</w:rPr>
        <w:t>智能化操作，接入原有中控系统，可通过触摸屏一键切换音频场景模式，</w:t>
      </w:r>
      <w:r>
        <w:rPr>
          <w:rFonts w:hint="eastAsia" w:ascii="宋体" w:hAnsi="宋体"/>
          <w:sz w:val="24"/>
          <w:szCs w:val="24"/>
          <w:lang w:val="zh-CN"/>
        </w:rPr>
        <w:t>声音模式、音量大小、信号源选择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 w:hanging="360"/>
        <w:rPr>
          <w:rFonts w:ascii="宋体" w:hAnsi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</w:rPr>
        <w:t>可通过手机APP或电脑远程开启或关闭系统设备。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 w:hanging="36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投标设备必须完全满足招标文件的技术要求。须针对本项目提供详细的平面效果图、施工布线图、系统图等。线材的数量、种类在图纸上有明确的表述。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 w:hanging="360"/>
        <w:rPr>
          <w:rFonts w:ascii="宋体" w:hAnsi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★</w:t>
      </w:r>
      <w:r>
        <w:rPr>
          <w:rFonts w:hint="eastAsia" w:asciiTheme="minorEastAsia" w:hAnsiTheme="minorEastAsia"/>
          <w:sz w:val="24"/>
          <w:szCs w:val="24"/>
        </w:rPr>
        <w:t>扩声系统要求提供厂商授权书。</w:t>
      </w:r>
    </w:p>
    <w:p>
      <w:pPr>
        <w:autoSpaceDE w:val="0"/>
        <w:autoSpaceDN w:val="0"/>
        <w:adjustRightInd w:val="0"/>
        <w:spacing w:line="360" w:lineRule="auto"/>
        <w:ind w:left="36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</w:p>
    <w:p>
      <w:pPr>
        <w:pStyle w:val="13"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三、基本要求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本工程质保期为3年，质保期自工程竣工，招标方验收合格之日算起，质保期内的质量问题，投标方负责免费维修或更换。工程范围内的所有设备因设计、制造、安装、调试等原因引起设备或部件的缺陷或损坏、运转不灵、达不到性能指标以及出现事故等情况，均由投标方负责，并免费（包括备件、耗材、人工等）为招标方及时修理、更换，更换的设备或部件应是原设备制造厂的产品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投标方应承诺提供下列售后服务：</w:t>
      </w:r>
    </w:p>
    <w:p>
      <w:pPr>
        <w:spacing w:line="360" w:lineRule="auto"/>
        <w:ind w:left="846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接到报修电话后4小时内</w:t>
      </w:r>
      <w:r>
        <w:rPr>
          <w:rFonts w:hint="eastAsia" w:ascii="宋体" w:hAnsi="宋体" w:cs="Calibri"/>
          <w:sz w:val="24"/>
          <w:szCs w:val="24"/>
          <w:lang w:eastAsia="zh-CN"/>
        </w:rPr>
        <w:t>作出</w:t>
      </w:r>
      <w:r>
        <w:rPr>
          <w:rFonts w:hint="eastAsia" w:ascii="宋体" w:hAnsi="宋体" w:cs="Calibri"/>
          <w:sz w:val="24"/>
          <w:szCs w:val="24"/>
        </w:rPr>
        <w:t>响应；接到报修电话后24小时内派维修工程师到现场进行故障处理（在质保期内是免费的，在质保期结束后所发生的费用由招标人承担。）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投标单位需根据招标方要求仔细做好现场踏勘工作，现场联系人：张老师 /15821039200.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货物必须是全新产品。国产产品，须为经国家有关质量检测、技术鉴定和安全认证单位认证合格产品；进口产品，应符合相应的产品技术国际标准。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所需辅材如比选文件无具体数量的，由投标人根据技术方案要求和现场情况提供。实际使用数量与投标人的投标数量不符时不对合同总价产生变更</w:t>
      </w:r>
      <w:r>
        <w:rPr>
          <w:rFonts w:hint="eastAsia" w:ascii="宋体" w:hAnsi="宋体" w:cs="Calibri"/>
          <w:sz w:val="24"/>
          <w:szCs w:val="24"/>
          <w:lang w:eastAsia="zh-CN"/>
        </w:rPr>
        <w:t>，</w:t>
      </w:r>
      <w:r>
        <w:rPr>
          <w:rFonts w:hint="eastAsia" w:ascii="宋体" w:hAnsi="宋体" w:cs="Calibri"/>
          <w:sz w:val="24"/>
          <w:szCs w:val="24"/>
        </w:rPr>
        <w:t>请</w:t>
      </w:r>
      <w:r>
        <w:rPr>
          <w:rFonts w:hint="eastAsia" w:ascii="宋体" w:hAnsi="宋体" w:cs="Calibri"/>
          <w:sz w:val="24"/>
          <w:szCs w:val="24"/>
          <w:lang w:eastAsia="zh-CN"/>
        </w:rPr>
        <w:t>勘查现场</w:t>
      </w:r>
      <w:r>
        <w:rPr>
          <w:rFonts w:hint="eastAsia" w:ascii="宋体" w:hAnsi="宋体" w:cs="Calibri"/>
          <w:sz w:val="24"/>
          <w:szCs w:val="24"/>
        </w:rPr>
        <w:t>时着重考虑。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投标人负责本项目下全部设备的运输、安装、调试</w:t>
      </w:r>
      <w:r>
        <w:rPr>
          <w:rFonts w:hint="eastAsia" w:ascii="宋体" w:hAnsi="宋体" w:cs="Calibri"/>
          <w:sz w:val="24"/>
          <w:szCs w:val="24"/>
          <w:lang w:eastAsia="zh-CN"/>
        </w:rPr>
        <w:t>和</w:t>
      </w:r>
      <w:bookmarkStart w:id="0" w:name="_GoBack"/>
      <w:bookmarkEnd w:id="0"/>
      <w:r>
        <w:rPr>
          <w:rFonts w:hint="eastAsia" w:ascii="宋体" w:hAnsi="宋体" w:cs="Calibri"/>
          <w:sz w:val="24"/>
          <w:szCs w:val="24"/>
        </w:rPr>
        <w:t>人员培训、售后服务及所有安装现场的收尾工作。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系统主要设备及材料为工地现场交货价，需列出各种设备（材料）的单价，以及安装、调试、费率等所有的分项报价。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投标人须提供主要设备的图片和文字介绍等资料。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所有设备和装置均应满足相应的安全标准和操作规程，符合安全要求。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投标人须承担所提供货物牵涉的知识产品等法律责任。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投标人须对体育馆区域提供施工过程中的保护方案，因施工导致会堂区域损坏所造成的损失由中标单位承担。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施工进度：</w:t>
      </w:r>
    </w:p>
    <w:p>
      <w:pPr>
        <w:spacing w:line="360" w:lineRule="auto"/>
        <w:ind w:left="845"/>
        <w:rPr>
          <w:rFonts w:ascii="宋体" w:hAnsi="宋体" w:cs="Calibri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工期暂定10天，请各单位自报具体工期。因乙方原因未按时竣工的，每延迟一天，按1000元/天罚款。</w:t>
      </w:r>
    </w:p>
    <w:p>
      <w:pPr>
        <w:autoSpaceDE w:val="0"/>
        <w:autoSpaceDN w:val="0"/>
        <w:adjustRightInd w:val="0"/>
        <w:spacing w:line="360" w:lineRule="auto"/>
        <w:ind w:left="-142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</w:t>
      </w:r>
    </w:p>
    <w:p>
      <w:pPr>
        <w:pStyle w:val="13"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四、主要设备技术规格</w:t>
      </w:r>
    </w:p>
    <w:p>
      <w:pPr>
        <w:spacing w:line="360" w:lineRule="auto"/>
        <w:ind w:firstLine="42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cs="Calibri"/>
          <w:sz w:val="24"/>
          <w:szCs w:val="24"/>
        </w:rPr>
        <w:t>所有设备的要求以</w:t>
      </w:r>
      <w:r>
        <w:rPr>
          <w:rFonts w:hint="eastAsia" w:ascii="宋体" w:hAnsi="宋体" w:cs="Calibri"/>
          <w:sz w:val="24"/>
          <w:szCs w:val="24"/>
        </w:rPr>
        <w:t>下面清单中设备技术指标</w:t>
      </w:r>
      <w:r>
        <w:rPr>
          <w:rFonts w:ascii="宋体" w:hAnsi="宋体" w:cs="Calibri"/>
          <w:sz w:val="24"/>
          <w:szCs w:val="24"/>
        </w:rPr>
        <w:t>为准。所有设备的数量应严格</w:t>
      </w:r>
      <w:r>
        <w:rPr>
          <w:rFonts w:hint="eastAsia" w:ascii="宋体" w:hAnsi="宋体" w:cs="Calibri"/>
          <w:sz w:val="24"/>
          <w:szCs w:val="24"/>
        </w:rPr>
        <w:t>按照下面清单中</w:t>
      </w:r>
      <w:r>
        <w:rPr>
          <w:rFonts w:ascii="宋体" w:hAnsi="宋体" w:cs="Calibri"/>
          <w:sz w:val="24"/>
          <w:szCs w:val="24"/>
        </w:rPr>
        <w:t>的要求提供，</w:t>
      </w:r>
      <w:r>
        <w:rPr>
          <w:rFonts w:hint="eastAsia" w:ascii="宋体" w:hAnsi="宋体" w:cs="Calibri"/>
          <w:sz w:val="24"/>
          <w:szCs w:val="24"/>
        </w:rPr>
        <w:t>供应商提供的设备清单应包含上述设备清单中设备，但不限于此清单中所列明的设备</w:t>
      </w:r>
      <w:r>
        <w:rPr>
          <w:rFonts w:ascii="宋体" w:hAnsi="宋体" w:cs="Calibri"/>
          <w:sz w:val="24"/>
          <w:szCs w:val="24"/>
        </w:rPr>
        <w:t>。如果在其中标后，发现</w:t>
      </w:r>
      <w:r>
        <w:rPr>
          <w:rFonts w:hint="eastAsia" w:ascii="宋体" w:hAnsi="宋体" w:cs="Calibri"/>
          <w:sz w:val="24"/>
          <w:szCs w:val="24"/>
        </w:rPr>
        <w:t>提供的设备性能</w:t>
      </w:r>
      <w:r>
        <w:rPr>
          <w:rFonts w:ascii="宋体" w:hAnsi="宋体" w:cs="Calibri"/>
          <w:sz w:val="24"/>
          <w:szCs w:val="24"/>
        </w:rPr>
        <w:t>与</w:t>
      </w:r>
      <w:r>
        <w:rPr>
          <w:rFonts w:hint="eastAsia" w:ascii="宋体" w:hAnsi="宋体" w:cs="Calibri"/>
          <w:sz w:val="24"/>
          <w:szCs w:val="24"/>
        </w:rPr>
        <w:t>招标要求</w:t>
      </w:r>
      <w:r>
        <w:rPr>
          <w:rFonts w:ascii="宋体" w:hAnsi="宋体" w:cs="Calibri"/>
          <w:sz w:val="24"/>
          <w:szCs w:val="24"/>
        </w:rPr>
        <w:t>性能不符的，将</w:t>
      </w:r>
      <w:r>
        <w:rPr>
          <w:rFonts w:hint="eastAsia" w:ascii="宋体" w:hAnsi="宋体" w:cs="Calibri"/>
          <w:sz w:val="24"/>
          <w:szCs w:val="24"/>
        </w:rPr>
        <w:t>由中标人承担违约责任。</w:t>
      </w:r>
      <w:r>
        <w:rPr>
          <w:rFonts w:hint="eastAsia" w:ascii="宋体" w:hAnsi="宋体" w:cs="Calibri"/>
          <w:b/>
          <w:sz w:val="24"/>
          <w:szCs w:val="24"/>
        </w:rPr>
        <w:t>带</w:t>
      </w:r>
      <w:r>
        <w:rPr>
          <w:rFonts w:hint="eastAsia" w:ascii="宋体" w:hAnsi="宋体" w:eastAsia="宋体"/>
          <w:b/>
          <w:sz w:val="24"/>
          <w:szCs w:val="24"/>
        </w:rPr>
        <w:t>★部分为不可偏离项。</w:t>
      </w:r>
    </w:p>
    <w:p>
      <w:pPr>
        <w:spacing w:line="360" w:lineRule="auto"/>
        <w:ind w:firstLine="420"/>
        <w:rPr>
          <w:rFonts w:ascii="宋体" w:hAnsi="宋体" w:cs="Calibri"/>
          <w:sz w:val="24"/>
          <w:szCs w:val="24"/>
        </w:rPr>
      </w:pPr>
    </w:p>
    <w:p>
      <w:pPr>
        <w:spacing w:line="360" w:lineRule="auto"/>
        <w:rPr>
          <w:rFonts w:ascii="宋体" w:hAnsi="宋体" w:cs="Calibri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硬件设备技术指标</w:t>
      </w:r>
      <w:r>
        <w:rPr>
          <w:rFonts w:ascii="宋体" w:hAnsi="宋体"/>
          <w:b/>
          <w:sz w:val="24"/>
          <w:szCs w:val="24"/>
        </w:rPr>
        <w:tab/>
      </w:r>
    </w:p>
    <w:tbl>
      <w:tblPr>
        <w:tblStyle w:val="15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686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设备名称</w:t>
            </w:r>
          </w:p>
        </w:tc>
        <w:tc>
          <w:tcPr>
            <w:tcW w:w="6867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技术参数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音箱</w:t>
            </w:r>
          </w:p>
        </w:tc>
        <w:tc>
          <w:tcPr>
            <w:tcW w:w="6867" w:type="dxa"/>
            <w:vAlign w:val="center"/>
          </w:tcPr>
          <w:p>
            <w:pPr>
              <w:ind w:right="-302" w:rightChars="-144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连续功率250W；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频率响应：80Hz—20KHz（-6dB）；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灵敏度：98dB；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最大声压级：122dB连续，128dB峰值；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阻抗：4Ω，指向特性：100°× 40°。</w:t>
            </w:r>
          </w:p>
          <w:p>
            <w:pPr>
              <w:ind w:right="-302" w:rightChars="-144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四单元三分频倒相式音箱；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2个6.5″钕磁低音单元，1个6.5″钕磁中音单元，1个1.4″钕磁高音单元；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轻量化的钕磁单元，响应效率高，具备更好的细节还原能力；</w:t>
            </w:r>
          </w:p>
          <w:p>
            <w:pPr>
              <w:ind w:left="422" w:hanging="422" w:hangingChars="200"/>
              <w:rPr>
                <w:rFonts w:cs="仿宋" w:asciiTheme="minorEastAsia" w:hAnsi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</w:rPr>
              <w:t>国际知名品牌，提供厂商授权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四通道功放</w:t>
            </w:r>
          </w:p>
        </w:tc>
        <w:tc>
          <w:tcPr>
            <w:tcW w:w="6867" w:type="dxa"/>
            <w:vAlign w:val="center"/>
          </w:tcPr>
          <w:p>
            <w:pPr>
              <w:ind w:right="-302" w:rightChars="-144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★</w:t>
            </w:r>
            <w:r>
              <w:rPr>
                <w:rFonts w:hint="eastAsia" w:cs="宋体" w:asciiTheme="minorEastAsia" w:hAnsiTheme="minorEastAsia"/>
                <w:b/>
                <w:snapToGrid w:val="0"/>
                <w:color w:val="000000"/>
                <w:szCs w:val="21"/>
              </w:rPr>
              <w:t>专业纯后级4通道功放</w:t>
            </w:r>
          </w:p>
          <w:p>
            <w:pPr>
              <w:ind w:right="-302" w:rightChars="-14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四通道；额定功率： 4×4Ω：765W；4×8Ω：450W；桥接：2×4Ω：2601W；2×8Ω：1530W；2×16Ω：900W；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总谐波失真&lt;0.01%；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频率响应：20Hz – 20 kHz；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输入阻抗（平衡/非平衡）：20K/10K；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输入灵敏度： 35dB、32dB、29dB、26dB；串扰抑制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90 dB；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阻尼系数（8Ω）： &gt; 5000 @ 20Hz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  <w:lang w:eastAsia="zh-CN"/>
              </w:rPr>
              <w:t>—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200Hz；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信噪比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 xml:space="preserve"> -105dB；</w:t>
            </w:r>
          </w:p>
          <w:p>
            <w:pPr>
              <w:ind w:right="-302" w:rightChars="-14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★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电源欠压保护、功放输出直流保护、过热保护、温度功率控制、过载功率控制</w:t>
            </w:r>
          </w:p>
          <w:p>
            <w:pPr>
              <w:ind w:right="-302" w:rightChars="-144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</w:rPr>
              <w:t>国际知名品牌 ，提供厂商授权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双通道功放</w:t>
            </w:r>
          </w:p>
        </w:tc>
        <w:tc>
          <w:tcPr>
            <w:tcW w:w="6867" w:type="dxa"/>
            <w:vAlign w:val="center"/>
          </w:tcPr>
          <w:p>
            <w:pPr>
              <w:ind w:left="1" w:firstLine="71" w:firstLineChars="3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双通道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 xml:space="preserve">额定功率：2×4Ω：750W； 2×8Ω：450W； </w:t>
            </w:r>
          </w:p>
          <w:p>
            <w:pPr>
              <w:ind w:left="1" w:firstLine="71" w:firstLineChars="3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总谐波失真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1kHz，-10dB/4Ω)&lt;0.02%；</w:t>
            </w:r>
          </w:p>
          <w:p>
            <w:pPr>
              <w:ind w:left="1" w:firstLine="71" w:firstLineChars="3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频率响应：10Hz-20kHz（±1dB）；</w:t>
            </w:r>
          </w:p>
          <w:p>
            <w:pPr>
              <w:ind w:left="1" w:firstLine="71" w:firstLineChars="3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输入阻抗（平衡/非平衡）：20K/10K；</w:t>
            </w:r>
          </w:p>
          <w:p>
            <w:pPr>
              <w:ind w:left="1" w:firstLine="71" w:firstLineChars="3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输入灵敏度：0dB；</w:t>
            </w:r>
          </w:p>
          <w:p>
            <w:pPr>
              <w:ind w:left="1" w:firstLine="82" w:firstLineChars="34"/>
              <w:rPr>
                <w:rFonts w:cs="宋体" w:ascii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★</w:t>
            </w:r>
            <w:r>
              <w:rPr>
                <w:rFonts w:hint="eastAsia" w:cs="宋体" w:asciiTheme="minorEastAsia" w:hAnsiTheme="minorEastAsia"/>
                <w:snapToGrid w:val="0"/>
                <w:color w:val="000000"/>
                <w:szCs w:val="21"/>
              </w:rPr>
              <w:t>具备短路保护，断路保护，过载保护，高温保护。智能温控调速散热系统，具备特有的恒温智能温度调节电路，散热系统自动跟随散热器温度自动调节；</w:t>
            </w:r>
          </w:p>
          <w:p>
            <w:pPr>
              <w:ind w:left="1" w:firstLine="72" w:firstLineChars="34"/>
              <w:rPr>
                <w:rFonts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</w:rPr>
              <w:t>国际知名品牌 ，提供厂商授权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cs="仿宋" w:asciiTheme="minorEastAsia" w:hAnsiTheme="minorEastAsia"/>
                <w:szCs w:val="21"/>
              </w:rPr>
              <w:t>线材附件</w:t>
            </w:r>
          </w:p>
        </w:tc>
        <w:tc>
          <w:tcPr>
            <w:tcW w:w="6867" w:type="dxa"/>
            <w:vAlign w:val="center"/>
          </w:tcPr>
          <w:p>
            <w:pPr>
              <w:rPr>
                <w:rFonts w:cs="MS Gothic" w:asciiTheme="minorEastAsia" w:hAnsiTheme="minorEastAsia"/>
                <w:szCs w:val="21"/>
              </w:rPr>
            </w:pPr>
            <w:r>
              <w:rPr>
                <w:rFonts w:cs="MS Gothic" w:asciiTheme="minorEastAsia" w:hAnsiTheme="minorEastAsia"/>
                <w:szCs w:val="21"/>
              </w:rPr>
              <w:t>投标人</w:t>
            </w:r>
            <w:r>
              <w:rPr>
                <w:rFonts w:hint="eastAsia" w:cs="MS Gothic" w:asciiTheme="minorEastAsia" w:hAnsiTheme="minorEastAsia"/>
                <w:szCs w:val="21"/>
                <w:lang w:eastAsia="zh-CN"/>
              </w:rPr>
              <w:t>勘查现场</w:t>
            </w:r>
            <w:r>
              <w:rPr>
                <w:rFonts w:cs="MS Gothic" w:asciiTheme="minorEastAsia" w:hAnsiTheme="minorEastAsia"/>
                <w:szCs w:val="21"/>
              </w:rPr>
              <w:t>后根据实际情况</w:t>
            </w:r>
            <w:r>
              <w:rPr>
                <w:rFonts w:hint="eastAsia" w:cs="MS Gothic" w:asciiTheme="minorEastAsia" w:hAnsiTheme="minorEastAsia"/>
                <w:szCs w:val="21"/>
              </w:rPr>
              <w:t>自行</w:t>
            </w:r>
            <w:r>
              <w:rPr>
                <w:rFonts w:cs="MS Gothic" w:asciiTheme="minorEastAsia" w:hAnsiTheme="minorEastAsia"/>
                <w:szCs w:val="21"/>
              </w:rPr>
              <w:t>核算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</w:tr>
    </w:tbl>
    <w:p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ascii="宋体" w:hAnsi="宋体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23F2A"/>
    <w:multiLevelType w:val="multilevel"/>
    <w:tmpl w:val="4C423F2A"/>
    <w:lvl w:ilvl="0" w:tentative="0">
      <w:start w:val="1"/>
      <w:numFmt w:val="decimal"/>
      <w:pStyle w:val="2"/>
      <w:suff w:val="space"/>
      <w:lvlText w:val="第%1章"/>
      <w:lvlJc w:val="left"/>
      <w:pPr>
        <w:ind w:left="432" w:hanging="432"/>
      </w:pPr>
      <w:rPr>
        <w:rFonts w:hint="default" w:ascii="Times New Roman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6"/>
        <w:szCs w:val="36"/>
        <w:u w:val="none"/>
        <w:vertAlign w:val="baseline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0A17087"/>
    <w:multiLevelType w:val="multilevel"/>
    <w:tmpl w:val="50A17087"/>
    <w:lvl w:ilvl="0" w:tentative="0">
      <w:start w:val="1"/>
      <w:numFmt w:val="decimal"/>
      <w:suff w:val="space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126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30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81C3CAE"/>
    <w:multiLevelType w:val="multilevel"/>
    <w:tmpl w:val="681C3CAE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  <w:b/>
        <w:lang w:eastAsia="zh-CN"/>
      </w:rPr>
    </w:lvl>
    <w:lvl w:ilvl="1" w:tentative="0">
      <w:start w:val="2"/>
      <w:numFmt w:val="japaneseCounting"/>
      <w:lvlText w:val="%2、"/>
      <w:lvlJc w:val="left"/>
      <w:pPr>
        <w:tabs>
          <w:tab w:val="left" w:pos="1620"/>
        </w:tabs>
        <w:ind w:left="162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2492BC5"/>
    <w:multiLevelType w:val="multilevel"/>
    <w:tmpl w:val="72492BC5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mM2YzZmUwZjIwOWQ5MzUzZGEwZTI1OTc3MjFhOGYifQ=="/>
  </w:docVars>
  <w:rsids>
    <w:rsidRoot w:val="005B3959"/>
    <w:rsid w:val="00005B9D"/>
    <w:rsid w:val="00010D3B"/>
    <w:rsid w:val="00027CE8"/>
    <w:rsid w:val="000329AA"/>
    <w:rsid w:val="000409D9"/>
    <w:rsid w:val="000451D6"/>
    <w:rsid w:val="00045743"/>
    <w:rsid w:val="00051CE2"/>
    <w:rsid w:val="000540E4"/>
    <w:rsid w:val="00062A5A"/>
    <w:rsid w:val="00070232"/>
    <w:rsid w:val="00092DBE"/>
    <w:rsid w:val="00097221"/>
    <w:rsid w:val="000B2296"/>
    <w:rsid w:val="000B441D"/>
    <w:rsid w:val="000C77B1"/>
    <w:rsid w:val="000D3213"/>
    <w:rsid w:val="000D400D"/>
    <w:rsid w:val="000D4672"/>
    <w:rsid w:val="000D6103"/>
    <w:rsid w:val="000E63A8"/>
    <w:rsid w:val="000F3937"/>
    <w:rsid w:val="000F6109"/>
    <w:rsid w:val="0012025C"/>
    <w:rsid w:val="00123F0C"/>
    <w:rsid w:val="00127412"/>
    <w:rsid w:val="001472C6"/>
    <w:rsid w:val="001549CB"/>
    <w:rsid w:val="0016291B"/>
    <w:rsid w:val="00166B77"/>
    <w:rsid w:val="001856F0"/>
    <w:rsid w:val="00191FA0"/>
    <w:rsid w:val="001A4C0F"/>
    <w:rsid w:val="001C29D5"/>
    <w:rsid w:val="001D13FE"/>
    <w:rsid w:val="001D564D"/>
    <w:rsid w:val="001D5E50"/>
    <w:rsid w:val="001E4891"/>
    <w:rsid w:val="001E642D"/>
    <w:rsid w:val="001F43D8"/>
    <w:rsid w:val="001F4EB3"/>
    <w:rsid w:val="00207E46"/>
    <w:rsid w:val="0024627C"/>
    <w:rsid w:val="002629EB"/>
    <w:rsid w:val="00266E27"/>
    <w:rsid w:val="002809DC"/>
    <w:rsid w:val="00284FED"/>
    <w:rsid w:val="002953E3"/>
    <w:rsid w:val="002A78A7"/>
    <w:rsid w:val="002B1896"/>
    <w:rsid w:val="002D317B"/>
    <w:rsid w:val="00305858"/>
    <w:rsid w:val="00306DF6"/>
    <w:rsid w:val="00313E7E"/>
    <w:rsid w:val="00326A5D"/>
    <w:rsid w:val="00344095"/>
    <w:rsid w:val="0035748D"/>
    <w:rsid w:val="00377C4F"/>
    <w:rsid w:val="003800EE"/>
    <w:rsid w:val="00381B5F"/>
    <w:rsid w:val="003C24BF"/>
    <w:rsid w:val="003E3132"/>
    <w:rsid w:val="003F6F8F"/>
    <w:rsid w:val="004130FC"/>
    <w:rsid w:val="00426A60"/>
    <w:rsid w:val="0044191B"/>
    <w:rsid w:val="0046632A"/>
    <w:rsid w:val="004A319B"/>
    <w:rsid w:val="004B5D43"/>
    <w:rsid w:val="004D7FF0"/>
    <w:rsid w:val="004E1510"/>
    <w:rsid w:val="0050294E"/>
    <w:rsid w:val="00511570"/>
    <w:rsid w:val="005327CD"/>
    <w:rsid w:val="00546AC7"/>
    <w:rsid w:val="00552AB2"/>
    <w:rsid w:val="0055463A"/>
    <w:rsid w:val="00573CF6"/>
    <w:rsid w:val="005749FF"/>
    <w:rsid w:val="005B0B32"/>
    <w:rsid w:val="005B3959"/>
    <w:rsid w:val="005C01E7"/>
    <w:rsid w:val="005C0242"/>
    <w:rsid w:val="005D3FBF"/>
    <w:rsid w:val="005E65CD"/>
    <w:rsid w:val="00602059"/>
    <w:rsid w:val="006065AD"/>
    <w:rsid w:val="00624426"/>
    <w:rsid w:val="00677BF5"/>
    <w:rsid w:val="00681AD9"/>
    <w:rsid w:val="00683D3E"/>
    <w:rsid w:val="0069421E"/>
    <w:rsid w:val="006A16B0"/>
    <w:rsid w:val="006B7634"/>
    <w:rsid w:val="006D4E81"/>
    <w:rsid w:val="00704ABD"/>
    <w:rsid w:val="00714AD6"/>
    <w:rsid w:val="00732EAA"/>
    <w:rsid w:val="00755476"/>
    <w:rsid w:val="00756F75"/>
    <w:rsid w:val="00760E21"/>
    <w:rsid w:val="00780997"/>
    <w:rsid w:val="00791322"/>
    <w:rsid w:val="00795244"/>
    <w:rsid w:val="007B1CB4"/>
    <w:rsid w:val="007C0AE5"/>
    <w:rsid w:val="007C0BE3"/>
    <w:rsid w:val="007E6527"/>
    <w:rsid w:val="007F5ED3"/>
    <w:rsid w:val="008253F1"/>
    <w:rsid w:val="008820FF"/>
    <w:rsid w:val="00886164"/>
    <w:rsid w:val="0089069A"/>
    <w:rsid w:val="008946C3"/>
    <w:rsid w:val="008B1634"/>
    <w:rsid w:val="008C7D59"/>
    <w:rsid w:val="008D26D9"/>
    <w:rsid w:val="008E6A9F"/>
    <w:rsid w:val="00950880"/>
    <w:rsid w:val="0095621E"/>
    <w:rsid w:val="00967CC0"/>
    <w:rsid w:val="00973FE6"/>
    <w:rsid w:val="00983356"/>
    <w:rsid w:val="009A4680"/>
    <w:rsid w:val="009E2A3F"/>
    <w:rsid w:val="009E5250"/>
    <w:rsid w:val="00A00970"/>
    <w:rsid w:val="00A00E6C"/>
    <w:rsid w:val="00A06478"/>
    <w:rsid w:val="00A0765D"/>
    <w:rsid w:val="00A23C89"/>
    <w:rsid w:val="00A241C3"/>
    <w:rsid w:val="00A377F1"/>
    <w:rsid w:val="00A45B9F"/>
    <w:rsid w:val="00A6561E"/>
    <w:rsid w:val="00A7435E"/>
    <w:rsid w:val="00A81A97"/>
    <w:rsid w:val="00A9184B"/>
    <w:rsid w:val="00A94121"/>
    <w:rsid w:val="00AB688F"/>
    <w:rsid w:val="00AC2721"/>
    <w:rsid w:val="00AC40DF"/>
    <w:rsid w:val="00AE144D"/>
    <w:rsid w:val="00AE150C"/>
    <w:rsid w:val="00AE4FF6"/>
    <w:rsid w:val="00AF71E6"/>
    <w:rsid w:val="00B0225E"/>
    <w:rsid w:val="00B131AC"/>
    <w:rsid w:val="00B14856"/>
    <w:rsid w:val="00B17EC1"/>
    <w:rsid w:val="00B25EDE"/>
    <w:rsid w:val="00B263B4"/>
    <w:rsid w:val="00B4311B"/>
    <w:rsid w:val="00B505D3"/>
    <w:rsid w:val="00B60596"/>
    <w:rsid w:val="00B82E17"/>
    <w:rsid w:val="00B97D48"/>
    <w:rsid w:val="00BD1363"/>
    <w:rsid w:val="00BE3907"/>
    <w:rsid w:val="00BE4EBE"/>
    <w:rsid w:val="00BF5A50"/>
    <w:rsid w:val="00C066B4"/>
    <w:rsid w:val="00C25FD3"/>
    <w:rsid w:val="00C40B1A"/>
    <w:rsid w:val="00C43DF9"/>
    <w:rsid w:val="00C44579"/>
    <w:rsid w:val="00C553AF"/>
    <w:rsid w:val="00C724F5"/>
    <w:rsid w:val="00CA7FEC"/>
    <w:rsid w:val="00CB1188"/>
    <w:rsid w:val="00CB4809"/>
    <w:rsid w:val="00CD1A02"/>
    <w:rsid w:val="00CD3953"/>
    <w:rsid w:val="00CE1561"/>
    <w:rsid w:val="00D04AD5"/>
    <w:rsid w:val="00D27B54"/>
    <w:rsid w:val="00D36D86"/>
    <w:rsid w:val="00D565A7"/>
    <w:rsid w:val="00D57F82"/>
    <w:rsid w:val="00D711AA"/>
    <w:rsid w:val="00D85383"/>
    <w:rsid w:val="00D96D21"/>
    <w:rsid w:val="00D96DCC"/>
    <w:rsid w:val="00DA57FD"/>
    <w:rsid w:val="00DB348F"/>
    <w:rsid w:val="00DB7872"/>
    <w:rsid w:val="00DC6D41"/>
    <w:rsid w:val="00DD408B"/>
    <w:rsid w:val="00DE31C5"/>
    <w:rsid w:val="00E17DD9"/>
    <w:rsid w:val="00E30124"/>
    <w:rsid w:val="00E52FDD"/>
    <w:rsid w:val="00E579E2"/>
    <w:rsid w:val="00E85F84"/>
    <w:rsid w:val="00E93442"/>
    <w:rsid w:val="00EA5E79"/>
    <w:rsid w:val="00EC0C8A"/>
    <w:rsid w:val="00ED4FC2"/>
    <w:rsid w:val="00ED7BA4"/>
    <w:rsid w:val="00EF5517"/>
    <w:rsid w:val="00F138DA"/>
    <w:rsid w:val="00F47F15"/>
    <w:rsid w:val="00F73996"/>
    <w:rsid w:val="00F763B2"/>
    <w:rsid w:val="00F921DD"/>
    <w:rsid w:val="00F9355E"/>
    <w:rsid w:val="00FA0BCE"/>
    <w:rsid w:val="00FA44FD"/>
    <w:rsid w:val="00FC7CB7"/>
    <w:rsid w:val="6CD2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pageBreakBefore/>
      <w:numPr>
        <w:ilvl w:val="0"/>
        <w:numId w:val="1"/>
      </w:numPr>
      <w:spacing w:before="240" w:after="240"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Indent"/>
    <w:basedOn w:val="1"/>
    <w:link w:val="47"/>
    <w:unhideWhenUsed/>
    <w:uiPriority w:val="99"/>
    <w:pPr>
      <w:autoSpaceDE w:val="0"/>
      <w:autoSpaceDN w:val="0"/>
      <w:adjustRightInd w:val="0"/>
      <w:spacing w:after="120"/>
      <w:ind w:left="420" w:leftChars="200"/>
      <w:jc w:val="left"/>
    </w:pPr>
    <w:rPr>
      <w:rFonts w:ascii="宋体" w:hAnsi="Times New Roman" w:eastAsia="宋体" w:cs="Times New Roman"/>
      <w:kern w:val="0"/>
      <w:sz w:val="20"/>
      <w:szCs w:val="20"/>
    </w:rPr>
  </w:style>
  <w:style w:type="paragraph" w:styleId="9">
    <w:name w:val="Plain Text"/>
    <w:basedOn w:val="1"/>
    <w:link w:val="36"/>
    <w:uiPriority w:val="0"/>
    <w:rPr>
      <w:rFonts w:ascii="宋体" w:hAnsi="Courier New" w:eastAsia="宋体" w:cs="黑体"/>
      <w:szCs w:val="21"/>
    </w:rPr>
  </w:style>
  <w:style w:type="paragraph" w:styleId="10">
    <w:name w:val="Balloon Text"/>
    <w:basedOn w:val="1"/>
    <w:link w:val="41"/>
    <w:semiHidden/>
    <w:unhideWhenUsed/>
    <w:uiPriority w:val="99"/>
    <w:rPr>
      <w:sz w:val="18"/>
      <w:szCs w:val="18"/>
    </w:rPr>
  </w:style>
  <w:style w:type="paragraph" w:styleId="11">
    <w:name w:val="footer"/>
    <w:basedOn w:val="1"/>
    <w:link w:val="3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黑体" w:cs="Times New Roman"/>
      <w:b/>
      <w:bCs/>
      <w:snapToGrid w:val="0"/>
      <w:kern w:val="28"/>
      <w:sz w:val="32"/>
      <w:szCs w:val="32"/>
    </w:rPr>
  </w:style>
  <w:style w:type="paragraph" w:styleId="14">
    <w:name w:val="Title"/>
    <w:basedOn w:val="1"/>
    <w:next w:val="1"/>
    <w:link w:val="43"/>
    <w:qFormat/>
    <w:uiPriority w:val="0"/>
    <w:pPr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hAnsi="Cambria" w:eastAsia="宋体" w:cs="Times New Roman"/>
      <w:b/>
      <w:bCs/>
      <w:snapToGrid w:val="0"/>
      <w:kern w:val="0"/>
      <w:sz w:val="32"/>
      <w:szCs w:val="32"/>
    </w:rPr>
  </w:style>
  <w:style w:type="character" w:customStyle="1" w:styleId="17">
    <w:name w:val="标题 1 Char"/>
    <w:basedOn w:val="16"/>
    <w:link w:val="2"/>
    <w:qFormat/>
    <w:uiPriority w:val="0"/>
    <w:rPr>
      <w:rFonts w:ascii="Times New Roman" w:hAnsi="Times New Roman" w:eastAsia="黑体" w:cs="Times New Roman"/>
      <w:bCs/>
      <w:kern w:val="44"/>
      <w:sz w:val="32"/>
      <w:szCs w:val="44"/>
    </w:rPr>
  </w:style>
  <w:style w:type="paragraph" w:customStyle="1" w:styleId="18">
    <w:name w:val="样式4 22222222"/>
    <w:basedOn w:val="3"/>
    <w:qFormat/>
    <w:uiPriority w:val="0"/>
    <w:pPr>
      <w:spacing w:before="240" w:after="120" w:line="500" w:lineRule="exact"/>
      <w:contextualSpacing/>
    </w:pPr>
    <w:rPr>
      <w:rFonts w:ascii="宋体" w:hAnsi="宋体" w:eastAsia="黑体" w:cs="Times New Roman"/>
      <w:b w:val="0"/>
      <w:sz w:val="28"/>
      <w:szCs w:val="28"/>
    </w:rPr>
  </w:style>
  <w:style w:type="character" w:customStyle="1" w:styleId="19">
    <w:name w:val="标题 2 Char"/>
    <w:basedOn w:val="16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样式5 233333333"/>
    <w:basedOn w:val="4"/>
    <w:qFormat/>
    <w:uiPriority w:val="0"/>
    <w:pPr>
      <w:snapToGrid w:val="0"/>
      <w:spacing w:beforeLines="50" w:afterLines="50" w:line="500" w:lineRule="exact"/>
    </w:pPr>
    <w:rPr>
      <w:rFonts w:ascii="Times New Roman" w:hAnsi="Times New Roman" w:eastAsia="黑体" w:cs="Times New Roman"/>
      <w:b w:val="0"/>
      <w:sz w:val="28"/>
      <w:lang w:val="pt-BR"/>
    </w:rPr>
  </w:style>
  <w:style w:type="character" w:customStyle="1" w:styleId="21">
    <w:name w:val="标题 3 Char"/>
    <w:basedOn w:val="16"/>
    <w:link w:val="4"/>
    <w:semiHidden/>
    <w:uiPriority w:val="9"/>
    <w:rPr>
      <w:b/>
      <w:bCs/>
      <w:sz w:val="32"/>
      <w:szCs w:val="32"/>
    </w:rPr>
  </w:style>
  <w:style w:type="paragraph" w:customStyle="1" w:styleId="22">
    <w:name w:val="样式6  4444444"/>
    <w:basedOn w:val="5"/>
    <w:qFormat/>
    <w:uiPriority w:val="0"/>
    <w:pPr>
      <w:widowControl/>
      <w:tabs>
        <w:tab w:val="clear" w:pos="864"/>
      </w:tabs>
      <w:spacing w:beforeLines="100" w:afterLines="50" w:line="360" w:lineRule="auto"/>
      <w:ind w:left="0" w:firstLine="0"/>
      <w:jc w:val="left"/>
    </w:pPr>
    <w:rPr>
      <w:rFonts w:ascii="宋体" w:hAnsi="宋体" w:eastAsia="宋体" w:cs="Times New Roman"/>
      <w:b w:val="0"/>
      <w:sz w:val="24"/>
      <w:szCs w:val="24"/>
    </w:rPr>
  </w:style>
  <w:style w:type="character" w:customStyle="1" w:styleId="23">
    <w:name w:val="标题 4 Char"/>
    <w:basedOn w:val="16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4">
    <w:name w:val="一级标题"/>
    <w:basedOn w:val="2"/>
    <w:qFormat/>
    <w:uiPriority w:val="0"/>
    <w:rPr>
      <w:sz w:val="36"/>
      <w:szCs w:val="36"/>
    </w:rPr>
  </w:style>
  <w:style w:type="paragraph" w:customStyle="1" w:styleId="25">
    <w:name w:val="二级标题"/>
    <w:basedOn w:val="3"/>
    <w:qFormat/>
    <w:uiPriority w:val="0"/>
    <w:pPr>
      <w:spacing w:before="240" w:after="120" w:line="360" w:lineRule="auto"/>
    </w:pPr>
    <w:rPr>
      <w:rFonts w:ascii="Arial" w:hAnsi="Arial" w:eastAsia="黑体" w:cs="Times New Roman"/>
      <w:b w:val="0"/>
      <w:sz w:val="30"/>
    </w:rPr>
  </w:style>
  <w:style w:type="paragraph" w:customStyle="1" w:styleId="26">
    <w:name w:val="三级标题新"/>
    <w:basedOn w:val="4"/>
    <w:qFormat/>
    <w:uiPriority w:val="0"/>
    <w:pPr>
      <w:spacing w:before="120" w:after="120" w:line="360" w:lineRule="auto"/>
    </w:pPr>
    <w:rPr>
      <w:rFonts w:ascii="Times New Roman" w:hAnsi="Times New Roman" w:eastAsia="黑体" w:cs="Times New Roman"/>
      <w:b w:val="0"/>
      <w:sz w:val="28"/>
    </w:rPr>
  </w:style>
  <w:style w:type="paragraph" w:customStyle="1" w:styleId="27">
    <w:name w:val="四级样式新"/>
    <w:basedOn w:val="5"/>
    <w:qFormat/>
    <w:uiPriority w:val="0"/>
    <w:pPr>
      <w:spacing w:before="120" w:after="0" w:line="360" w:lineRule="auto"/>
    </w:pPr>
    <w:rPr>
      <w:rFonts w:ascii="Arial" w:hAnsi="Arial" w:eastAsia="黑体" w:cs="Times New Roman"/>
      <w:b w:val="0"/>
      <w:sz w:val="24"/>
    </w:rPr>
  </w:style>
  <w:style w:type="paragraph" w:customStyle="1" w:styleId="28">
    <w:name w:val="五级标题新"/>
    <w:basedOn w:val="6"/>
    <w:qFormat/>
    <w:uiPriority w:val="0"/>
    <w:pPr>
      <w:spacing w:before="120" w:after="0" w:line="360" w:lineRule="auto"/>
      <w:ind w:left="0" w:firstLine="0"/>
    </w:pPr>
    <w:rPr>
      <w:rFonts w:ascii="Times New Roman" w:hAnsi="Times New Roman" w:eastAsia="黑体" w:cs="Times New Roman"/>
      <w:b w:val="0"/>
      <w:sz w:val="24"/>
    </w:rPr>
  </w:style>
  <w:style w:type="character" w:customStyle="1" w:styleId="29">
    <w:name w:val="标题 5 Char"/>
    <w:basedOn w:val="16"/>
    <w:link w:val="6"/>
    <w:semiHidden/>
    <w:uiPriority w:val="9"/>
    <w:rPr>
      <w:b/>
      <w:bCs/>
      <w:sz w:val="28"/>
      <w:szCs w:val="28"/>
    </w:rPr>
  </w:style>
  <w:style w:type="paragraph" w:customStyle="1" w:styleId="30">
    <w:name w:val="六级标题新"/>
    <w:basedOn w:val="7"/>
    <w:qFormat/>
    <w:uiPriority w:val="0"/>
    <w:pPr>
      <w:numPr>
        <w:numId w:val="2"/>
      </w:numPr>
    </w:pPr>
    <w:rPr>
      <w:rFonts w:ascii="Arial" w:hAnsi="Arial" w:eastAsia="黑体" w:cs="Times New Roman"/>
    </w:rPr>
  </w:style>
  <w:style w:type="character" w:customStyle="1" w:styleId="31">
    <w:name w:val="标题 6 Char"/>
    <w:basedOn w:val="16"/>
    <w:link w:val="7"/>
    <w:semiHidden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2">
    <w:name w:val="页眉 Char"/>
    <w:basedOn w:val="16"/>
    <w:link w:val="12"/>
    <w:uiPriority w:val="99"/>
    <w:rPr>
      <w:sz w:val="18"/>
      <w:szCs w:val="18"/>
    </w:rPr>
  </w:style>
  <w:style w:type="character" w:customStyle="1" w:styleId="33">
    <w:name w:val="页脚 Char"/>
    <w:basedOn w:val="16"/>
    <w:link w:val="11"/>
    <w:uiPriority w:val="99"/>
    <w:rPr>
      <w:sz w:val="18"/>
      <w:szCs w:val="18"/>
    </w:rPr>
  </w:style>
  <w:style w:type="paragraph" w:styleId="34">
    <w:name w:val="List Paragraph"/>
    <w:basedOn w:val="1"/>
    <w:link w:val="35"/>
    <w:qFormat/>
    <w:uiPriority w:val="34"/>
    <w:pPr>
      <w:ind w:firstLine="420" w:firstLineChars="200"/>
    </w:pPr>
  </w:style>
  <w:style w:type="character" w:customStyle="1" w:styleId="35">
    <w:name w:val="列出段落 Char"/>
    <w:link w:val="34"/>
    <w:uiPriority w:val="34"/>
  </w:style>
  <w:style w:type="character" w:customStyle="1" w:styleId="36">
    <w:name w:val="纯文本 Char1"/>
    <w:link w:val="9"/>
    <w:locked/>
    <w:uiPriority w:val="0"/>
    <w:rPr>
      <w:rFonts w:ascii="宋体" w:hAnsi="Courier New" w:eastAsia="宋体" w:cs="黑体"/>
      <w:szCs w:val="21"/>
    </w:rPr>
  </w:style>
  <w:style w:type="character" w:customStyle="1" w:styleId="37">
    <w:name w:val="纯文本 Char"/>
    <w:basedOn w:val="16"/>
    <w:semiHidden/>
    <w:uiPriority w:val="99"/>
    <w:rPr>
      <w:rFonts w:ascii="宋体" w:hAnsi="Courier New" w:eastAsia="宋体" w:cs="Courier New"/>
      <w:szCs w:val="21"/>
    </w:rPr>
  </w:style>
  <w:style w:type="paragraph" w:customStyle="1" w:styleId="38">
    <w:name w:val="列出段落1"/>
    <w:basedOn w:val="1"/>
    <w:uiPriority w:val="0"/>
    <w:pPr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39">
    <w:name w:val="副标题 Char"/>
    <w:basedOn w:val="16"/>
    <w:link w:val="13"/>
    <w:uiPriority w:val="0"/>
    <w:rPr>
      <w:rFonts w:ascii="Cambria" w:hAnsi="Cambria" w:eastAsia="黑体" w:cs="Times New Roman"/>
      <w:b/>
      <w:bCs/>
      <w:snapToGrid w:val="0"/>
      <w:kern w:val="28"/>
      <w:sz w:val="32"/>
      <w:szCs w:val="32"/>
    </w:rPr>
  </w:style>
  <w:style w:type="paragraph" w:customStyle="1" w:styleId="40">
    <w:name w:val="列出段落4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41">
    <w:name w:val="批注框文本 Char"/>
    <w:basedOn w:val="16"/>
    <w:link w:val="10"/>
    <w:semiHidden/>
    <w:uiPriority w:val="99"/>
    <w:rPr>
      <w:sz w:val="18"/>
      <w:szCs w:val="18"/>
    </w:rPr>
  </w:style>
  <w:style w:type="paragraph" w:customStyle="1" w:styleId="42">
    <w:name w:val="列出段落2"/>
    <w:basedOn w:val="1"/>
    <w:uiPriority w:val="0"/>
    <w:pPr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43">
    <w:name w:val="标题 Char"/>
    <w:basedOn w:val="16"/>
    <w:link w:val="14"/>
    <w:uiPriority w:val="0"/>
    <w:rPr>
      <w:rFonts w:ascii="Cambria" w:hAnsi="Cambria" w:eastAsia="宋体" w:cs="Times New Roman"/>
      <w:b/>
      <w:bCs/>
      <w:snapToGrid w:val="0"/>
      <w:kern w:val="0"/>
      <w:sz w:val="32"/>
      <w:szCs w:val="32"/>
    </w:rPr>
  </w:style>
  <w:style w:type="character" w:customStyle="1" w:styleId="44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2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01"/>
    <w:uiPriority w:val="0"/>
    <w:rPr>
      <w:rFonts w:ascii="BatangChe" w:hAnsi="BatangChe" w:eastAsia="BatangChe" w:cs="BatangChe"/>
      <w:color w:val="000000"/>
      <w:sz w:val="24"/>
      <w:szCs w:val="24"/>
      <w:u w:val="none"/>
    </w:rPr>
  </w:style>
  <w:style w:type="character" w:customStyle="1" w:styleId="47">
    <w:name w:val="正文文本缩进 Char"/>
    <w:basedOn w:val="16"/>
    <w:link w:val="8"/>
    <w:uiPriority w:val="99"/>
    <w:rPr>
      <w:rFonts w:ascii="宋体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2325A4-53C5-4472-8360-C7206EEA53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317</Words>
  <Characters>1810</Characters>
  <Lines>15</Lines>
  <Paragraphs>4</Paragraphs>
  <TotalTime>2742</TotalTime>
  <ScaleCrop>false</ScaleCrop>
  <LinksUpToDate>false</LinksUpToDate>
  <CharactersWithSpaces>2123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2016-08-05T10:29:00Z</dcterms:created>
  <dc:creator>章洋4</dc:creator>
  <cp:lastModifiedBy>仲杰</cp:lastModifiedBy>
  <dcterms:modified xsi:type="dcterms:W3CDTF">2023-08-22T12:16:18Z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45C3F2EF98B74582970B1665DF154527_12</vt:lpwstr>
  </property>
</Properties>
</file>