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D282B">
      <w:pPr>
        <w:jc w:val="center"/>
        <w:rPr>
          <w:rFonts w:hint="eastAsia" w:ascii="方正兰亭黑简体" w:hAnsi="方正兰亭黑简体" w:eastAsia="方正兰亭黑简体" w:cs="方正兰亭黑简体"/>
          <w:b/>
          <w:bCs/>
          <w:color w:val="auto"/>
          <w:sz w:val="28"/>
          <w:szCs w:val="36"/>
          <w:highlight w:val="none"/>
        </w:rPr>
      </w:pPr>
    </w:p>
    <w:p w14:paraId="006AC946">
      <w:pPr>
        <w:jc w:val="center"/>
        <w:rPr>
          <w:rFonts w:hint="eastAsia" w:ascii="方正兰亭黑简体" w:hAnsi="方正兰亭黑简体" w:eastAsia="方正兰亭黑简体" w:cs="方正兰亭黑简体"/>
          <w:b/>
          <w:bCs/>
          <w:color w:val="auto"/>
          <w:sz w:val="28"/>
          <w:szCs w:val="36"/>
          <w:highlight w:val="none"/>
        </w:rPr>
      </w:pPr>
    </w:p>
    <w:p w14:paraId="1BB83921">
      <w:pPr>
        <w:jc w:val="center"/>
        <w:rPr>
          <w:rFonts w:hint="eastAsia" w:ascii="方正兰亭黑简体" w:hAnsi="方正兰亭黑简体" w:eastAsia="方正兰亭黑简体" w:cs="方正兰亭黑简体"/>
          <w:b/>
          <w:bCs/>
          <w:color w:val="auto"/>
          <w:sz w:val="28"/>
          <w:szCs w:val="36"/>
          <w:highlight w:val="none"/>
        </w:rPr>
      </w:pPr>
    </w:p>
    <w:p w14:paraId="05747166">
      <w:pPr>
        <w:jc w:val="center"/>
        <w:rPr>
          <w:rFonts w:hint="eastAsia" w:ascii="方正兰亭黑简体" w:hAnsi="方正兰亭黑简体" w:eastAsia="方正兰亭黑简体" w:cs="方正兰亭黑简体"/>
          <w:b/>
          <w:bCs/>
          <w:color w:val="auto"/>
          <w:sz w:val="28"/>
          <w:szCs w:val="28"/>
          <w:highlight w:val="none"/>
          <w:lang w:eastAsia="zh-CN"/>
        </w:rPr>
      </w:pPr>
      <w:r>
        <w:rPr>
          <w:rFonts w:hint="eastAsia" w:ascii="方正兰亭黑简体" w:hAnsi="方正兰亭黑简体" w:eastAsia="方正兰亭黑简体" w:cs="方正兰亭黑简体"/>
          <w:b/>
          <w:bCs/>
          <w:color w:val="auto"/>
          <w:sz w:val="28"/>
          <w:szCs w:val="28"/>
          <w:highlight w:val="none"/>
          <w:lang w:eastAsia="zh-CN"/>
        </w:rPr>
        <w:t>上海海事大学第七届青年学者论坛服务</w:t>
      </w:r>
    </w:p>
    <w:p w14:paraId="5F2EFCD4">
      <w:pPr>
        <w:jc w:val="center"/>
        <w:rPr>
          <w:rFonts w:hint="eastAsia" w:ascii="方正兰亭黑简体" w:hAnsi="方正兰亭黑简体" w:eastAsia="方正兰亭黑简体" w:cs="方正兰亭黑简体"/>
          <w:b/>
          <w:bCs/>
          <w:color w:val="auto"/>
          <w:sz w:val="28"/>
          <w:szCs w:val="28"/>
          <w:highlight w:val="none"/>
        </w:rPr>
      </w:pPr>
      <w:r>
        <w:rPr>
          <w:rFonts w:hint="eastAsia" w:ascii="方正兰亭黑简体" w:hAnsi="方正兰亭黑简体" w:eastAsia="方正兰亭黑简体" w:cs="方正兰亭黑简体"/>
          <w:b/>
          <w:bCs/>
          <w:color w:val="auto"/>
          <w:sz w:val="28"/>
          <w:szCs w:val="28"/>
          <w:highlight w:val="none"/>
        </w:rPr>
        <w:t>比选文件</w:t>
      </w:r>
      <w:bookmarkStart w:id="6" w:name="_GoBack"/>
      <w:bookmarkEnd w:id="6"/>
    </w:p>
    <w:p w14:paraId="28A63E00">
      <w:pPr>
        <w:jc w:val="center"/>
        <w:rPr>
          <w:rFonts w:hint="eastAsia" w:ascii="方正兰亭黑简体" w:hAnsi="方正兰亭黑简体" w:eastAsia="方正兰亭黑简体" w:cs="方正兰亭黑简体"/>
          <w:b/>
          <w:bCs/>
          <w:color w:val="auto"/>
          <w:sz w:val="28"/>
          <w:szCs w:val="28"/>
          <w:highlight w:val="none"/>
        </w:rPr>
      </w:pPr>
    </w:p>
    <w:p w14:paraId="0CA5543B">
      <w:pPr>
        <w:jc w:val="center"/>
        <w:rPr>
          <w:rFonts w:hint="eastAsia" w:ascii="方正兰亭黑简体" w:hAnsi="方正兰亭黑简体" w:eastAsia="方正兰亭黑简体" w:cs="方正兰亭黑简体"/>
          <w:b/>
          <w:bCs/>
          <w:color w:val="auto"/>
          <w:sz w:val="28"/>
          <w:szCs w:val="28"/>
          <w:highlight w:val="none"/>
        </w:rPr>
      </w:pPr>
    </w:p>
    <w:p w14:paraId="3D9D00D3">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rPr>
        <w:t>项目编号：</w:t>
      </w:r>
      <w:r>
        <w:rPr>
          <w:rFonts w:hint="eastAsia" w:ascii="方正兰亭黑简体" w:hAnsi="方正兰亭黑简体" w:eastAsia="方正兰亭黑简体" w:cs="方正兰亭黑简体"/>
          <w:color w:val="auto"/>
          <w:sz w:val="28"/>
          <w:szCs w:val="28"/>
          <w:highlight w:val="none"/>
          <w:lang w:eastAsia="zh-CN"/>
        </w:rPr>
        <w:t>HFBX2026088</w:t>
      </w:r>
    </w:p>
    <w:p w14:paraId="4B356AA1">
      <w:pPr>
        <w:jc w:val="center"/>
        <w:rPr>
          <w:rFonts w:hint="eastAsia" w:ascii="方正兰亭黑简体" w:hAnsi="方正兰亭黑简体" w:eastAsia="方正兰亭黑简体" w:cs="方正兰亭黑简体"/>
          <w:b/>
          <w:bCs/>
          <w:color w:val="auto"/>
          <w:sz w:val="24"/>
          <w:szCs w:val="32"/>
          <w:highlight w:val="none"/>
        </w:rPr>
      </w:pPr>
    </w:p>
    <w:p w14:paraId="5B48835F">
      <w:pPr>
        <w:jc w:val="center"/>
        <w:rPr>
          <w:rFonts w:hint="eastAsia" w:ascii="方正兰亭黑简体" w:hAnsi="方正兰亭黑简体" w:eastAsia="方正兰亭黑简体" w:cs="方正兰亭黑简体"/>
          <w:b/>
          <w:bCs/>
          <w:color w:val="auto"/>
          <w:sz w:val="24"/>
          <w:szCs w:val="32"/>
          <w:highlight w:val="none"/>
        </w:rPr>
      </w:pPr>
    </w:p>
    <w:p w14:paraId="07E4A809">
      <w:pPr>
        <w:jc w:val="center"/>
        <w:rPr>
          <w:rFonts w:hint="eastAsia" w:ascii="方正兰亭黑简体" w:hAnsi="方正兰亭黑简体" w:eastAsia="方正兰亭黑简体" w:cs="方正兰亭黑简体"/>
          <w:b/>
          <w:bCs/>
          <w:color w:val="auto"/>
          <w:sz w:val="24"/>
          <w:szCs w:val="32"/>
          <w:highlight w:val="none"/>
        </w:rPr>
      </w:pPr>
    </w:p>
    <w:p w14:paraId="6A0F108C">
      <w:pPr>
        <w:jc w:val="center"/>
        <w:rPr>
          <w:rFonts w:hint="eastAsia" w:ascii="方正兰亭黑简体" w:hAnsi="方正兰亭黑简体" w:eastAsia="方正兰亭黑简体" w:cs="方正兰亭黑简体"/>
          <w:b/>
          <w:bCs/>
          <w:color w:val="auto"/>
          <w:sz w:val="24"/>
          <w:szCs w:val="32"/>
          <w:highlight w:val="none"/>
        </w:rPr>
      </w:pPr>
    </w:p>
    <w:p w14:paraId="5EFABC4D">
      <w:pPr>
        <w:jc w:val="center"/>
        <w:rPr>
          <w:rFonts w:hint="eastAsia" w:ascii="方正兰亭黑简体" w:hAnsi="方正兰亭黑简体" w:eastAsia="方正兰亭黑简体" w:cs="方正兰亭黑简体"/>
          <w:b/>
          <w:bCs/>
          <w:color w:val="auto"/>
          <w:sz w:val="24"/>
          <w:szCs w:val="32"/>
          <w:highlight w:val="none"/>
        </w:rPr>
      </w:pPr>
    </w:p>
    <w:p w14:paraId="5416AFF6">
      <w:pPr>
        <w:jc w:val="center"/>
        <w:rPr>
          <w:rFonts w:hint="eastAsia" w:ascii="方正兰亭黑简体" w:hAnsi="方正兰亭黑简体" w:eastAsia="方正兰亭黑简体" w:cs="方正兰亭黑简体"/>
          <w:b/>
          <w:bCs/>
          <w:color w:val="auto"/>
          <w:sz w:val="24"/>
          <w:szCs w:val="32"/>
          <w:highlight w:val="none"/>
        </w:rPr>
      </w:pPr>
    </w:p>
    <w:p w14:paraId="05694FFB">
      <w:pPr>
        <w:jc w:val="center"/>
        <w:rPr>
          <w:rFonts w:hint="eastAsia" w:ascii="方正兰亭黑简体" w:hAnsi="方正兰亭黑简体" w:eastAsia="方正兰亭黑简体" w:cs="方正兰亭黑简体"/>
          <w:b/>
          <w:bCs/>
          <w:color w:val="auto"/>
          <w:sz w:val="24"/>
          <w:szCs w:val="32"/>
          <w:highlight w:val="none"/>
        </w:rPr>
      </w:pPr>
    </w:p>
    <w:p w14:paraId="342DFAF8">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采购人：上海海事大学</w:t>
      </w:r>
    </w:p>
    <w:p w14:paraId="6301CB11">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二〇二六年</w:t>
      </w:r>
      <w:r>
        <w:rPr>
          <w:rFonts w:hint="eastAsia" w:ascii="方正兰亭黑简体" w:hAnsi="方正兰亭黑简体" w:eastAsia="方正兰亭黑简体" w:cs="方正兰亭黑简体"/>
          <w:b/>
          <w:bCs/>
          <w:color w:val="auto"/>
          <w:sz w:val="24"/>
          <w:szCs w:val="32"/>
          <w:highlight w:val="none"/>
          <w:lang w:val="en-US" w:eastAsia="zh-CN"/>
        </w:rPr>
        <w:t>十</w:t>
      </w:r>
      <w:r>
        <w:rPr>
          <w:rFonts w:hint="eastAsia" w:ascii="方正兰亭黑简体" w:hAnsi="方正兰亭黑简体" w:eastAsia="方正兰亭黑简体" w:cs="方正兰亭黑简体"/>
          <w:b/>
          <w:bCs/>
          <w:color w:val="auto"/>
          <w:sz w:val="24"/>
          <w:szCs w:val="32"/>
          <w:highlight w:val="none"/>
        </w:rPr>
        <w:t>月</w:t>
      </w:r>
    </w:p>
    <w:p w14:paraId="56D8363F">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3FA5FE61">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第一章</w:t>
      </w:r>
      <w:r>
        <w:rPr>
          <w:rFonts w:hint="eastAsia" w:ascii="方正兰亭黑简体" w:hAnsi="方正兰亭黑简体" w:eastAsia="方正兰亭黑简体" w:cs="方正兰亭黑简体"/>
          <w:b/>
          <w:bCs/>
          <w:color w:val="auto"/>
          <w:sz w:val="24"/>
          <w:szCs w:val="32"/>
          <w:highlight w:val="none"/>
          <w:lang w:val="en-US" w:eastAsia="zh-CN"/>
        </w:rPr>
        <w:t xml:space="preserve"> </w:t>
      </w:r>
      <w:r>
        <w:rPr>
          <w:rFonts w:hint="eastAsia" w:ascii="方正兰亭黑简体" w:hAnsi="方正兰亭黑简体" w:eastAsia="方正兰亭黑简体" w:cs="方正兰亭黑简体"/>
          <w:b/>
          <w:bCs/>
          <w:color w:val="auto"/>
          <w:sz w:val="24"/>
          <w:szCs w:val="32"/>
          <w:highlight w:val="none"/>
        </w:rPr>
        <w:t>比选公告</w:t>
      </w:r>
    </w:p>
    <w:p w14:paraId="5E1CB3DE">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的产品及更优质的服务，欢迎各供应单位本着务实友好的工作态度，积极参与，并做好成本核算，进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0E2D235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74B0A1D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eastAsia="zh-CN"/>
        </w:rPr>
        <w:t>HFBX2026088</w:t>
      </w:r>
      <w:r>
        <w:rPr>
          <w:rFonts w:hint="eastAsia" w:ascii="方正兰亭黑简体" w:hAnsi="方正兰亭黑简体" w:eastAsia="方正兰亭黑简体" w:cs="方正兰亭黑简体"/>
          <w:color w:val="auto"/>
          <w:sz w:val="22"/>
          <w:szCs w:val="28"/>
          <w:highlight w:val="none"/>
        </w:rPr>
        <w:t>；</w:t>
      </w:r>
    </w:p>
    <w:p w14:paraId="373D4631">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eastAsia="zh-CN"/>
        </w:rPr>
        <w:t>上海海事大学第七届青年学者论坛服务</w:t>
      </w:r>
      <w:r>
        <w:rPr>
          <w:rFonts w:hint="eastAsia" w:ascii="方正兰亭黑简体" w:hAnsi="方正兰亭黑简体" w:eastAsia="方正兰亭黑简体" w:cs="方正兰亭黑简体"/>
          <w:color w:val="auto"/>
          <w:sz w:val="22"/>
          <w:szCs w:val="28"/>
          <w:highlight w:val="none"/>
        </w:rPr>
        <w:t>；</w:t>
      </w:r>
    </w:p>
    <w:p w14:paraId="44BA892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rPr>
        <w:t>学校比选</w:t>
      </w:r>
      <w:r>
        <w:rPr>
          <w:rFonts w:hint="eastAsia" w:ascii="方正兰亭黑简体" w:hAnsi="方正兰亭黑简体" w:eastAsia="方正兰亭黑简体" w:cs="方正兰亭黑简体"/>
          <w:color w:val="auto"/>
          <w:sz w:val="22"/>
          <w:szCs w:val="28"/>
          <w:highlight w:val="none"/>
        </w:rPr>
        <w:t>；</w:t>
      </w:r>
    </w:p>
    <w:p w14:paraId="432CCF0C">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w:t>
      </w:r>
      <w:r>
        <w:rPr>
          <w:rFonts w:hint="eastAsia" w:ascii="方正兰亭黑简体" w:hAnsi="方正兰亭黑简体" w:eastAsia="方正兰亭黑简体" w:cs="方正兰亭黑简体"/>
          <w:color w:val="auto"/>
          <w:sz w:val="22"/>
          <w:szCs w:val="28"/>
          <w:highlight w:val="none"/>
          <w:lang w:val="en-US" w:eastAsia="zh-CN"/>
        </w:rPr>
        <w:t>19.1</w:t>
      </w:r>
      <w:r>
        <w:rPr>
          <w:rFonts w:hint="eastAsia" w:ascii="方正兰亭黑简体" w:hAnsi="方正兰亭黑简体" w:eastAsia="方正兰亭黑简体" w:cs="方正兰亭黑简体"/>
          <w:color w:val="auto"/>
          <w:sz w:val="22"/>
          <w:szCs w:val="28"/>
          <w:highlight w:val="none"/>
        </w:rPr>
        <w:t>万元；</w:t>
      </w:r>
    </w:p>
    <w:p w14:paraId="290FE171">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lang w:val="en-US" w:eastAsia="zh-CN"/>
        </w:rPr>
        <w:t>本项目所采购的服务包括第七届国际青年学者论坛相关广告发布及宣传推广服务，论坛报名、参加论坛青年学者的信息推介、一对一邀约服务，论坛筹备及论坛当天的会务服务等。</w:t>
      </w:r>
      <w:r>
        <w:rPr>
          <w:rFonts w:hint="eastAsia" w:ascii="方正兰亭黑简体" w:hAnsi="方正兰亭黑简体" w:eastAsia="方正兰亭黑简体" w:cs="方正兰亭黑简体"/>
          <w:color w:val="auto"/>
          <w:sz w:val="22"/>
          <w:szCs w:val="28"/>
          <w:highlight w:val="none"/>
        </w:rPr>
        <w:t>拟采取比选方式实施采购。（具体要求详见比选文件—第二章节采购需求）。</w:t>
      </w:r>
    </w:p>
    <w:p w14:paraId="6F22B905">
      <w:pPr>
        <w:pStyle w:val="19"/>
        <w:tabs>
          <w:tab w:val="left" w:pos="0"/>
        </w:tabs>
        <w:spacing w:line="360" w:lineRule="auto"/>
        <w:ind w:firstLine="0" w:firstLineChars="0"/>
        <w:rPr>
          <w:rFonts w:hint="eastAsia" w:ascii="方正兰亭黑简体" w:hAnsi="方正兰亭黑简体" w:eastAsia="方正兰亭黑简体" w:cs="方正兰亭黑简体"/>
          <w:color w:val="auto"/>
          <w:kern w:val="2"/>
          <w:sz w:val="22"/>
          <w:szCs w:val="28"/>
          <w:highlight w:val="none"/>
          <w:lang w:val="en-US" w:eastAsia="zh-CN" w:bidi="ar-SA"/>
        </w:rPr>
      </w:pPr>
      <w:r>
        <w:rPr>
          <w:rFonts w:hint="eastAsia" w:ascii="方正兰亭黑简体" w:hAnsi="方正兰亭黑简体" w:eastAsia="方正兰亭黑简体" w:cs="方正兰亭黑简体"/>
          <w:color w:val="auto"/>
          <w:sz w:val="22"/>
          <w:szCs w:val="28"/>
          <w:highlight w:val="none"/>
          <w:lang w:val="en-US" w:eastAsia="zh-CN"/>
        </w:rPr>
        <w:t>服务期限：</w:t>
      </w:r>
      <w:r>
        <w:rPr>
          <w:rFonts w:hint="eastAsia" w:ascii="方正兰亭黑简体" w:hAnsi="方正兰亭黑简体" w:eastAsia="方正兰亭黑简体" w:cs="方正兰亭黑简体"/>
          <w:color w:val="auto"/>
          <w:kern w:val="2"/>
          <w:sz w:val="22"/>
          <w:szCs w:val="28"/>
          <w:highlight w:val="none"/>
          <w:lang w:val="en-US" w:eastAsia="zh-CN" w:bidi="ar-SA"/>
        </w:rPr>
        <w:t>自合同签订之日起30天；</w:t>
      </w:r>
    </w:p>
    <w:p w14:paraId="627DD869">
      <w:pPr>
        <w:pStyle w:val="19"/>
        <w:numPr>
          <w:ilvl w:val="0"/>
          <w:numId w:val="0"/>
        </w:numPr>
        <w:tabs>
          <w:tab w:val="left" w:pos="0"/>
        </w:tabs>
        <w:spacing w:line="360" w:lineRule="auto"/>
        <w:ind w:firstLine="0" w:firstLineChars="0"/>
        <w:rPr>
          <w:rFonts w:hint="default" w:ascii="方正兰亭黑简体" w:hAnsi="方正兰亭黑简体" w:eastAsia="方正兰亭黑简体" w:cs="方正兰亭黑简体"/>
          <w:color w:val="auto"/>
          <w:kern w:val="2"/>
          <w:sz w:val="22"/>
          <w:szCs w:val="28"/>
          <w:highlight w:val="none"/>
          <w:lang w:val="en-US" w:eastAsia="zh-CN" w:bidi="ar-SA"/>
        </w:rPr>
      </w:pPr>
      <w:r>
        <w:rPr>
          <w:rFonts w:hint="eastAsia" w:ascii="方正兰亭黑简体" w:hAnsi="方正兰亭黑简体" w:eastAsia="方正兰亭黑简体" w:cs="方正兰亭黑简体"/>
          <w:color w:val="auto"/>
          <w:kern w:val="2"/>
          <w:sz w:val="22"/>
          <w:szCs w:val="28"/>
          <w:highlight w:val="none"/>
          <w:lang w:val="en-US" w:eastAsia="zh-CN" w:bidi="ar-SA"/>
        </w:rPr>
        <w:t>付款方式：</w:t>
      </w:r>
      <w:r>
        <w:rPr>
          <w:rFonts w:hint="eastAsia" w:ascii="方正兰亭黑简体" w:hAnsi="方正兰亭黑简体" w:eastAsia="方正兰亭黑简体" w:cs="方正兰亭黑简体"/>
          <w:color w:val="auto"/>
          <w:kern w:val="2"/>
          <w:sz w:val="22"/>
          <w:szCs w:val="28"/>
          <w:highlight w:val="none"/>
          <w:lang w:val="en-US" w:eastAsia="zh-CN" w:bidi="ar-SA"/>
        </w:rPr>
        <w:t>项目整体完成，经校方验收合格后的10个工作日内一次性支付全额合同款。</w:t>
      </w:r>
    </w:p>
    <w:p w14:paraId="34EF3CE4">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二、报价人的资格要求</w:t>
      </w:r>
    </w:p>
    <w:p w14:paraId="58FFC7E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1、符合《中华人民共和国政府采购法》第二十二条之供应商资格规定。</w:t>
      </w:r>
    </w:p>
    <w:p w14:paraId="67A4B0EC">
      <w:pPr>
        <w:spacing w:line="360" w:lineRule="auto"/>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w:t>
      </w:r>
      <w:r>
        <w:rPr>
          <w:rFonts w:hint="eastAsia" w:ascii="方正兰亭黑简体" w:hAnsi="方正兰亭黑简体" w:eastAsia="方正兰亭黑简体" w:cs="方正兰亭黑简体"/>
          <w:color w:val="auto"/>
          <w:sz w:val="22"/>
          <w:szCs w:val="28"/>
          <w:highlight w:val="none"/>
          <w:lang w:val="en-US" w:eastAsia="zh-CN"/>
        </w:rPr>
        <w:t>采购</w:t>
      </w:r>
      <w:r>
        <w:rPr>
          <w:rFonts w:hint="eastAsia" w:ascii="方正兰亭黑简体" w:hAnsi="方正兰亭黑简体" w:eastAsia="方正兰亭黑简体" w:cs="方正兰亭黑简体"/>
          <w:color w:val="auto"/>
          <w:sz w:val="22"/>
          <w:szCs w:val="28"/>
          <w:highlight w:val="none"/>
        </w:rPr>
        <w:t>严重违法失信行为记录名单的供应商。</w:t>
      </w:r>
    </w:p>
    <w:p w14:paraId="34243CEE">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3、经营范围及拟投标货物（服务）符合本次比选要求，具有与本次投标货物（服务）相应的经营、代理（经销）资质，能全程参与并完成本项目，且具有较强的服务能力，以及畅通的问题响应机制和渠道等。</w:t>
      </w:r>
    </w:p>
    <w:p w14:paraId="6D423F37">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三、报名要求</w:t>
      </w:r>
    </w:p>
    <w:p w14:paraId="2180092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47EB2369">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22BA469E">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获取方式：公告页面下方自行下载</w:t>
      </w:r>
    </w:p>
    <w:p w14:paraId="5F33DC36">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6393E20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3B52FB4A">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六、响应文件提交</w:t>
      </w:r>
    </w:p>
    <w:p w14:paraId="797F0A10">
      <w:pPr>
        <w:jc w:val="left"/>
        <w:rPr>
          <w:rFonts w:hint="eastAsia" w:ascii="方正兰亭黑简体" w:hAnsi="方正兰亭黑简体" w:eastAsia="方正兰亭黑简体" w:cs="方正兰亭黑简体"/>
          <w:color w:val="auto"/>
          <w:sz w:val="22"/>
          <w:szCs w:val="28"/>
          <w:highlight w:val="none"/>
        </w:rPr>
      </w:pPr>
      <w:bookmarkStart w:id="1" w:name="_Toc35393795"/>
      <w:bookmarkEnd w:id="1"/>
      <w:bookmarkStart w:id="2" w:name="_Toc35393626"/>
      <w:bookmarkStart w:id="3" w:name="OLE_LINK2"/>
      <w:bookmarkStart w:id="4" w:name="OLE_LINK1"/>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时间：2026年</w:t>
      </w:r>
      <w:r>
        <w:rPr>
          <w:rFonts w:hint="eastAsia" w:ascii="方正兰亭黑简体" w:hAnsi="方正兰亭黑简体" w:eastAsia="方正兰亭黑简体" w:cs="方正兰亭黑简体"/>
          <w:color w:val="auto"/>
          <w:sz w:val="22"/>
          <w:szCs w:val="28"/>
          <w:highlight w:val="none"/>
          <w:lang w:val="en-US" w:eastAsia="zh-CN"/>
        </w:rPr>
        <w:t>10</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12</w:t>
      </w:r>
      <w:r>
        <w:rPr>
          <w:rFonts w:hint="eastAsia" w:ascii="方正兰亭黑简体" w:hAnsi="方正兰亭黑简体" w:eastAsia="方正兰亭黑简体" w:cs="方正兰亭黑简体"/>
          <w:color w:val="auto"/>
          <w:sz w:val="22"/>
          <w:szCs w:val="28"/>
          <w:highlight w:val="none"/>
        </w:rPr>
        <w:t>日（周</w:t>
      </w:r>
      <w:r>
        <w:rPr>
          <w:rFonts w:hint="eastAsia" w:ascii="方正兰亭黑简体" w:hAnsi="方正兰亭黑简体" w:eastAsia="方正兰亭黑简体" w:cs="方正兰亭黑简体"/>
          <w:color w:val="auto"/>
          <w:sz w:val="22"/>
          <w:szCs w:val="28"/>
          <w:highlight w:val="none"/>
          <w:lang w:val="en-US" w:eastAsia="zh-CN"/>
        </w:rPr>
        <w:t>一</w:t>
      </w:r>
      <w:r>
        <w:rPr>
          <w:rFonts w:hint="eastAsia" w:ascii="方正兰亭黑简体" w:hAnsi="方正兰亭黑简体" w:eastAsia="方正兰亭黑简体" w:cs="方正兰亭黑简体"/>
          <w:color w:val="auto"/>
          <w:sz w:val="22"/>
          <w:szCs w:val="28"/>
          <w:highlight w:val="none"/>
        </w:rPr>
        <w:t>）</w:t>
      </w:r>
      <w:bookmarkEnd w:id="3"/>
      <w:bookmarkEnd w:id="4"/>
      <w:r>
        <w:rPr>
          <w:rFonts w:hint="eastAsia" w:ascii="方正兰亭黑简体" w:hAnsi="方正兰亭黑简体" w:eastAsia="方正兰亭黑简体" w:cs="方正兰亭黑简体"/>
          <w:color w:val="auto"/>
          <w:sz w:val="22"/>
          <w:szCs w:val="28"/>
          <w:highlight w:val="none"/>
        </w:rPr>
        <w:t>上午11时00分</w:t>
      </w:r>
    </w:p>
    <w:p w14:paraId="19B2134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提交方式：发送盖章扫描版PDF到指定邮箱，邮件名称：</w:t>
      </w:r>
      <w:r>
        <w:rPr>
          <w:rFonts w:hint="eastAsia" w:ascii="方正兰亭黑简体" w:hAnsi="方正兰亭黑简体" w:eastAsia="方正兰亭黑简体" w:cs="方正兰亭黑简体"/>
          <w:color w:val="auto"/>
          <w:sz w:val="22"/>
          <w:szCs w:val="28"/>
          <w:highlight w:val="none"/>
        </w:rPr>
        <w:t>项目编号+公司名称</w:t>
      </w:r>
    </w:p>
    <w:p w14:paraId="5F997FC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邮箱地址：quotation@shmtu.edu.cn</w:t>
      </w:r>
    </w:p>
    <w:p w14:paraId="1EC8B77D">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七、其他补充事宜</w:t>
      </w:r>
    </w:p>
    <w:p w14:paraId="1533EBF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1.中标结果将通过发布比选公告的媒介进行公示，公示期为1个工作日，公示期内如对中标结果有异议可向校方提出书面质疑。</w:t>
      </w:r>
      <w:bookmarkStart w:id="5" w:name="_Toc35393627"/>
    </w:p>
    <w:p w14:paraId="03F0F78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w:t>
      </w:r>
      <w:bookmarkEnd w:id="5"/>
      <w:r>
        <w:rPr>
          <w:rFonts w:hint="eastAsia" w:ascii="方正兰亭黑简体" w:hAnsi="方正兰亭黑简体" w:eastAsia="方正兰亭黑简体" w:cs="方正兰亭黑简体"/>
          <w:color w:val="auto"/>
          <w:sz w:val="22"/>
          <w:szCs w:val="28"/>
          <w:highlight w:val="none"/>
        </w:rPr>
        <w:t>凡对本次采购提出询问，请按以下方式联系：</w:t>
      </w:r>
    </w:p>
    <w:p w14:paraId="4E545C0B">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商务信息：仲老师021-38284707</w:t>
      </w:r>
    </w:p>
    <w:p w14:paraId="155BEAB7">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赵老师021-38284236</w:t>
      </w:r>
    </w:p>
    <w:p w14:paraId="0248245C">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24A7818A">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第二章</w:t>
      </w:r>
      <w:r>
        <w:rPr>
          <w:rFonts w:hint="eastAsia" w:ascii="方正兰亭黑简体" w:hAnsi="方正兰亭黑简体" w:eastAsia="方正兰亭黑简体" w:cs="方正兰亭黑简体"/>
          <w:b/>
          <w:bCs/>
          <w:color w:val="auto"/>
          <w:sz w:val="24"/>
          <w:szCs w:val="32"/>
          <w:highlight w:val="none"/>
          <w:lang w:val="en-US" w:eastAsia="zh-CN"/>
        </w:rPr>
        <w:t xml:space="preserve"> </w:t>
      </w:r>
      <w:r>
        <w:rPr>
          <w:rFonts w:hint="eastAsia" w:ascii="方正兰亭黑简体" w:hAnsi="方正兰亭黑简体" w:eastAsia="方正兰亭黑简体" w:cs="方正兰亭黑简体"/>
          <w:b/>
          <w:bCs/>
          <w:color w:val="auto"/>
          <w:sz w:val="24"/>
          <w:szCs w:val="32"/>
          <w:highlight w:val="none"/>
        </w:rPr>
        <w:t>采购需求</w:t>
      </w:r>
    </w:p>
    <w:p w14:paraId="39E2A589">
      <w:pPr>
        <w:spacing w:line="360" w:lineRule="auto"/>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一</w:t>
      </w:r>
      <w:r>
        <w:rPr>
          <w:rFonts w:ascii="Times New Roman" w:hAnsi="Times New Roman" w:eastAsia="方正兰亭黑简体" w:cs="Times New Roman"/>
          <w:b/>
          <w:bCs/>
          <w:color w:val="auto"/>
          <w:sz w:val="22"/>
          <w:szCs w:val="22"/>
          <w:highlight w:val="none"/>
        </w:rPr>
        <w:t>、</w:t>
      </w:r>
      <w:r>
        <w:rPr>
          <w:rFonts w:hint="eastAsia" w:ascii="Times New Roman" w:hAnsi="Times New Roman" w:eastAsia="方正兰亭黑简体" w:cs="Times New Roman"/>
          <w:b/>
          <w:bCs/>
          <w:color w:val="auto"/>
          <w:sz w:val="22"/>
          <w:szCs w:val="22"/>
          <w:highlight w:val="none"/>
          <w:lang w:val="en-US" w:eastAsia="zh-CN"/>
        </w:rPr>
        <w:t>项目概况</w:t>
      </w:r>
    </w:p>
    <w:p w14:paraId="52AFD65E">
      <w:pPr>
        <w:spacing w:line="360" w:lineRule="auto"/>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上海高校国际青年学者论坛是由上海市教卫工作党委、上海市教委发起并资助的高校国际青年英才揽蓄工程的重要举措。学校已成功举办6届国际青年学者论坛。本届论坛为学校举办的第七届国际青年学者论坛，经费来源为上海市教委青年英才揽蓄工程专项经费。本届论坛拟采用线上与线下相结合的举办形式，计划邀请100名左右的青年学者通过线上与线下相结合的形式参加论坛。旨在集聚海内外优秀青年学者</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探讨科技前沿</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促进交流合作</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博揽青年才俊。</w:t>
      </w:r>
    </w:p>
    <w:p w14:paraId="08A485F1">
      <w:pPr>
        <w:spacing w:line="360" w:lineRule="auto"/>
        <w:ind w:firstLine="440" w:firstLineChars="200"/>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本项目所采购服务包括第七届国际青年学者论坛相关广告发布及宣传推广服务，论坛报名、参加论坛青年学者的信息推介、一对一邀约服务，论坛筹备及论坛当天的会务服务等。</w:t>
      </w:r>
    </w:p>
    <w:p w14:paraId="7CFFD12F">
      <w:pPr>
        <w:widowControl/>
        <w:numPr>
          <w:ilvl w:val="0"/>
          <w:numId w:val="0"/>
        </w:numPr>
        <w:shd w:val="clear" w:color="auto" w:fill="FFFFFF"/>
        <w:spacing w:line="360" w:lineRule="auto"/>
        <w:ind w:left="0" w:leftChars="0" w:firstLine="0" w:firstLineChars="0"/>
        <w:jc w:val="left"/>
        <w:rPr>
          <w:rFonts w:hint="eastAsia" w:ascii="Times New Roman" w:hAnsi="Times New Roman" w:eastAsia="方正兰亭黑简体" w:cs="Times New Roman"/>
          <w:b/>
          <w:bCs/>
          <w:color w:val="auto"/>
          <w:kern w:val="2"/>
          <w:sz w:val="22"/>
          <w:szCs w:val="22"/>
          <w:highlight w:val="none"/>
          <w:lang w:val="en-US" w:eastAsia="zh-CN" w:bidi="ar-SA"/>
        </w:rPr>
      </w:pPr>
    </w:p>
    <w:p w14:paraId="2564B485">
      <w:pPr>
        <w:widowControl/>
        <w:numPr>
          <w:ilvl w:val="0"/>
          <w:numId w:val="0"/>
        </w:numPr>
        <w:shd w:val="clear" w:color="auto" w:fill="FFFFFF"/>
        <w:spacing w:line="360" w:lineRule="auto"/>
        <w:ind w:left="0" w:leftChars="0" w:firstLine="0" w:firstLineChars="0"/>
        <w:jc w:val="left"/>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kern w:val="2"/>
          <w:sz w:val="22"/>
          <w:szCs w:val="22"/>
          <w:highlight w:val="none"/>
          <w:lang w:val="en-US" w:eastAsia="zh-CN" w:bidi="ar-SA"/>
        </w:rPr>
        <w:t>二、服务摘要</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
        <w:gridCol w:w="1897"/>
        <w:gridCol w:w="5286"/>
        <w:gridCol w:w="1609"/>
      </w:tblGrid>
      <w:tr w14:paraId="0A5C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83" w:type="pct"/>
            <w:vAlign w:val="center"/>
          </w:tcPr>
          <w:p w14:paraId="4D172C69">
            <w:pPr>
              <w:spacing w:line="360" w:lineRule="auto"/>
              <w:jc w:val="center"/>
              <w:rPr>
                <w:rFonts w:hint="default" w:ascii="Times New Roman" w:hAnsi="Times New Roman" w:eastAsia="方正兰亭黑简体" w:cs="Times New Roman"/>
                <w:b/>
                <w:color w:val="auto"/>
                <w:sz w:val="21"/>
                <w:szCs w:val="21"/>
                <w:highlight w:val="none"/>
              </w:rPr>
            </w:pPr>
            <w:r>
              <w:rPr>
                <w:rFonts w:hint="default" w:ascii="Times New Roman" w:hAnsi="Times New Roman" w:eastAsia="方正兰亭黑简体" w:cs="Times New Roman"/>
                <w:b/>
                <w:color w:val="auto"/>
                <w:sz w:val="21"/>
                <w:szCs w:val="21"/>
                <w:highlight w:val="none"/>
              </w:rPr>
              <w:t>序号</w:t>
            </w:r>
          </w:p>
        </w:tc>
        <w:tc>
          <w:tcPr>
            <w:tcW w:w="974" w:type="pct"/>
            <w:vAlign w:val="center"/>
          </w:tcPr>
          <w:p w14:paraId="4D4125BB">
            <w:pPr>
              <w:widowControl/>
              <w:spacing w:line="360" w:lineRule="auto"/>
              <w:jc w:val="center"/>
              <w:rPr>
                <w:rFonts w:hint="default" w:ascii="Times New Roman" w:hAnsi="Times New Roman" w:eastAsia="方正兰亭黑简体" w:cs="Times New Roman"/>
                <w:b/>
                <w:color w:val="auto"/>
                <w:sz w:val="21"/>
                <w:szCs w:val="21"/>
                <w:highlight w:val="none"/>
              </w:rPr>
            </w:pPr>
            <w:r>
              <w:rPr>
                <w:rFonts w:hint="default" w:ascii="Times New Roman" w:hAnsi="Times New Roman" w:eastAsia="方正兰亭黑简体" w:cs="Times New Roman"/>
                <w:b/>
                <w:color w:val="auto"/>
                <w:sz w:val="21"/>
                <w:szCs w:val="21"/>
                <w:highlight w:val="none"/>
              </w:rPr>
              <w:t>指标名称</w:t>
            </w:r>
          </w:p>
        </w:tc>
        <w:tc>
          <w:tcPr>
            <w:tcW w:w="2714" w:type="pct"/>
            <w:vAlign w:val="center"/>
          </w:tcPr>
          <w:p w14:paraId="09E1FA1B">
            <w:pPr>
              <w:widowControl/>
              <w:spacing w:line="360" w:lineRule="auto"/>
              <w:jc w:val="center"/>
              <w:rPr>
                <w:rFonts w:hint="default" w:ascii="Times New Roman" w:hAnsi="Times New Roman" w:eastAsia="方正兰亭黑简体" w:cs="Times New Roman"/>
                <w:b/>
                <w:color w:val="auto"/>
                <w:sz w:val="21"/>
                <w:szCs w:val="21"/>
                <w:highlight w:val="none"/>
              </w:rPr>
            </w:pPr>
            <w:r>
              <w:rPr>
                <w:rFonts w:hint="default" w:ascii="Times New Roman" w:hAnsi="Times New Roman" w:eastAsia="方正兰亭黑简体" w:cs="Times New Roman"/>
                <w:b/>
                <w:color w:val="auto"/>
                <w:sz w:val="21"/>
                <w:szCs w:val="21"/>
                <w:highlight w:val="none"/>
              </w:rPr>
              <w:t>指标要求</w:t>
            </w:r>
          </w:p>
        </w:tc>
        <w:tc>
          <w:tcPr>
            <w:tcW w:w="826" w:type="pct"/>
            <w:vAlign w:val="center"/>
          </w:tcPr>
          <w:p w14:paraId="4C055152">
            <w:pPr>
              <w:widowControl/>
              <w:spacing w:line="360" w:lineRule="auto"/>
              <w:jc w:val="center"/>
              <w:rPr>
                <w:rFonts w:hint="default" w:ascii="Times New Roman" w:hAnsi="Times New Roman" w:eastAsia="方正兰亭黑简体" w:cs="Times New Roman"/>
                <w:b/>
                <w:color w:val="auto"/>
                <w:sz w:val="21"/>
                <w:szCs w:val="21"/>
                <w:highlight w:val="none"/>
              </w:rPr>
            </w:pPr>
            <w:r>
              <w:rPr>
                <w:rFonts w:hint="default" w:ascii="Times New Roman" w:hAnsi="Times New Roman" w:eastAsia="方正兰亭黑简体" w:cs="Times New Roman"/>
                <w:b/>
                <w:color w:val="auto"/>
                <w:sz w:val="21"/>
                <w:szCs w:val="21"/>
                <w:highlight w:val="none"/>
              </w:rPr>
              <w:t>是否需要</w:t>
            </w:r>
          </w:p>
          <w:p w14:paraId="0B11E6BB">
            <w:pPr>
              <w:widowControl/>
              <w:spacing w:line="360" w:lineRule="auto"/>
              <w:jc w:val="center"/>
              <w:rPr>
                <w:rFonts w:hint="default" w:ascii="Times New Roman" w:hAnsi="Times New Roman" w:eastAsia="方正兰亭黑简体" w:cs="Times New Roman"/>
                <w:b/>
                <w:color w:val="auto"/>
                <w:sz w:val="21"/>
                <w:szCs w:val="21"/>
                <w:highlight w:val="none"/>
              </w:rPr>
            </w:pPr>
            <w:r>
              <w:rPr>
                <w:rFonts w:hint="default" w:ascii="Times New Roman" w:hAnsi="Times New Roman" w:eastAsia="方正兰亭黑简体" w:cs="Times New Roman"/>
                <w:b/>
                <w:color w:val="auto"/>
                <w:sz w:val="21"/>
                <w:szCs w:val="21"/>
                <w:highlight w:val="none"/>
              </w:rPr>
              <w:t>证明材料</w:t>
            </w:r>
          </w:p>
        </w:tc>
      </w:tr>
      <w:tr w14:paraId="4CE6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83" w:type="pct"/>
            <w:vAlign w:val="center"/>
          </w:tcPr>
          <w:p w14:paraId="2447FCA3">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974" w:type="pct"/>
            <w:vAlign w:val="center"/>
          </w:tcPr>
          <w:p w14:paraId="20D166AB">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宣传推介服务</w:t>
            </w:r>
          </w:p>
        </w:tc>
        <w:tc>
          <w:tcPr>
            <w:tcW w:w="2714" w:type="pct"/>
            <w:vAlign w:val="center"/>
          </w:tcPr>
          <w:p w14:paraId="34A4A9AF">
            <w:pPr>
              <w:widowControl/>
              <w:spacing w:line="360" w:lineRule="auto"/>
              <w:jc w:val="left"/>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海内外知名高校学联、就业办微信公众号宣传推广15条以上；发布本届论坛的公告1次以上、发布分论坛公告8条以上。海外知名大学学联包括牛津大学、伦敦大学学院、苏黎世联邦理工大学、洛桑理工大学学联等。</w:t>
            </w:r>
          </w:p>
        </w:tc>
        <w:tc>
          <w:tcPr>
            <w:tcW w:w="826" w:type="pct"/>
            <w:vAlign w:val="center"/>
          </w:tcPr>
          <w:p w14:paraId="2D05E101">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是</w:t>
            </w:r>
          </w:p>
        </w:tc>
      </w:tr>
      <w:tr w14:paraId="3A26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83" w:type="pct"/>
            <w:vAlign w:val="center"/>
          </w:tcPr>
          <w:p w14:paraId="20428B89">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2</w:t>
            </w:r>
          </w:p>
        </w:tc>
        <w:tc>
          <w:tcPr>
            <w:tcW w:w="974" w:type="pct"/>
            <w:vAlign w:val="center"/>
          </w:tcPr>
          <w:p w14:paraId="4D212B59">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宣传视频</w:t>
            </w:r>
          </w:p>
        </w:tc>
        <w:tc>
          <w:tcPr>
            <w:tcW w:w="2714" w:type="pct"/>
            <w:vAlign w:val="center"/>
          </w:tcPr>
          <w:p w14:paraId="060F7019">
            <w:pPr>
              <w:widowControl/>
              <w:spacing w:line="360" w:lineRule="auto"/>
              <w:jc w:val="left"/>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拍摄并制作本届论坛的宣传视频1条，视频时长8分钟以上。</w:t>
            </w:r>
          </w:p>
        </w:tc>
        <w:tc>
          <w:tcPr>
            <w:tcW w:w="826" w:type="pct"/>
            <w:vAlign w:val="center"/>
          </w:tcPr>
          <w:p w14:paraId="0067E4EE">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否</w:t>
            </w:r>
          </w:p>
        </w:tc>
      </w:tr>
      <w:tr w14:paraId="634B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83" w:type="pct"/>
            <w:vAlign w:val="center"/>
          </w:tcPr>
          <w:p w14:paraId="1F70F2B9">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3</w:t>
            </w:r>
          </w:p>
        </w:tc>
        <w:tc>
          <w:tcPr>
            <w:tcW w:w="974" w:type="pct"/>
            <w:vAlign w:val="center"/>
          </w:tcPr>
          <w:p w14:paraId="697DC5AE">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人才邀约</w:t>
            </w:r>
          </w:p>
        </w:tc>
        <w:tc>
          <w:tcPr>
            <w:tcW w:w="2714" w:type="pct"/>
            <w:vAlign w:val="center"/>
          </w:tcPr>
          <w:p w14:paraId="111C3798">
            <w:pPr>
              <w:widowControl/>
              <w:spacing w:line="360" w:lineRule="auto"/>
              <w:jc w:val="left"/>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邀约青年学者参加本届论坛不少于100名，通过线上线下形式实际参加学者不少于50名</w:t>
            </w:r>
          </w:p>
        </w:tc>
        <w:tc>
          <w:tcPr>
            <w:tcW w:w="826" w:type="pct"/>
            <w:vAlign w:val="center"/>
          </w:tcPr>
          <w:p w14:paraId="72E4528A">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是</w:t>
            </w:r>
          </w:p>
        </w:tc>
      </w:tr>
    </w:tbl>
    <w:p w14:paraId="304EA2BB">
      <w:pPr>
        <w:spacing w:line="360" w:lineRule="auto"/>
        <w:ind w:firstLine="440" w:firstLineChars="200"/>
        <w:jc w:val="left"/>
        <w:rPr>
          <w:rFonts w:hint="default" w:ascii="方正兰亭黑简体" w:hAnsi="方正兰亭黑简体" w:eastAsia="方正兰亭黑简体" w:cs="方正兰亭黑简体"/>
          <w:color w:val="auto"/>
          <w:sz w:val="22"/>
          <w:szCs w:val="28"/>
          <w:highlight w:val="none"/>
          <w:lang w:val="en-US" w:eastAsia="zh-CN"/>
        </w:rPr>
      </w:pPr>
    </w:p>
    <w:p w14:paraId="79811CBE">
      <w:pPr>
        <w:widowControl/>
        <w:numPr>
          <w:ilvl w:val="0"/>
          <w:numId w:val="0"/>
        </w:numPr>
        <w:shd w:val="clear" w:color="auto" w:fill="FFFFFF"/>
        <w:spacing w:line="360" w:lineRule="auto"/>
        <w:ind w:left="0" w:leftChars="0" w:firstLine="0" w:firstLineChars="0"/>
        <w:jc w:val="left"/>
        <w:rPr>
          <w:rFonts w:hint="default" w:ascii="Times New Roman" w:hAnsi="Times New Roman" w:eastAsia="方正兰亭黑简体" w:cs="Times New Roman"/>
          <w:b/>
          <w:bCs/>
          <w:color w:val="auto"/>
          <w:kern w:val="2"/>
          <w:sz w:val="22"/>
          <w:szCs w:val="22"/>
          <w:highlight w:val="none"/>
          <w:lang w:val="en-US" w:eastAsia="zh-CN" w:bidi="ar-SA"/>
        </w:rPr>
      </w:pPr>
      <w:r>
        <w:rPr>
          <w:rFonts w:hint="default" w:ascii="Times New Roman" w:hAnsi="Times New Roman" w:eastAsia="方正兰亭黑简体" w:cs="Times New Roman"/>
          <w:b/>
          <w:bCs/>
          <w:color w:val="auto"/>
          <w:kern w:val="2"/>
          <w:sz w:val="22"/>
          <w:szCs w:val="22"/>
          <w:highlight w:val="none"/>
          <w:lang w:val="en-US" w:eastAsia="zh-CN" w:bidi="ar-SA"/>
        </w:rPr>
        <w:t>三、</w:t>
      </w:r>
      <w:r>
        <w:rPr>
          <w:rFonts w:hint="eastAsia" w:ascii="Times New Roman" w:hAnsi="Times New Roman" w:eastAsia="方正兰亭黑简体" w:cs="Times New Roman"/>
          <w:b/>
          <w:bCs/>
          <w:color w:val="auto"/>
          <w:kern w:val="2"/>
          <w:sz w:val="22"/>
          <w:szCs w:val="22"/>
          <w:highlight w:val="none"/>
          <w:lang w:val="en-US" w:eastAsia="zh-CN" w:bidi="ar-SA"/>
        </w:rPr>
        <w:t>具体</w:t>
      </w:r>
      <w:r>
        <w:rPr>
          <w:rFonts w:hint="default" w:ascii="Times New Roman" w:hAnsi="Times New Roman" w:eastAsia="方正兰亭黑简体" w:cs="Times New Roman"/>
          <w:b/>
          <w:bCs/>
          <w:color w:val="auto"/>
          <w:kern w:val="2"/>
          <w:sz w:val="22"/>
          <w:szCs w:val="22"/>
          <w:highlight w:val="none"/>
          <w:lang w:val="en-US" w:eastAsia="zh-CN" w:bidi="ar-SA"/>
        </w:rPr>
        <w:t>要求</w:t>
      </w:r>
    </w:p>
    <w:p w14:paraId="7D5FAA1E">
      <w:pPr>
        <w:spacing w:line="480" w:lineRule="auto"/>
        <w:ind w:left="0" w:leftChars="0" w:firstLine="440" w:firstLineChars="200"/>
        <w:rPr>
          <w:rFonts w:hint="eastAsia"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en-US" w:eastAsia="zh-CN"/>
        </w:rPr>
        <w:t>供应商应按照学校要求在指定的海内外知名高校学联、就业办等开展本届论坛的宣传推广，为学校拍摄并制作本届论坛的宣传视频；为学校制作论坛报名通道、接收并统计青年学者报名信息，并根据学校要求，开展青年学者的一对一邀约服务；为学校准备论坛的相关物料，提前进行论坛开幕式彩排，并做好论坛举办当日的主论坛及分论坛的会务以及青年学者接待工作。</w:t>
      </w:r>
    </w:p>
    <w:p w14:paraId="6ED13731">
      <w:pPr>
        <w:spacing w:line="480" w:lineRule="auto"/>
        <w:rPr>
          <w:rFonts w:hint="default" w:ascii="Times New Roman" w:hAnsi="Times New Roman" w:eastAsia="方正兰亭黑简体" w:cs="Times New Roman"/>
          <w:b/>
          <w:bCs/>
          <w:color w:val="auto"/>
          <w:kern w:val="0"/>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四、</w:t>
      </w:r>
      <w:r>
        <w:rPr>
          <w:rFonts w:hint="eastAsia" w:ascii="Times New Roman" w:hAnsi="Times New Roman" w:eastAsia="方正兰亭黑简体" w:cs="Times New Roman"/>
          <w:b/>
          <w:bCs/>
          <w:color w:val="auto"/>
          <w:kern w:val="0"/>
          <w:sz w:val="22"/>
          <w:szCs w:val="22"/>
          <w:highlight w:val="none"/>
          <w:lang w:val="en-US" w:eastAsia="zh-CN"/>
        </w:rPr>
        <w:t>其他要求</w:t>
      </w:r>
    </w:p>
    <w:p w14:paraId="57F673ED">
      <w:pPr>
        <w:spacing w:line="480" w:lineRule="auto"/>
        <w:ind w:left="0" w:leftChars="0" w:firstLine="0" w:firstLineChars="0"/>
        <w:rPr>
          <w:rFonts w:hint="default" w:ascii="Times New Roman" w:hAnsi="Times New Roman" w:eastAsia="方正兰亭黑简体" w:cs="Times New Roman"/>
          <w:color w:val="auto"/>
          <w:sz w:val="22"/>
          <w:szCs w:val="22"/>
          <w:highlight w:val="none"/>
          <w:lang w:val="en-US" w:eastAsia="zh-CN"/>
        </w:rPr>
      </w:pPr>
      <w:r>
        <w:rPr>
          <w:rFonts w:hint="default" w:ascii="Times New Roman" w:hAnsi="Times New Roman" w:eastAsia="方正兰亭黑简体" w:cs="Times New Roman"/>
          <w:color w:val="auto"/>
          <w:sz w:val="22"/>
          <w:szCs w:val="22"/>
          <w:highlight w:val="none"/>
          <w:lang w:val="en-US" w:eastAsia="zh-CN"/>
        </w:rPr>
        <w:t>1.</w:t>
      </w:r>
      <w:r>
        <w:rPr>
          <w:rFonts w:hint="eastAsia" w:ascii="Times New Roman" w:hAnsi="Times New Roman" w:eastAsia="方正兰亭黑简体" w:cs="Times New Roman"/>
          <w:color w:val="auto"/>
          <w:sz w:val="22"/>
          <w:szCs w:val="22"/>
          <w:highlight w:val="none"/>
          <w:lang w:val="en-US" w:eastAsia="zh-CN"/>
        </w:rPr>
        <w:t>论坛成功举办，邀约人才数量和质量较好。</w:t>
      </w:r>
    </w:p>
    <w:p w14:paraId="4967BD9C">
      <w:pPr>
        <w:spacing w:line="480" w:lineRule="auto"/>
        <w:ind w:left="0" w:leftChars="0" w:firstLine="0" w:firstLineChars="0"/>
        <w:rPr>
          <w:rFonts w:hint="default"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en-US" w:eastAsia="zh-CN"/>
        </w:rPr>
        <w:t>2.论坛举办后应提供本届论坛的视频、人才邀约及参加论坛的相关数据总结</w:t>
      </w:r>
    </w:p>
    <w:p w14:paraId="2848B93A">
      <w:pPr>
        <w:spacing w:line="480" w:lineRule="auto"/>
        <w:ind w:left="0" w:leftChars="0" w:firstLine="0" w:firstLineChars="0"/>
        <w:rPr>
          <w:rFonts w:hint="default"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en-US" w:eastAsia="zh-CN"/>
        </w:rPr>
        <w:t>3.2026年12月30日前完成所有服务。</w:t>
      </w:r>
    </w:p>
    <w:p w14:paraId="6966AFDC">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242B56B3">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第三章</w:t>
      </w:r>
      <w:r>
        <w:rPr>
          <w:rFonts w:hint="eastAsia" w:ascii="方正兰亭黑简体" w:hAnsi="方正兰亭黑简体" w:eastAsia="方正兰亭黑简体" w:cs="方正兰亭黑简体"/>
          <w:b/>
          <w:bCs/>
          <w:color w:val="auto"/>
          <w:sz w:val="24"/>
          <w:szCs w:val="32"/>
          <w:highlight w:val="none"/>
          <w:lang w:val="en-US" w:eastAsia="zh-CN"/>
        </w:rPr>
        <w:t xml:space="preserve"> </w:t>
      </w:r>
      <w:r>
        <w:rPr>
          <w:rFonts w:hint="eastAsia" w:ascii="方正兰亭黑简体" w:hAnsi="方正兰亭黑简体" w:eastAsia="方正兰亭黑简体" w:cs="方正兰亭黑简体"/>
          <w:b/>
          <w:bCs/>
          <w:color w:val="auto"/>
          <w:sz w:val="24"/>
          <w:szCs w:val="32"/>
          <w:highlight w:val="none"/>
        </w:rPr>
        <w:t>评审办法</w:t>
      </w:r>
    </w:p>
    <w:p w14:paraId="2DA9D43D">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综合本项目的特点，根据相关法律法规的规定，本着保护竞争，维护采购工作公开、公平、公正原则，特制定本评审办法，作为选定本次采购中标人的依据。</w:t>
      </w:r>
    </w:p>
    <w:p w14:paraId="673FFF6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1、成立比选评审小组</w:t>
      </w:r>
    </w:p>
    <w:p w14:paraId="1D34F033">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采购人将根据货物与服务的特点，依规组建比选小组，比选小组由3人或以上的单数组成。</w:t>
      </w:r>
    </w:p>
    <w:p w14:paraId="12EFA4B4">
      <w:pPr>
        <w:numPr>
          <w:ilvl w:val="0"/>
          <w:numId w:val="1"/>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具体评分细则如下：</w:t>
      </w:r>
    </w:p>
    <w:tbl>
      <w:tblPr>
        <w:tblStyle w:val="14"/>
        <w:tblW w:w="498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41"/>
        <w:gridCol w:w="1300"/>
        <w:gridCol w:w="707"/>
        <w:gridCol w:w="7065"/>
      </w:tblGrid>
      <w:tr w14:paraId="4FA9B3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330" w:type="pct"/>
            <w:vAlign w:val="center"/>
          </w:tcPr>
          <w:p w14:paraId="0E8E4E82">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序号</w:t>
            </w:r>
          </w:p>
        </w:tc>
        <w:tc>
          <w:tcPr>
            <w:tcW w:w="669" w:type="pct"/>
            <w:vAlign w:val="center"/>
          </w:tcPr>
          <w:p w14:paraId="04667EC9">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评审因素</w:t>
            </w:r>
          </w:p>
        </w:tc>
        <w:tc>
          <w:tcPr>
            <w:tcW w:w="364" w:type="pct"/>
            <w:vAlign w:val="center"/>
          </w:tcPr>
          <w:p w14:paraId="6B1AA947">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分值</w:t>
            </w:r>
          </w:p>
        </w:tc>
        <w:tc>
          <w:tcPr>
            <w:tcW w:w="3635" w:type="pct"/>
            <w:vAlign w:val="center"/>
          </w:tcPr>
          <w:p w14:paraId="78DCF4D6">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评分说明</w:t>
            </w:r>
          </w:p>
        </w:tc>
      </w:tr>
      <w:tr w14:paraId="25120D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jc w:val="center"/>
        </w:trPr>
        <w:tc>
          <w:tcPr>
            <w:tcW w:w="5000" w:type="pct"/>
            <w:gridSpan w:val="4"/>
            <w:vAlign w:val="center"/>
          </w:tcPr>
          <w:p w14:paraId="3C4E5B51">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14B227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30" w:type="pct"/>
            <w:vAlign w:val="center"/>
          </w:tcPr>
          <w:p w14:paraId="40A3FBEB">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669" w:type="pct"/>
            <w:vAlign w:val="center"/>
          </w:tcPr>
          <w:p w14:paraId="6E043E2F">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33D28CC8">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64" w:type="pct"/>
            <w:vAlign w:val="center"/>
          </w:tcPr>
          <w:p w14:paraId="2F6FAA4D">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20</w:t>
            </w:r>
          </w:p>
        </w:tc>
        <w:tc>
          <w:tcPr>
            <w:tcW w:w="3635" w:type="pct"/>
            <w:vAlign w:val="center"/>
          </w:tcPr>
          <w:p w14:paraId="69E5170C">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采用低价优先法计算，即满足比选文件要求且最低的报价为基准价，其价格分为满分20分。其他报价单位的报价得分计算公式如下：报价得分＝20×（评标基准价/投标报价）。</w:t>
            </w:r>
          </w:p>
        </w:tc>
      </w:tr>
      <w:tr w14:paraId="4DE7C0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5" w:hRule="atLeast"/>
          <w:jc w:val="center"/>
        </w:trPr>
        <w:tc>
          <w:tcPr>
            <w:tcW w:w="5000" w:type="pct"/>
            <w:gridSpan w:val="4"/>
            <w:vAlign w:val="center"/>
          </w:tcPr>
          <w:p w14:paraId="11AA50BB">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二、商务、技术部分</w:t>
            </w:r>
          </w:p>
        </w:tc>
      </w:tr>
      <w:tr w14:paraId="2540F1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330" w:type="pct"/>
            <w:vAlign w:val="center"/>
          </w:tcPr>
          <w:p w14:paraId="4ED921D1">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w:t>
            </w:r>
          </w:p>
        </w:tc>
        <w:tc>
          <w:tcPr>
            <w:tcW w:w="669" w:type="pct"/>
            <w:vAlign w:val="center"/>
          </w:tcPr>
          <w:p w14:paraId="7AF339FF">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经验业绩</w:t>
            </w:r>
          </w:p>
          <w:p w14:paraId="6004DB21">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64" w:type="pct"/>
            <w:vAlign w:val="center"/>
          </w:tcPr>
          <w:p w14:paraId="3557659E">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15</w:t>
            </w:r>
          </w:p>
        </w:tc>
        <w:tc>
          <w:tcPr>
            <w:tcW w:w="3635" w:type="pct"/>
            <w:vAlign w:val="center"/>
          </w:tcPr>
          <w:p w14:paraId="74E23610">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提供近3年（合同签订日期自2023年</w:t>
            </w:r>
            <w:r>
              <w:rPr>
                <w:rFonts w:hint="eastAsia" w:ascii="方正兰亭黑简体" w:hAnsi="方正兰亭黑简体" w:eastAsia="方正兰亭黑简体" w:cs="方正兰亭黑简体"/>
                <w:color w:val="auto"/>
                <w:sz w:val="20"/>
                <w:szCs w:val="20"/>
                <w:highlight w:val="none"/>
                <w:lang w:val="en-US" w:eastAsia="zh-CN"/>
              </w:rPr>
              <w:t>8</w:t>
            </w:r>
            <w:r>
              <w:rPr>
                <w:rFonts w:hint="eastAsia" w:ascii="方正兰亭黑简体" w:hAnsi="方正兰亭黑简体" w:eastAsia="方正兰亭黑简体" w:cs="方正兰亭黑简体"/>
                <w:color w:val="auto"/>
                <w:sz w:val="20"/>
                <w:szCs w:val="20"/>
                <w:highlight w:val="none"/>
              </w:rPr>
              <w:t>月1日起至今）业绩案例。（每提供1个得5分；最高得15分）注：需提供相关业绩的合同复印件，否则将不予认可。</w:t>
            </w:r>
          </w:p>
        </w:tc>
      </w:tr>
      <w:tr w14:paraId="6AF949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330" w:type="pct"/>
            <w:vAlign w:val="center"/>
          </w:tcPr>
          <w:p w14:paraId="4780BF04">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w:t>
            </w:r>
          </w:p>
        </w:tc>
        <w:tc>
          <w:tcPr>
            <w:tcW w:w="669" w:type="pct"/>
            <w:vAlign w:val="center"/>
          </w:tcPr>
          <w:p w14:paraId="312CC6C9">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服务响应程度</w:t>
            </w:r>
          </w:p>
          <w:p w14:paraId="1DD2C7B1">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64" w:type="pct"/>
            <w:vAlign w:val="center"/>
          </w:tcPr>
          <w:p w14:paraId="3A438D65">
            <w:pPr>
              <w:spacing w:line="240" w:lineRule="auto"/>
              <w:jc w:val="center"/>
              <w:rPr>
                <w:rFonts w:hint="default"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25</w:t>
            </w:r>
          </w:p>
        </w:tc>
        <w:tc>
          <w:tcPr>
            <w:tcW w:w="3635" w:type="pct"/>
            <w:vAlign w:val="center"/>
          </w:tcPr>
          <w:p w14:paraId="4C942918">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针对第二章中的采购需求：不满足</w:t>
            </w:r>
            <w:r>
              <w:rPr>
                <w:rFonts w:hint="eastAsia" w:ascii="方正兰亭黑简体" w:hAnsi="方正兰亭黑简体" w:eastAsia="方正兰亭黑简体" w:cs="方正兰亭黑简体"/>
                <w:color w:val="auto"/>
                <w:sz w:val="20"/>
                <w:szCs w:val="20"/>
                <w:highlight w:val="none"/>
                <w:lang w:val="en-US" w:eastAsia="zh-CN"/>
              </w:rPr>
              <w:t>技术要求</w:t>
            </w:r>
            <w:r>
              <w:rPr>
                <w:rFonts w:hint="eastAsia" w:ascii="方正兰亭黑简体" w:hAnsi="方正兰亭黑简体" w:eastAsia="方正兰亭黑简体" w:cs="方正兰亭黑简体"/>
                <w:color w:val="auto"/>
                <w:sz w:val="20"/>
                <w:szCs w:val="20"/>
                <w:highlight w:val="none"/>
              </w:rPr>
              <w:t>的，每项扣</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分；扣完为止。</w:t>
            </w:r>
          </w:p>
        </w:tc>
      </w:tr>
      <w:tr w14:paraId="4D0BBB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881" w:hRule="atLeast"/>
          <w:jc w:val="center"/>
        </w:trPr>
        <w:tc>
          <w:tcPr>
            <w:tcW w:w="330" w:type="pct"/>
            <w:vAlign w:val="center"/>
          </w:tcPr>
          <w:p w14:paraId="788752CD">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4</w:t>
            </w:r>
          </w:p>
        </w:tc>
        <w:tc>
          <w:tcPr>
            <w:tcW w:w="669" w:type="pct"/>
            <w:tcBorders>
              <w:top w:val="single" w:color="auto" w:sz="6" w:space="0"/>
              <w:left w:val="single" w:color="auto" w:sz="6" w:space="0"/>
              <w:bottom w:val="single" w:color="auto" w:sz="6" w:space="0"/>
              <w:right w:val="single" w:color="auto" w:sz="6" w:space="0"/>
            </w:tcBorders>
            <w:vAlign w:val="center"/>
          </w:tcPr>
          <w:p w14:paraId="7A8085AB">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zh-CN"/>
              </w:rPr>
              <w:t>服务方案</w:t>
            </w:r>
            <w:r>
              <w:rPr>
                <w:rFonts w:hint="eastAsia" w:ascii="方正兰亭黑简体" w:hAnsi="方正兰亭黑简体" w:eastAsia="方正兰亭黑简体" w:cs="方正兰亭黑简体"/>
                <w:color w:val="auto"/>
                <w:sz w:val="20"/>
                <w:szCs w:val="20"/>
                <w:highlight w:val="none"/>
              </w:rPr>
              <w:t>整体质量</w:t>
            </w:r>
          </w:p>
          <w:p w14:paraId="2F94F36C">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（主观分）</w:t>
            </w:r>
          </w:p>
        </w:tc>
        <w:tc>
          <w:tcPr>
            <w:tcW w:w="364" w:type="pct"/>
            <w:vAlign w:val="center"/>
          </w:tcPr>
          <w:p w14:paraId="004B4B48">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2</w:t>
            </w:r>
            <w:r>
              <w:rPr>
                <w:rFonts w:hint="eastAsia" w:ascii="方正兰亭黑简体" w:hAnsi="方正兰亭黑简体" w:eastAsia="方正兰亭黑简体" w:cs="方正兰亭黑简体"/>
                <w:color w:val="auto"/>
                <w:sz w:val="20"/>
                <w:szCs w:val="20"/>
                <w:highlight w:val="none"/>
              </w:rPr>
              <w:t>0</w:t>
            </w:r>
          </w:p>
        </w:tc>
        <w:tc>
          <w:tcPr>
            <w:tcW w:w="3635" w:type="pct"/>
            <w:vAlign w:val="center"/>
          </w:tcPr>
          <w:p w14:paraId="6393C2D9">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优秀（16～20分）：方案整体质量高，方案合理可行性强，响应措施及时高效，项目进度安排紧凑合理。</w:t>
            </w:r>
          </w:p>
          <w:p w14:paraId="36A6F9CB">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良好（11～15分）：方案整体质量较好，响应措施尚可，方案个别细节有待进一步完善。</w:t>
            </w:r>
          </w:p>
          <w:p w14:paraId="3EC9A561">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一般（6～10分）：方案整体质量一般，合理性与可行性一般，存在风险但总体可控的。</w:t>
            </w:r>
          </w:p>
          <w:p w14:paraId="58DA62C3">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较差（0～5分）：方案整体质量较差，与项目实际契合度低的。</w:t>
            </w:r>
          </w:p>
        </w:tc>
      </w:tr>
      <w:tr w14:paraId="3BB316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4" w:hRule="atLeast"/>
          <w:jc w:val="center"/>
        </w:trPr>
        <w:tc>
          <w:tcPr>
            <w:tcW w:w="330" w:type="pct"/>
            <w:vAlign w:val="center"/>
          </w:tcPr>
          <w:p w14:paraId="56286725">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5</w:t>
            </w:r>
          </w:p>
        </w:tc>
        <w:tc>
          <w:tcPr>
            <w:tcW w:w="669" w:type="pct"/>
            <w:vAlign w:val="center"/>
          </w:tcPr>
          <w:p w14:paraId="6709E7BB">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服务承诺</w:t>
            </w:r>
          </w:p>
          <w:p w14:paraId="020BE35A">
            <w:pPr>
              <w:pStyle w:val="13"/>
              <w:spacing w:line="240" w:lineRule="auto"/>
              <w:ind w:firstLine="200"/>
              <w:rPr>
                <w:color w:val="auto"/>
                <w:highlight w:val="none"/>
              </w:rPr>
            </w:pPr>
            <w:r>
              <w:rPr>
                <w:rFonts w:hint="eastAsia" w:ascii="方正兰亭黑简体" w:hAnsi="方正兰亭黑简体" w:eastAsia="方正兰亭黑简体" w:cs="方正兰亭黑简体"/>
                <w:color w:val="auto"/>
                <w:sz w:val="20"/>
                <w:szCs w:val="20"/>
                <w:highlight w:val="none"/>
              </w:rPr>
              <w:t>（主观分）</w:t>
            </w:r>
          </w:p>
        </w:tc>
        <w:tc>
          <w:tcPr>
            <w:tcW w:w="364" w:type="pct"/>
            <w:vAlign w:val="center"/>
          </w:tcPr>
          <w:p w14:paraId="1D1DB52F">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20</w:t>
            </w:r>
          </w:p>
        </w:tc>
        <w:tc>
          <w:tcPr>
            <w:tcW w:w="3635" w:type="pct"/>
          </w:tcPr>
          <w:p w14:paraId="17BC9C7A">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优秀（16～20分）：服务承诺等合理可行。</w:t>
            </w:r>
          </w:p>
          <w:p w14:paraId="39CBBAFA">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良好（11～15分）：服务承诺等比较合理。</w:t>
            </w:r>
          </w:p>
          <w:p w14:paraId="57D0EDAC">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一般（6～10分）：服务承诺等合理性与可行性一般。</w:t>
            </w:r>
          </w:p>
          <w:p w14:paraId="053ACC0F">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较差（0～5分）：服务承诺等合理性与可行性较差。</w:t>
            </w:r>
          </w:p>
        </w:tc>
      </w:tr>
    </w:tbl>
    <w:p w14:paraId="6072BEB5">
      <w:pPr>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br w:type="page"/>
      </w:r>
    </w:p>
    <w:p w14:paraId="2D0B04EA">
      <w:pPr>
        <w:jc w:val="center"/>
        <w:rPr>
          <w:rFonts w:hint="eastAsia" w:ascii="方正兰亭黑简体" w:hAnsi="方正兰亭黑简体" w:eastAsia="方正兰亭黑简体" w:cs="方正兰亭黑简体"/>
          <w:b/>
          <w:bCs/>
          <w:color w:val="auto"/>
          <w:sz w:val="24"/>
          <w:szCs w:val="32"/>
          <w:highlight w:val="none"/>
        </w:rPr>
        <w:sectPr>
          <w:footerReference r:id="rId3" w:type="default"/>
          <w:pgSz w:w="11906" w:h="16838"/>
          <w:pgMar w:top="1440" w:right="1080" w:bottom="1440" w:left="1080" w:header="851" w:footer="992" w:gutter="0"/>
          <w:cols w:space="425" w:num="1"/>
          <w:docGrid w:type="lines" w:linePitch="312" w:charSpace="0"/>
        </w:sectPr>
      </w:pPr>
    </w:p>
    <w:p w14:paraId="1AC852B6">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第四章</w:t>
      </w:r>
      <w:r>
        <w:rPr>
          <w:rFonts w:hint="eastAsia" w:ascii="方正兰亭黑简体" w:hAnsi="方正兰亭黑简体" w:eastAsia="方正兰亭黑简体" w:cs="方正兰亭黑简体"/>
          <w:b/>
          <w:bCs/>
          <w:color w:val="auto"/>
          <w:sz w:val="24"/>
          <w:szCs w:val="32"/>
          <w:highlight w:val="none"/>
          <w:lang w:val="en-US" w:eastAsia="zh-CN"/>
        </w:rPr>
        <w:t xml:space="preserve"> </w:t>
      </w:r>
      <w:r>
        <w:rPr>
          <w:rFonts w:hint="eastAsia" w:ascii="方正兰亭黑简体" w:hAnsi="方正兰亭黑简体" w:eastAsia="方正兰亭黑简体" w:cs="方正兰亭黑简体"/>
          <w:b/>
          <w:bCs/>
          <w:color w:val="auto"/>
          <w:sz w:val="24"/>
          <w:szCs w:val="32"/>
          <w:highlight w:val="none"/>
        </w:rPr>
        <w:t>格式附件</w:t>
      </w:r>
    </w:p>
    <w:p w14:paraId="1219D175">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附件1：报价单</w:t>
      </w:r>
    </w:p>
    <w:p w14:paraId="038537F8">
      <w:pPr>
        <w:spacing w:line="440" w:lineRule="exact"/>
        <w:jc w:val="center"/>
        <w:rPr>
          <w:rFonts w:hint="eastAsia" w:ascii="宋体" w:hAnsi="宋体" w:eastAsia="宋体"/>
          <w:color w:val="auto"/>
          <w:sz w:val="24"/>
          <w:highlight w:val="none"/>
        </w:rPr>
      </w:pPr>
      <w:r>
        <w:rPr>
          <w:rFonts w:hint="eastAsia" w:ascii="黑体" w:hAnsi="华文楷体" w:eastAsia="黑体"/>
          <w:b/>
          <w:color w:val="auto"/>
          <w:sz w:val="36"/>
          <w:szCs w:val="36"/>
          <w:highlight w:val="none"/>
        </w:rPr>
        <w:t>报价单</w:t>
      </w:r>
    </w:p>
    <w:p w14:paraId="28C0DCFE">
      <w:pPr>
        <w:spacing w:line="440" w:lineRule="exact"/>
        <w:jc w:val="left"/>
        <w:rPr>
          <w:rFonts w:hint="eastAsia" w:ascii="黑体" w:hAnsi="华文楷体" w:eastAsia="黑体"/>
          <w:color w:val="auto"/>
          <w:sz w:val="24"/>
          <w:highlight w:val="none"/>
          <w:lang w:eastAsia="zh-CN"/>
        </w:rPr>
      </w:pPr>
      <w:r>
        <w:rPr>
          <w:rFonts w:hint="eastAsia" w:ascii="黑体" w:hAnsi="华文楷体" w:eastAsia="黑体"/>
          <w:b/>
          <w:color w:val="auto"/>
          <w:sz w:val="24"/>
          <w:highlight w:val="none"/>
        </w:rPr>
        <w:t>TO</w:t>
      </w:r>
      <w:r>
        <w:rPr>
          <w:rFonts w:hint="eastAsia" w:ascii="黑体" w:hAnsi="华文楷体" w:eastAsia="黑体"/>
          <w:b/>
          <w:color w:val="auto"/>
          <w:sz w:val="24"/>
          <w:highlight w:val="none"/>
          <w:lang w:eastAsia="zh-CN"/>
        </w:rPr>
        <w:t>：</w:t>
      </w:r>
      <w:r>
        <w:rPr>
          <w:rFonts w:hint="eastAsia" w:ascii="黑体" w:hAnsi="华文楷体" w:eastAsia="黑体"/>
          <w:color w:val="auto"/>
          <w:sz w:val="24"/>
          <w:highlight w:val="none"/>
        </w:rPr>
        <w:t>上海海事大学采购与招投标管理中心</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项目编号：</w:t>
      </w:r>
      <w:r>
        <w:rPr>
          <w:rFonts w:hint="eastAsia" w:ascii="黑体" w:hAnsi="华文楷体" w:eastAsia="黑体"/>
          <w:color w:val="auto"/>
          <w:sz w:val="24"/>
          <w:highlight w:val="none"/>
          <w:lang w:eastAsia="zh-CN"/>
        </w:rPr>
        <w:t>HFBX2026088</w:t>
      </w:r>
    </w:p>
    <w:p w14:paraId="09EAC316">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color w:val="auto"/>
          <w:highlight w:val="none"/>
        </w:rPr>
        <w:fldChar w:fldCharType="begin"/>
      </w:r>
      <w:r>
        <w:rPr>
          <w:color w:val="auto"/>
          <w:highlight w:val="none"/>
        </w:rPr>
        <w:instrText xml:space="preserve"> HYPERLINK "mailto:quotation@shmtu.edu.cn" </w:instrText>
      </w:r>
      <w:r>
        <w:rPr>
          <w:color w:val="auto"/>
          <w:highlight w:val="none"/>
        </w:rPr>
        <w:fldChar w:fldCharType="separate"/>
      </w:r>
      <w:r>
        <w:rPr>
          <w:rStyle w:val="18"/>
          <w:rFonts w:ascii="黑体" w:hAnsi="华文楷体" w:eastAsia="黑体"/>
          <w:b/>
          <w:color w:val="auto"/>
          <w:sz w:val="24"/>
          <w:highlight w:val="none"/>
        </w:rPr>
        <w:t>quotation@shmtu.edu.cn</w:t>
      </w:r>
      <w:r>
        <w:rPr>
          <w:rStyle w:val="18"/>
          <w:rFonts w:ascii="黑体" w:hAnsi="华文楷体" w:eastAsia="黑体"/>
          <w:b/>
          <w:color w:val="auto"/>
          <w:sz w:val="24"/>
          <w:highlight w:val="none"/>
        </w:rPr>
        <w:fldChar w:fldCharType="end"/>
      </w:r>
    </w:p>
    <w:p w14:paraId="0E4AC90F">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公司名称：联系人：</w:t>
      </w:r>
    </w:p>
    <w:p w14:paraId="6610026A">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电子邮箱：公司地址：</w:t>
      </w:r>
    </w:p>
    <w:p w14:paraId="0F397EAB">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电话：联系人手机：</w:t>
      </w:r>
    </w:p>
    <w:p w14:paraId="184D96DB">
      <w:pPr>
        <w:spacing w:line="440" w:lineRule="exact"/>
        <w:rPr>
          <w:rFonts w:hint="eastAsia" w:ascii="黑体" w:hAnsi="华文楷体" w:eastAsia="黑体"/>
          <w:b/>
          <w:color w:val="auto"/>
          <w:sz w:val="24"/>
          <w:highlight w:val="none"/>
        </w:rPr>
      </w:pPr>
    </w:p>
    <w:tbl>
      <w:tblPr>
        <w:tblStyle w:val="14"/>
        <w:tblW w:w="4971"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28" w:type="dxa"/>
          <w:bottom w:w="0" w:type="dxa"/>
          <w:right w:w="28" w:type="dxa"/>
        </w:tblCellMar>
      </w:tblPr>
      <w:tblGrid>
        <w:gridCol w:w="601"/>
        <w:gridCol w:w="4401"/>
        <w:gridCol w:w="2356"/>
        <w:gridCol w:w="2312"/>
      </w:tblGrid>
      <w:tr w14:paraId="164CE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50" w:hRule="exact"/>
        </w:trPr>
        <w:tc>
          <w:tcPr>
            <w:tcW w:w="311" w:type="pct"/>
            <w:tcBorders>
              <w:top w:val="single" w:color="auto" w:sz="12" w:space="0"/>
              <w:left w:val="single" w:color="auto" w:sz="12" w:space="0"/>
              <w:bottom w:val="double" w:color="auto" w:sz="4" w:space="0"/>
            </w:tcBorders>
            <w:vAlign w:val="center"/>
          </w:tcPr>
          <w:p w14:paraId="2BBD17A6">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序号</w:t>
            </w:r>
          </w:p>
        </w:tc>
        <w:tc>
          <w:tcPr>
            <w:tcW w:w="2275" w:type="pct"/>
            <w:tcBorders>
              <w:top w:val="single" w:color="auto" w:sz="12" w:space="0"/>
              <w:bottom w:val="double" w:color="auto" w:sz="4" w:space="0"/>
            </w:tcBorders>
            <w:vAlign w:val="center"/>
          </w:tcPr>
          <w:p w14:paraId="1041179F">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项目名称</w:t>
            </w:r>
          </w:p>
        </w:tc>
        <w:tc>
          <w:tcPr>
            <w:tcW w:w="1218" w:type="pct"/>
            <w:tcBorders>
              <w:top w:val="single" w:color="auto" w:sz="12" w:space="0"/>
              <w:left w:val="single" w:color="auto" w:sz="4" w:space="0"/>
              <w:bottom w:val="double" w:color="auto" w:sz="4" w:space="0"/>
              <w:right w:val="single" w:color="auto" w:sz="4" w:space="0"/>
            </w:tcBorders>
            <w:vAlign w:val="center"/>
          </w:tcPr>
          <w:p w14:paraId="697F2EE7">
            <w:pPr>
              <w:tabs>
                <w:tab w:val="left" w:pos="7020"/>
              </w:tabs>
              <w:jc w:val="center"/>
              <w:rPr>
                <w:rFonts w:hint="eastAsia" w:ascii="黑体" w:hAnsi="黑体" w:eastAsia="黑体"/>
                <w:b/>
                <w:color w:val="auto"/>
                <w:sz w:val="24"/>
                <w:highlight w:val="none"/>
                <w:lang w:val="en-US" w:eastAsia="zh-CN"/>
              </w:rPr>
            </w:pPr>
            <w:r>
              <w:rPr>
                <w:rFonts w:hint="eastAsia" w:ascii="黑体" w:hAnsi="黑体" w:eastAsia="黑体"/>
                <w:b/>
                <w:color w:val="auto"/>
                <w:sz w:val="24"/>
                <w:highlight w:val="none"/>
              </w:rPr>
              <w:t>项目</w:t>
            </w:r>
            <w:r>
              <w:rPr>
                <w:rFonts w:hint="eastAsia" w:ascii="黑体" w:hAnsi="黑体" w:eastAsia="黑体"/>
                <w:b/>
                <w:color w:val="auto"/>
                <w:sz w:val="24"/>
                <w:highlight w:val="none"/>
                <w:lang w:val="en-US" w:eastAsia="zh-CN"/>
              </w:rPr>
              <w:t>总价</w:t>
            </w:r>
            <w:r>
              <w:rPr>
                <w:rFonts w:hint="eastAsia" w:ascii="黑体" w:hAnsi="黑体" w:eastAsia="黑体"/>
                <w:b/>
                <w:color w:val="auto"/>
                <w:sz w:val="24"/>
                <w:highlight w:val="none"/>
              </w:rPr>
              <w:t>（元）</w:t>
            </w:r>
          </w:p>
        </w:tc>
        <w:tc>
          <w:tcPr>
            <w:tcW w:w="1195" w:type="pct"/>
            <w:tcBorders>
              <w:top w:val="single" w:color="auto" w:sz="12" w:space="0"/>
              <w:left w:val="single" w:color="auto" w:sz="4" w:space="0"/>
              <w:bottom w:val="double" w:color="auto" w:sz="4" w:space="0"/>
              <w:right w:val="single" w:color="auto" w:sz="12" w:space="0"/>
            </w:tcBorders>
            <w:vAlign w:val="center"/>
          </w:tcPr>
          <w:p w14:paraId="5C391E51">
            <w:pPr>
              <w:tabs>
                <w:tab w:val="left" w:pos="7020"/>
              </w:tabs>
              <w:jc w:val="center"/>
              <w:rPr>
                <w:rFonts w:hint="default" w:ascii="黑体" w:hAnsi="黑体" w:eastAsia="黑体"/>
                <w:b/>
                <w:color w:val="auto"/>
                <w:sz w:val="24"/>
                <w:highlight w:val="none"/>
                <w:lang w:val="en-US" w:eastAsia="zh-CN"/>
              </w:rPr>
            </w:pPr>
            <w:r>
              <w:rPr>
                <w:rFonts w:hint="eastAsia" w:ascii="黑体" w:hAnsi="黑体" w:eastAsia="黑体"/>
                <w:b/>
                <w:color w:val="auto"/>
                <w:sz w:val="24"/>
                <w:highlight w:val="none"/>
                <w:lang w:val="en-US" w:eastAsia="zh-CN"/>
              </w:rPr>
              <w:t>备注</w:t>
            </w:r>
          </w:p>
        </w:tc>
      </w:tr>
      <w:tr w14:paraId="09A6E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705" w:hRule="exact"/>
        </w:trPr>
        <w:tc>
          <w:tcPr>
            <w:tcW w:w="311" w:type="pct"/>
            <w:tcBorders>
              <w:top w:val="double" w:color="auto" w:sz="4" w:space="0"/>
              <w:left w:val="single" w:color="auto" w:sz="12" w:space="0"/>
              <w:bottom w:val="double" w:color="auto" w:sz="4" w:space="0"/>
            </w:tcBorders>
            <w:vAlign w:val="center"/>
          </w:tcPr>
          <w:p w14:paraId="1ED43816">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1</w:t>
            </w:r>
          </w:p>
        </w:tc>
        <w:tc>
          <w:tcPr>
            <w:tcW w:w="2275" w:type="pct"/>
            <w:tcBorders>
              <w:top w:val="double" w:color="auto" w:sz="4" w:space="0"/>
              <w:bottom w:val="double" w:color="auto" w:sz="4" w:space="0"/>
            </w:tcBorders>
            <w:vAlign w:val="center"/>
          </w:tcPr>
          <w:p w14:paraId="4E78542C">
            <w:pPr>
              <w:tabs>
                <w:tab w:val="left" w:pos="7020"/>
              </w:tabs>
              <w:jc w:val="center"/>
              <w:rPr>
                <w:rFonts w:hint="eastAsia" w:ascii="黑体" w:hAnsi="黑体" w:eastAsia="黑体" w:cs="Times New Roman"/>
                <w:b/>
                <w:color w:val="auto"/>
                <w:sz w:val="24"/>
                <w:highlight w:val="none"/>
                <w:lang w:eastAsia="zh-CN"/>
              </w:rPr>
            </w:pPr>
            <w:r>
              <w:rPr>
                <w:rFonts w:hint="eastAsia" w:ascii="黑体" w:hAnsi="黑体" w:eastAsia="黑体"/>
                <w:b/>
                <w:color w:val="auto"/>
                <w:sz w:val="24"/>
                <w:highlight w:val="none"/>
                <w:lang w:eastAsia="zh-CN"/>
              </w:rPr>
              <w:t>上海海事大学第七届青年学者论坛服务</w:t>
            </w:r>
          </w:p>
        </w:tc>
        <w:tc>
          <w:tcPr>
            <w:tcW w:w="1218" w:type="pct"/>
            <w:tcBorders>
              <w:top w:val="double" w:color="auto" w:sz="4" w:space="0"/>
              <w:left w:val="single" w:color="auto" w:sz="4" w:space="0"/>
              <w:bottom w:val="double" w:color="auto" w:sz="4" w:space="0"/>
              <w:right w:val="single" w:color="auto" w:sz="4" w:space="0"/>
            </w:tcBorders>
            <w:vAlign w:val="center"/>
          </w:tcPr>
          <w:p w14:paraId="58FFF829">
            <w:pPr>
              <w:tabs>
                <w:tab w:val="left" w:pos="7020"/>
              </w:tabs>
              <w:jc w:val="center"/>
              <w:rPr>
                <w:rFonts w:hint="eastAsia" w:ascii="黑体" w:hAnsi="黑体" w:eastAsia="黑体"/>
                <w:b/>
                <w:color w:val="auto"/>
                <w:sz w:val="24"/>
                <w:highlight w:val="none"/>
                <w:lang w:eastAsia="zh-CN"/>
              </w:rPr>
            </w:pPr>
          </w:p>
        </w:tc>
        <w:tc>
          <w:tcPr>
            <w:tcW w:w="1195" w:type="pct"/>
            <w:tcBorders>
              <w:top w:val="double" w:color="auto" w:sz="4" w:space="0"/>
              <w:left w:val="single" w:color="auto" w:sz="4" w:space="0"/>
              <w:bottom w:val="double" w:color="auto" w:sz="4" w:space="0"/>
              <w:right w:val="single" w:color="auto" w:sz="12" w:space="0"/>
            </w:tcBorders>
            <w:vAlign w:val="center"/>
          </w:tcPr>
          <w:p w14:paraId="3E1EF44A">
            <w:pPr>
              <w:tabs>
                <w:tab w:val="left" w:pos="7020"/>
              </w:tabs>
              <w:jc w:val="center"/>
              <w:rPr>
                <w:rFonts w:hint="default" w:eastAsiaTheme="minorEastAsia"/>
                <w:color w:val="auto"/>
                <w:highlight w:val="none"/>
                <w:lang w:val="en-US" w:eastAsia="zh-CN"/>
              </w:rPr>
            </w:pPr>
          </w:p>
        </w:tc>
      </w:tr>
      <w:tr w14:paraId="77FEC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50" w:hRule="exact"/>
        </w:trPr>
        <w:tc>
          <w:tcPr>
            <w:tcW w:w="2586" w:type="pct"/>
            <w:gridSpan w:val="2"/>
            <w:tcBorders>
              <w:top w:val="double" w:color="auto" w:sz="4" w:space="0"/>
              <w:left w:val="single" w:color="auto" w:sz="12" w:space="0"/>
              <w:bottom w:val="single" w:color="auto" w:sz="12" w:space="0"/>
              <w:right w:val="single" w:color="auto" w:sz="4" w:space="0"/>
            </w:tcBorders>
            <w:vAlign w:val="center"/>
          </w:tcPr>
          <w:p w14:paraId="6322DB60">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合计金额（人民币）</w:t>
            </w:r>
          </w:p>
        </w:tc>
        <w:tc>
          <w:tcPr>
            <w:tcW w:w="2413" w:type="pct"/>
            <w:gridSpan w:val="2"/>
            <w:tcBorders>
              <w:top w:val="double" w:color="auto" w:sz="4" w:space="0"/>
              <w:left w:val="single" w:color="auto" w:sz="4" w:space="0"/>
              <w:bottom w:val="single" w:color="auto" w:sz="12" w:space="0"/>
              <w:right w:val="single" w:color="auto" w:sz="12" w:space="0"/>
            </w:tcBorders>
            <w:vAlign w:val="center"/>
          </w:tcPr>
          <w:p w14:paraId="4B46D8FA">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￥（大写）：</w:t>
            </w:r>
          </w:p>
        </w:tc>
      </w:tr>
    </w:tbl>
    <w:p w14:paraId="0408D135">
      <w:pPr>
        <w:spacing w:line="440" w:lineRule="exact"/>
        <w:rPr>
          <w:rFonts w:hint="eastAsia" w:ascii="黑体" w:hAnsi="华文楷体" w:eastAsia="黑体"/>
          <w:color w:val="auto"/>
          <w:sz w:val="24"/>
          <w:highlight w:val="none"/>
        </w:rPr>
      </w:pPr>
    </w:p>
    <w:p w14:paraId="614EA236">
      <w:pPr>
        <w:spacing w:line="440" w:lineRule="exact"/>
        <w:rPr>
          <w:rFonts w:hint="eastAsia" w:ascii="黑体" w:hAnsi="华文楷体" w:eastAsia="黑体"/>
          <w:color w:val="auto"/>
          <w:sz w:val="24"/>
          <w:highlight w:val="none"/>
        </w:rPr>
      </w:pPr>
      <w:r>
        <w:rPr>
          <w:rFonts w:hint="eastAsia" w:ascii="黑体" w:hAnsi="华文楷体" w:eastAsia="黑体"/>
          <w:color w:val="auto"/>
          <w:sz w:val="24"/>
          <w:highlight w:val="none"/>
        </w:rPr>
        <w:t>公司名称（盖章）：委托代理人（签字）：报价日期：年月日</w:t>
      </w:r>
    </w:p>
    <w:p w14:paraId="20B1E828">
      <w:pPr>
        <w:spacing w:line="440" w:lineRule="exact"/>
        <w:rPr>
          <w:rFonts w:hint="eastAsia" w:ascii="黑体" w:hAnsi="华文楷体" w:eastAsia="黑体"/>
          <w:color w:val="auto"/>
          <w:sz w:val="24"/>
          <w:highlight w:val="none"/>
        </w:rPr>
      </w:pPr>
    </w:p>
    <w:p w14:paraId="642407A4">
      <w:pPr>
        <w:rPr>
          <w:rFonts w:hint="eastAsia"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554618DC">
      <w:pPr>
        <w:rPr>
          <w:rFonts w:hint="eastAsia" w:ascii="黑体" w:hAnsi="华文楷体" w:eastAsia="黑体"/>
          <w:color w:val="auto"/>
          <w:szCs w:val="21"/>
          <w:highlight w:val="none"/>
        </w:rPr>
      </w:pPr>
      <w:r>
        <w:rPr>
          <w:rFonts w:hint="eastAsia" w:ascii="黑体" w:hAnsi="华文楷体" w:eastAsia="黑体"/>
          <w:color w:val="auto"/>
          <w:szCs w:val="21"/>
          <w:highlight w:val="none"/>
        </w:rPr>
        <w:t>2、如属非标配产品，其技术指标（特别是优于我校需求的部分）请另行附页说明。</w:t>
      </w:r>
    </w:p>
    <w:p w14:paraId="7D349A8B">
      <w:pPr>
        <w:rPr>
          <w:rFonts w:hint="eastAsia" w:ascii="黑体" w:hAnsi="华文楷体" w:eastAsia="黑体"/>
          <w:color w:val="auto"/>
          <w:szCs w:val="21"/>
          <w:highlight w:val="none"/>
        </w:rPr>
      </w:pPr>
      <w:r>
        <w:rPr>
          <w:rFonts w:hint="eastAsia" w:ascii="黑体" w:hAnsi="华文楷体" w:eastAsia="黑体"/>
          <w:color w:val="auto"/>
          <w:szCs w:val="21"/>
          <w:highlight w:val="none"/>
        </w:rPr>
        <w:t>3、特殊的售后服务措施、代理证明情况等需要说明的，请另行附页说明。</w:t>
      </w:r>
    </w:p>
    <w:p w14:paraId="6619B28A">
      <w:pPr>
        <w:rPr>
          <w:rFonts w:hint="eastAsia" w:ascii="黑体" w:hAnsi="华文楷体" w:eastAsia="黑体"/>
          <w:color w:val="auto"/>
          <w:szCs w:val="21"/>
          <w:highlight w:val="none"/>
        </w:rPr>
      </w:pPr>
      <w:r>
        <w:rPr>
          <w:rFonts w:hint="eastAsia" w:ascii="黑体" w:hAnsi="华文楷体" w:eastAsia="黑体"/>
          <w:color w:val="auto"/>
          <w:szCs w:val="21"/>
          <w:highlight w:val="none"/>
        </w:rPr>
        <w:t>4、报价单附页（如有）共页。</w:t>
      </w:r>
    </w:p>
    <w:p w14:paraId="02E355A4">
      <w:pPr>
        <w:rPr>
          <w:rFonts w:hint="eastAsia"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rPr>
        <w:br w:type="page"/>
      </w:r>
    </w:p>
    <w:p w14:paraId="66593191">
      <w:pPr>
        <w:spacing w:after="157" w:afterLines="50"/>
        <w:jc w:val="center"/>
        <w:rPr>
          <w:rFonts w:hint="eastAsia"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rPr>
        <w:t>报价承诺函</w:t>
      </w:r>
    </w:p>
    <w:p w14:paraId="06CF8257">
      <w:pPr>
        <w:spacing w:after="157" w:afterLines="50"/>
        <w:rPr>
          <w:rFonts w:hint="eastAsia" w:ascii="仿宋" w:hAnsi="仿宋" w:eastAsia="仿宋" w:cs="宋体"/>
          <w:color w:val="auto"/>
          <w:sz w:val="24"/>
          <w:highlight w:val="none"/>
        </w:rPr>
      </w:pPr>
      <w:r>
        <w:rPr>
          <w:rFonts w:hint="eastAsia" w:ascii="仿宋" w:hAnsi="仿宋" w:eastAsia="仿宋" w:cs="宋体"/>
          <w:color w:val="auto"/>
          <w:sz w:val="24"/>
          <w:highlight w:val="none"/>
          <w:lang w:val="zh-CN"/>
        </w:rPr>
        <w:t>致：</w:t>
      </w:r>
      <w:r>
        <w:rPr>
          <w:rFonts w:hint="eastAsia" w:ascii="仿宋" w:hAnsi="仿宋" w:eastAsia="仿宋" w:cs="宋体"/>
          <w:color w:val="auto"/>
          <w:sz w:val="24"/>
          <w:highlight w:val="none"/>
        </w:rPr>
        <w:t>上海海事大学</w:t>
      </w:r>
    </w:p>
    <w:p w14:paraId="61C7F4FB">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lang w:val="zh-CN"/>
        </w:rPr>
        <w:t>我</w:t>
      </w:r>
      <w:r>
        <w:rPr>
          <w:rFonts w:ascii="仿宋" w:hAnsi="仿宋" w:eastAsia="仿宋" w:cs="宋体"/>
          <w:color w:val="auto"/>
          <w:sz w:val="24"/>
          <w:highlight w:val="none"/>
          <w:lang w:val="zh-CN"/>
        </w:rPr>
        <w:t>公司在参加本次</w:t>
      </w:r>
      <w:r>
        <w:rPr>
          <w:rFonts w:hint="eastAsia" w:ascii="仿宋" w:hAnsi="仿宋" w:eastAsia="仿宋" w:cs="宋体"/>
          <w:color w:val="auto"/>
          <w:sz w:val="24"/>
          <w:highlight w:val="none"/>
        </w:rPr>
        <w:t>比选采购</w:t>
      </w:r>
      <w:r>
        <w:rPr>
          <w:rFonts w:ascii="仿宋" w:hAnsi="仿宋" w:eastAsia="仿宋" w:cs="宋体"/>
          <w:color w:val="auto"/>
          <w:sz w:val="24"/>
          <w:highlight w:val="none"/>
          <w:lang w:val="zh-CN"/>
        </w:rPr>
        <w:t>活动中，</w:t>
      </w:r>
      <w:r>
        <w:rPr>
          <w:rFonts w:hint="eastAsia" w:ascii="仿宋" w:hAnsi="仿宋" w:eastAsia="仿宋" w:cs="宋体"/>
          <w:color w:val="auto"/>
          <w:sz w:val="24"/>
          <w:highlight w:val="none"/>
          <w:lang w:val="zh-CN"/>
        </w:rPr>
        <w:t>做出如下</w:t>
      </w:r>
      <w:r>
        <w:rPr>
          <w:rFonts w:ascii="仿宋" w:hAnsi="仿宋" w:eastAsia="仿宋" w:cs="宋体"/>
          <w:color w:val="auto"/>
          <w:sz w:val="24"/>
          <w:highlight w:val="none"/>
          <w:lang w:val="zh-CN"/>
        </w:rPr>
        <w:t>承诺：</w:t>
      </w:r>
    </w:p>
    <w:p w14:paraId="4F0E35EC">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lang w:val="zh-CN"/>
        </w:rPr>
        <w:t>一、</w:t>
      </w:r>
      <w:r>
        <w:rPr>
          <w:rFonts w:hint="eastAsia" w:ascii="仿宋" w:hAnsi="仿宋" w:eastAsia="仿宋" w:cs="宋体"/>
          <w:color w:val="auto"/>
          <w:sz w:val="24"/>
          <w:highlight w:val="none"/>
        </w:rPr>
        <w:t>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具备独立法人资格，能够独立承担民事责任。</w:t>
      </w:r>
    </w:p>
    <w:p w14:paraId="6F37786C">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二、我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财务状况良好，具备履行合同所需资金实力。</w:t>
      </w:r>
    </w:p>
    <w:p w14:paraId="3E13B155">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三、我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拥有履行项目所需的专业技术人员和先进的生产设备。</w:t>
      </w:r>
    </w:p>
    <w:p w14:paraId="1486EB83">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四、我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依法纳税，并按时缴纳社会保险费。</w:t>
      </w:r>
    </w:p>
    <w:p w14:paraId="1705CE12">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五、我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在最近三年内无任何违法违规行为，信誉良好。</w:t>
      </w:r>
    </w:p>
    <w:p w14:paraId="54BF34F8">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六、我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完全符合政府采购法及其他相关法律法规的规定。</w:t>
      </w:r>
    </w:p>
    <w:p w14:paraId="46600348">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七</w:t>
      </w:r>
      <w:r>
        <w:rPr>
          <w:rFonts w:hint="eastAsia" w:ascii="仿宋" w:hAnsi="仿宋" w:eastAsia="仿宋" w:cs="宋体"/>
          <w:color w:val="auto"/>
          <w:sz w:val="24"/>
          <w:highlight w:val="none"/>
          <w:lang w:val="zh-CN"/>
        </w:rPr>
        <w:t>、</w:t>
      </w:r>
      <w:r>
        <w:rPr>
          <w:rFonts w:hint="eastAsia" w:ascii="仿宋" w:hAnsi="仿宋" w:eastAsia="仿宋" w:cs="宋体"/>
          <w:color w:val="auto"/>
          <w:sz w:val="24"/>
          <w:highlight w:val="none"/>
        </w:rPr>
        <w:t>我</w:t>
      </w:r>
      <w:r>
        <w:rPr>
          <w:rFonts w:hint="eastAsia" w:ascii="仿宋" w:hAnsi="仿宋" w:eastAsia="仿宋" w:cs="宋体"/>
          <w:color w:val="auto"/>
          <w:sz w:val="24"/>
          <w:highlight w:val="none"/>
          <w:lang w:val="zh-CN"/>
        </w:rPr>
        <w:t>公司提供的相关文件均真实、有效。</w:t>
      </w:r>
    </w:p>
    <w:p w14:paraId="6C6ABE4A">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八、我</w:t>
      </w:r>
      <w:r>
        <w:rPr>
          <w:rFonts w:hint="eastAsia" w:ascii="仿宋" w:hAnsi="仿宋" w:eastAsia="仿宋" w:cs="宋体"/>
          <w:color w:val="auto"/>
          <w:sz w:val="24"/>
          <w:highlight w:val="none"/>
          <w:lang w:val="zh-CN"/>
        </w:rPr>
        <w:t>公司未挂靠、借用资质进行投标等违法违规行为。</w:t>
      </w:r>
    </w:p>
    <w:p w14:paraId="5613149E">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九、</w:t>
      </w:r>
      <w:r>
        <w:rPr>
          <w:rFonts w:hint="eastAsia" w:ascii="仿宋" w:hAnsi="仿宋" w:eastAsia="仿宋" w:cs="宋体"/>
          <w:color w:val="auto"/>
          <w:sz w:val="24"/>
          <w:highlight w:val="none"/>
          <w:lang w:val="zh-CN"/>
        </w:rPr>
        <w:t>我公司承诺在参加本</w:t>
      </w:r>
      <w:r>
        <w:rPr>
          <w:rFonts w:hint="eastAsia" w:ascii="仿宋" w:hAnsi="仿宋" w:eastAsia="仿宋" w:cs="宋体"/>
          <w:color w:val="auto"/>
          <w:sz w:val="24"/>
          <w:highlight w:val="none"/>
        </w:rPr>
        <w:t>次</w:t>
      </w:r>
      <w:r>
        <w:rPr>
          <w:rFonts w:hint="eastAsia" w:ascii="仿宋" w:hAnsi="仿宋" w:eastAsia="仿宋" w:cs="宋体"/>
          <w:color w:val="auto"/>
          <w:sz w:val="24"/>
          <w:highlight w:val="none"/>
          <w:lang w:val="zh-CN"/>
        </w:rPr>
        <w:t>采购活动中，</w:t>
      </w:r>
      <w:r>
        <w:rPr>
          <w:rFonts w:hint="eastAsia" w:ascii="仿宋" w:hAnsi="仿宋" w:eastAsia="仿宋" w:cs="宋体"/>
          <w:color w:val="auto"/>
          <w:sz w:val="24"/>
          <w:highlight w:val="none"/>
        </w:rPr>
        <w:t>不存在串标围标行为</w:t>
      </w:r>
      <w:r>
        <w:rPr>
          <w:rFonts w:hint="eastAsia" w:ascii="仿宋" w:hAnsi="仿宋" w:eastAsia="仿宋" w:cs="宋体"/>
          <w:color w:val="auto"/>
          <w:sz w:val="24"/>
          <w:highlight w:val="none"/>
          <w:lang w:val="zh-CN"/>
        </w:rPr>
        <w:t>，</w:t>
      </w:r>
      <w:r>
        <w:rPr>
          <w:rFonts w:hint="eastAsia" w:ascii="仿宋" w:hAnsi="仿宋" w:eastAsia="仿宋" w:cs="宋体"/>
          <w:color w:val="auto"/>
          <w:sz w:val="24"/>
          <w:highlight w:val="none"/>
        </w:rPr>
        <w:t>不存在</w:t>
      </w:r>
      <w:r>
        <w:rPr>
          <w:rFonts w:hint="eastAsia" w:ascii="仿宋" w:hAnsi="仿宋" w:eastAsia="仿宋" w:cs="宋体"/>
          <w:color w:val="auto"/>
          <w:sz w:val="24"/>
          <w:highlight w:val="none"/>
          <w:lang w:val="zh-CN"/>
        </w:rPr>
        <w:t>损害</w:t>
      </w:r>
      <w:r>
        <w:rPr>
          <w:rFonts w:hint="eastAsia" w:ascii="仿宋" w:hAnsi="仿宋" w:eastAsia="仿宋" w:cs="宋体"/>
          <w:color w:val="auto"/>
          <w:sz w:val="24"/>
          <w:highlight w:val="none"/>
        </w:rPr>
        <w:t>校方</w:t>
      </w:r>
      <w:r>
        <w:rPr>
          <w:rFonts w:hint="eastAsia" w:ascii="仿宋" w:hAnsi="仿宋" w:eastAsia="仿宋" w:cs="宋体"/>
          <w:color w:val="auto"/>
          <w:sz w:val="24"/>
          <w:highlight w:val="none"/>
          <w:lang w:val="zh-CN"/>
        </w:rPr>
        <w:t>或者其他</w:t>
      </w:r>
      <w:r>
        <w:rPr>
          <w:rFonts w:hint="eastAsia" w:ascii="仿宋" w:hAnsi="仿宋" w:eastAsia="仿宋" w:cs="宋体"/>
          <w:color w:val="auto"/>
          <w:sz w:val="24"/>
          <w:highlight w:val="none"/>
        </w:rPr>
        <w:t>报价单位</w:t>
      </w:r>
      <w:r>
        <w:rPr>
          <w:rFonts w:hint="eastAsia" w:ascii="仿宋" w:hAnsi="仿宋" w:eastAsia="仿宋" w:cs="宋体"/>
          <w:color w:val="auto"/>
          <w:sz w:val="24"/>
          <w:highlight w:val="none"/>
          <w:lang w:val="zh-CN"/>
        </w:rPr>
        <w:t>利益的行为。</w:t>
      </w:r>
    </w:p>
    <w:p w14:paraId="350AD56E">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十、</w:t>
      </w:r>
      <w:r>
        <w:rPr>
          <w:rFonts w:hint="eastAsia" w:ascii="仿宋" w:hAnsi="仿宋" w:eastAsia="仿宋" w:cs="宋体"/>
          <w:color w:val="auto"/>
          <w:sz w:val="24"/>
          <w:highlight w:val="none"/>
          <w:lang w:val="zh-CN"/>
        </w:rPr>
        <w:t>我</w:t>
      </w:r>
      <w:r>
        <w:rPr>
          <w:rFonts w:hint="eastAsia" w:ascii="仿宋" w:hAnsi="仿宋" w:eastAsia="仿宋" w:cs="宋体"/>
          <w:color w:val="auto"/>
          <w:sz w:val="24"/>
          <w:highlight w:val="none"/>
        </w:rPr>
        <w:t>公司管理层中</w:t>
      </w:r>
      <w:r>
        <w:rPr>
          <w:rFonts w:hint="eastAsia" w:ascii="仿宋" w:hAnsi="仿宋" w:eastAsia="仿宋" w:cs="宋体"/>
          <w:color w:val="auto"/>
          <w:sz w:val="24"/>
          <w:highlight w:val="none"/>
          <w:lang w:val="zh-CN"/>
        </w:rPr>
        <w:t>没有从</w:t>
      </w:r>
      <w:r>
        <w:rPr>
          <w:rFonts w:hint="eastAsia" w:ascii="仿宋" w:hAnsi="仿宋" w:eastAsia="仿宋" w:cs="宋体"/>
          <w:color w:val="auto"/>
          <w:sz w:val="24"/>
          <w:highlight w:val="none"/>
        </w:rPr>
        <w:t>贵校</w:t>
      </w:r>
      <w:r>
        <w:rPr>
          <w:rFonts w:hint="eastAsia" w:ascii="仿宋" w:hAnsi="仿宋" w:eastAsia="仿宋" w:cs="宋体"/>
          <w:color w:val="auto"/>
          <w:sz w:val="24"/>
          <w:highlight w:val="none"/>
          <w:lang w:val="zh-CN"/>
        </w:rPr>
        <w:t>离职或退休3年以内的人员担任控股股东或实际控股人、董事、监事，也没有聘用从</w:t>
      </w:r>
      <w:r>
        <w:rPr>
          <w:rFonts w:hint="eastAsia" w:ascii="仿宋" w:hAnsi="仿宋" w:eastAsia="仿宋" w:cs="宋体"/>
          <w:color w:val="auto"/>
          <w:sz w:val="24"/>
          <w:highlight w:val="none"/>
        </w:rPr>
        <w:t>贵校</w:t>
      </w:r>
      <w:r>
        <w:rPr>
          <w:rFonts w:hint="eastAsia" w:ascii="仿宋" w:hAnsi="仿宋" w:eastAsia="仿宋" w:cs="宋体"/>
          <w:color w:val="auto"/>
          <w:sz w:val="24"/>
          <w:highlight w:val="none"/>
          <w:lang w:val="zh-CN"/>
        </w:rPr>
        <w:t>离职或退休3年以内的人员。</w:t>
      </w:r>
    </w:p>
    <w:p w14:paraId="7BAAA33E">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我公司保证上述声明真实无误，如有不实，愿承担相应法律责任。</w:t>
      </w:r>
    </w:p>
    <w:p w14:paraId="5C4569E6">
      <w:pPr>
        <w:spacing w:after="157" w:afterLines="50"/>
        <w:rPr>
          <w:rFonts w:hint="eastAsia" w:ascii="仿宋" w:hAnsi="仿宋" w:eastAsia="仿宋" w:cs="宋体"/>
          <w:color w:val="auto"/>
          <w:sz w:val="24"/>
          <w:highlight w:val="none"/>
          <w:lang w:val="zh-CN"/>
        </w:rPr>
      </w:pPr>
    </w:p>
    <w:p w14:paraId="6DFC7771">
      <w:pPr>
        <w:spacing w:after="157" w:afterLines="50"/>
        <w:rPr>
          <w:rFonts w:hint="eastAsia" w:ascii="黑体" w:hAnsi="华文楷体" w:eastAsia="黑体"/>
          <w:b/>
          <w:bCs/>
          <w:color w:val="auto"/>
          <w:sz w:val="32"/>
          <w:szCs w:val="32"/>
          <w:highlight w:val="none"/>
        </w:rPr>
      </w:pPr>
      <w:r>
        <w:rPr>
          <w:rFonts w:hint="eastAsia" w:ascii="黑体" w:hAnsi="华文楷体" w:eastAsia="黑体"/>
          <w:color w:val="auto"/>
          <w:sz w:val="24"/>
          <w:highlight w:val="none"/>
        </w:rPr>
        <w:t>公司名称（盖章）：委托代理人（签字）：</w:t>
      </w:r>
    </w:p>
    <w:p w14:paraId="097F108E">
      <w:pPr>
        <w:pStyle w:val="5"/>
        <w:rPr>
          <w:rFonts w:hint="eastAsia" w:ascii="方正兰亭黑简体" w:hAnsi="方正兰亭黑简体" w:eastAsia="方正兰亭黑简体" w:cs="方正兰亭黑简体"/>
          <w:color w:val="auto"/>
          <w:sz w:val="22"/>
          <w:szCs w:val="28"/>
          <w:highlight w:val="none"/>
        </w:rPr>
      </w:pPr>
    </w:p>
    <w:p w14:paraId="6AAADDA4">
      <w:pPr>
        <w:pStyle w:val="5"/>
        <w:rPr>
          <w:rFonts w:hint="eastAsia" w:ascii="方正兰亭黑简体" w:hAnsi="方正兰亭黑简体" w:eastAsia="方正兰亭黑简体" w:cs="方正兰亭黑简体"/>
          <w:color w:val="auto"/>
          <w:sz w:val="22"/>
          <w:szCs w:val="28"/>
          <w:highlight w:val="none"/>
        </w:rPr>
      </w:pPr>
    </w:p>
    <w:p w14:paraId="3805D66A">
      <w:pPr>
        <w:jc w:val="left"/>
        <w:rPr>
          <w:rFonts w:hint="eastAsia" w:ascii="方正兰亭黑简体" w:hAnsi="方正兰亭黑简体" w:eastAsia="方正兰亭黑简体" w:cs="方正兰亭黑简体"/>
          <w:color w:val="auto"/>
          <w:sz w:val="22"/>
          <w:szCs w:val="28"/>
          <w:highlight w:val="none"/>
        </w:rPr>
        <w:sectPr>
          <w:pgSz w:w="11906" w:h="16838"/>
          <w:pgMar w:top="1440" w:right="1083" w:bottom="1440" w:left="1083" w:header="851" w:footer="992" w:gutter="0"/>
          <w:cols w:space="0" w:num="1"/>
          <w:docGrid w:type="lines" w:linePitch="314" w:charSpace="0"/>
        </w:sectPr>
      </w:pPr>
    </w:p>
    <w:p w14:paraId="52FF6152">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附件2：其他材料</w:t>
      </w:r>
    </w:p>
    <w:p w14:paraId="2A456533">
      <w:pPr>
        <w:pStyle w:val="4"/>
        <w:ind w:left="0" w:leftChars="0"/>
        <w:rPr>
          <w:color w:val="auto"/>
          <w:highlight w:val="none"/>
        </w:rPr>
      </w:pPr>
      <w:r>
        <w:rPr>
          <w:rFonts w:hint="eastAsia" w:ascii="方正兰亭黑简体" w:hAnsi="方正兰亭黑简体" w:eastAsia="方正兰亭黑简体" w:cs="方正兰亭黑简体"/>
          <w:color w:val="auto"/>
          <w:sz w:val="22"/>
          <w:szCs w:val="28"/>
          <w:highlight w:val="none"/>
        </w:rPr>
        <w:t>包括但不限于：</w:t>
      </w:r>
    </w:p>
    <w:p w14:paraId="43482A45">
      <w:pPr>
        <w:pStyle w:val="4"/>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1、营业执照扫描件</w:t>
      </w:r>
    </w:p>
    <w:p w14:paraId="428A839D">
      <w:pPr>
        <w:pStyle w:val="4"/>
        <w:ind w:left="0" w:leftChars="0"/>
        <w:rPr>
          <w:rFonts w:hint="eastAsia"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2</w:t>
      </w:r>
      <w:r>
        <w:rPr>
          <w:rFonts w:hint="eastAsia" w:ascii="方正兰亭黑简体" w:hAnsi="方正兰亭黑简体" w:eastAsia="方正兰亭黑简体" w:cs="方正兰亭黑简体"/>
          <w:color w:val="auto"/>
          <w:sz w:val="22"/>
          <w:szCs w:val="28"/>
          <w:highlight w:val="none"/>
        </w:rPr>
        <w:t>、项目服务方案（产品介绍）及实施计划</w:t>
      </w:r>
    </w:p>
    <w:p w14:paraId="56E8031D">
      <w:pPr>
        <w:pStyle w:val="4"/>
        <w:ind w:left="0" w:leftChars="0"/>
        <w:rPr>
          <w:rFonts w:hint="eastAsia"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3、</w:t>
      </w:r>
      <w:r>
        <w:rPr>
          <w:rFonts w:hint="eastAsia" w:ascii="方正兰亭黑简体" w:hAnsi="方正兰亭黑简体" w:eastAsia="方正兰亭黑简体" w:cs="方正兰亭黑简体"/>
          <w:color w:val="auto"/>
          <w:sz w:val="22"/>
          <w:szCs w:val="28"/>
          <w:highlight w:val="none"/>
        </w:rPr>
        <w:t>服务团队介绍</w:t>
      </w:r>
    </w:p>
    <w:p w14:paraId="1DCC4AA6">
      <w:pPr>
        <w:pStyle w:val="4"/>
        <w:ind w:left="0" w:leftChars="0"/>
        <w:rPr>
          <w:rFonts w:hint="eastAsia"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4</w:t>
      </w:r>
      <w:r>
        <w:rPr>
          <w:rFonts w:hint="eastAsia" w:ascii="方正兰亭黑简体" w:hAnsi="方正兰亭黑简体" w:eastAsia="方正兰亭黑简体" w:cs="方正兰亭黑简体"/>
          <w:color w:val="auto"/>
          <w:sz w:val="22"/>
          <w:szCs w:val="28"/>
          <w:highlight w:val="none"/>
        </w:rPr>
        <w:t>、服务保障承诺</w:t>
      </w:r>
    </w:p>
    <w:p w14:paraId="41589759">
      <w:pPr>
        <w:pStyle w:val="4"/>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5</w:t>
      </w:r>
      <w:r>
        <w:rPr>
          <w:rFonts w:ascii="方正兰亭黑简体" w:hAnsi="方正兰亭黑简体" w:eastAsia="方正兰亭黑简体" w:cs="方正兰亭黑简体"/>
          <w:color w:val="auto"/>
          <w:sz w:val="22"/>
          <w:szCs w:val="28"/>
          <w:highlight w:val="none"/>
        </w:rPr>
        <w:t>、</w:t>
      </w:r>
      <w:r>
        <w:rPr>
          <w:rFonts w:hint="eastAsia" w:ascii="方正兰亭黑简体" w:hAnsi="方正兰亭黑简体" w:eastAsia="方正兰亭黑简体" w:cs="方正兰亭黑简体"/>
          <w:color w:val="auto"/>
          <w:sz w:val="22"/>
          <w:szCs w:val="28"/>
          <w:highlight w:val="none"/>
        </w:rPr>
        <w:t>业绩案例</w:t>
      </w:r>
    </w:p>
    <w:p w14:paraId="7EB31163">
      <w:pPr>
        <w:pStyle w:val="4"/>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6、其他所必需的相关材料</w:t>
      </w:r>
    </w:p>
    <w:sectPr>
      <w:pgSz w:w="11906" w:h="16838"/>
      <w:pgMar w:top="1440" w:right="1083" w:bottom="1440" w:left="1083" w:header="851" w:footer="992" w:gutter="0"/>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1089CE4-3C2D-4A36-A7B4-2D3BC967C27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7BC61F1F-78CF-4232-9130-3F0C0457ED33}"/>
  </w:font>
  <w:font w:name="仿宋">
    <w:panose1 w:val="02010609060101010101"/>
    <w:charset w:val="86"/>
    <w:family w:val="modern"/>
    <w:pitch w:val="default"/>
    <w:sig w:usb0="800002BF" w:usb1="38CF7CFA" w:usb2="00000016" w:usb3="00000000" w:csb0="00040001" w:csb1="00000000"/>
    <w:embedRegular r:id="rId3" w:fontKey="{D29BAB8E-CD6C-4B1C-8E06-38ADE4EED2BE}"/>
  </w:font>
  <w:font w:name="方正兰亭黑简体">
    <w:panose1 w:val="02000000000000000000"/>
    <w:charset w:val="86"/>
    <w:family w:val="auto"/>
    <w:pitch w:val="default"/>
    <w:sig w:usb0="A00002BF" w:usb1="184F6CFA" w:usb2="00000012" w:usb3="00000000" w:csb0="00040001" w:csb1="00000000"/>
    <w:embedRegular r:id="rId4" w:fontKey="{FB073213-AFFA-46F6-9C57-FD07D3F20621}"/>
  </w:font>
  <w:font w:name="华文楷体">
    <w:panose1 w:val="02010600040101010101"/>
    <w:charset w:val="86"/>
    <w:family w:val="auto"/>
    <w:pitch w:val="default"/>
    <w:sig w:usb0="A00002BF" w:usb1="78CF7CFB" w:usb2="00000016" w:usb3="00000000" w:csb0="6006009F" w:csb1="DFD70000"/>
    <w:embedRegular r:id="rId5" w:fontKey="{FBF2351B-CCC3-406C-93FC-036282C1E78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6DE97">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2"/>
              <wp:cNvGraphicFramePr/>
              <a:graphic xmlns:a="http://schemas.openxmlformats.org/drawingml/2006/main">
                <a:graphicData uri="http://schemas.microsoft.com/office/word/2010/wordprocessingShape">
                  <wps:wsp>
                    <wps:cNvSpPr txBox="1"/>
                    <wps:spPr>
                      <a:xfrm>
                        <a:off x="0" y="0"/>
                        <a:ext cx="859155" cy="147955"/>
                      </a:xfrm>
                      <a:prstGeom prst="rect">
                        <a:avLst/>
                      </a:prstGeom>
                      <a:noFill/>
                      <a:ln w="6350">
                        <a:noFill/>
                      </a:ln>
                    </wps:spPr>
                    <wps:txbx>
                      <w:txbxContent>
                        <w:p w14:paraId="1C75E4AA">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9</w:t>
                          </w:r>
                          <w:r>
                            <w:fldChar w:fldCharType="end"/>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1.65pt;width:67.65pt;mso-position-horizontal:center;mso-position-horizontal-relative:margin;mso-wrap-style:none;z-index:251659264;mso-width-relative:page;mso-height-relative:page;" filled="f" stroked="f" coordsize="21600,21600" o:gfxdata="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FS000NMAAAAEAQAADwAAAAAAAAABACAAAAAiAAAAZHJzL2Rvd25yZXYueG1sUEsBAhQA&#10;FAAAAAgAh07iQLIjnDUwAgAAUwQAAA4AAAAAAAAAAQAgAAAAIgEAAGRycy9lMm9Eb2MueG1sUEsF&#10;BgAAAAAGAAYAWQEAAMQFAAAAAA==&#10;">
              <v:fill on="f" focussize="0,0"/>
              <v:stroke on="f" weight="0.5pt"/>
              <v:imagedata o:title=""/>
              <o:lock v:ext="edit" aspectratio="f"/>
              <v:textbox inset="0mm,0mm,0mm,0mm" style="mso-fit-shape-to-text:t;">
                <w:txbxContent>
                  <w:p w14:paraId="1C75E4AA">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9</w:t>
                    </w:r>
                    <w:r>
                      <w:fldChar w:fldCharType="end"/>
                    </w:r>
                    <w: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D2EBEB"/>
    <w:multiLevelType w:val="singleLevel"/>
    <w:tmpl w:val="E8D2EBEB"/>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7"/>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CA3"/>
    <w:rsid w:val="000E4CA3"/>
    <w:rsid w:val="001B052D"/>
    <w:rsid w:val="001B1952"/>
    <w:rsid w:val="00283B3F"/>
    <w:rsid w:val="00325073"/>
    <w:rsid w:val="00572733"/>
    <w:rsid w:val="00595CBB"/>
    <w:rsid w:val="006030E1"/>
    <w:rsid w:val="007F3014"/>
    <w:rsid w:val="00836506"/>
    <w:rsid w:val="00C97D62"/>
    <w:rsid w:val="00DB0393"/>
    <w:rsid w:val="00DC509B"/>
    <w:rsid w:val="00E754B4"/>
    <w:rsid w:val="00F2174E"/>
    <w:rsid w:val="02675436"/>
    <w:rsid w:val="029C08D4"/>
    <w:rsid w:val="071657EB"/>
    <w:rsid w:val="08B545A5"/>
    <w:rsid w:val="092F2754"/>
    <w:rsid w:val="0B7D7F96"/>
    <w:rsid w:val="13353790"/>
    <w:rsid w:val="13CA7CE9"/>
    <w:rsid w:val="13F76C6C"/>
    <w:rsid w:val="157E6317"/>
    <w:rsid w:val="19F06820"/>
    <w:rsid w:val="1E596D71"/>
    <w:rsid w:val="24050543"/>
    <w:rsid w:val="26883166"/>
    <w:rsid w:val="269F2B16"/>
    <w:rsid w:val="2F6E1C45"/>
    <w:rsid w:val="2FB07FD7"/>
    <w:rsid w:val="317D7420"/>
    <w:rsid w:val="331671BF"/>
    <w:rsid w:val="33B3033B"/>
    <w:rsid w:val="33DD0342"/>
    <w:rsid w:val="34416E25"/>
    <w:rsid w:val="35906085"/>
    <w:rsid w:val="3A9852E0"/>
    <w:rsid w:val="3CD56D74"/>
    <w:rsid w:val="3CFB44C3"/>
    <w:rsid w:val="3D6469F5"/>
    <w:rsid w:val="3EB44731"/>
    <w:rsid w:val="3FCC680A"/>
    <w:rsid w:val="3FDF48A5"/>
    <w:rsid w:val="40115E5B"/>
    <w:rsid w:val="40134FEB"/>
    <w:rsid w:val="41007DAA"/>
    <w:rsid w:val="438704B0"/>
    <w:rsid w:val="44E73D39"/>
    <w:rsid w:val="480A63EB"/>
    <w:rsid w:val="487158D1"/>
    <w:rsid w:val="488E3B06"/>
    <w:rsid w:val="48F25244"/>
    <w:rsid w:val="4CCA439B"/>
    <w:rsid w:val="4D0D4ED5"/>
    <w:rsid w:val="4EFD134C"/>
    <w:rsid w:val="53F3317F"/>
    <w:rsid w:val="543D6D6A"/>
    <w:rsid w:val="58C4549A"/>
    <w:rsid w:val="5AEA704B"/>
    <w:rsid w:val="5C376D46"/>
    <w:rsid w:val="5DF2219B"/>
    <w:rsid w:val="5E8720EC"/>
    <w:rsid w:val="5EE9209B"/>
    <w:rsid w:val="5F44384A"/>
    <w:rsid w:val="5F5C0960"/>
    <w:rsid w:val="60BF2A71"/>
    <w:rsid w:val="63887FE1"/>
    <w:rsid w:val="63F161B6"/>
    <w:rsid w:val="654D0F67"/>
    <w:rsid w:val="66D3234F"/>
    <w:rsid w:val="66E533C4"/>
    <w:rsid w:val="681A51E0"/>
    <w:rsid w:val="692B6A78"/>
    <w:rsid w:val="695E3370"/>
    <w:rsid w:val="699D5EE7"/>
    <w:rsid w:val="6A660877"/>
    <w:rsid w:val="6A8B26F7"/>
    <w:rsid w:val="6B99520C"/>
    <w:rsid w:val="6BE91536"/>
    <w:rsid w:val="71E94098"/>
    <w:rsid w:val="75224F05"/>
    <w:rsid w:val="778A5BDE"/>
    <w:rsid w:val="7A1F0BD5"/>
    <w:rsid w:val="7A92721C"/>
    <w:rsid w:val="7CFA5264"/>
    <w:rsid w:val="7E4E1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99"/>
    <w:pPr>
      <w:jc w:val="left"/>
    </w:pPr>
    <w:rPr>
      <w:kern w:val="0"/>
      <w:sz w:val="20"/>
      <w:szCs w:val="20"/>
    </w:rPr>
  </w:style>
  <w:style w:type="paragraph" w:styleId="3">
    <w:name w:val="Body Text"/>
    <w:basedOn w:val="1"/>
    <w:next w:val="1"/>
    <w:qFormat/>
    <w:uiPriority w:val="0"/>
    <w:pPr>
      <w:spacing w:after="120"/>
    </w:pPr>
  </w:style>
  <w:style w:type="paragraph" w:styleId="4">
    <w:name w:val="Body Text Indent"/>
    <w:basedOn w:val="1"/>
    <w:qFormat/>
    <w:uiPriority w:val="0"/>
    <w:pPr>
      <w:ind w:left="420" w:leftChars="200"/>
    </w:pPr>
  </w:style>
  <w:style w:type="paragraph" w:styleId="5">
    <w:name w:val="Plain Text"/>
    <w:basedOn w:val="1"/>
    <w:qFormat/>
    <w:uiPriority w:val="0"/>
    <w:rPr>
      <w:rFonts w:ascii="宋体" w:hAnsi="Courier New"/>
    </w:rPr>
  </w:style>
  <w:style w:type="paragraph" w:styleId="6">
    <w:name w:val="Body Text Indent 2"/>
    <w:basedOn w:val="1"/>
    <w:unhideWhenUsed/>
    <w:qFormat/>
    <w:uiPriority w:val="0"/>
    <w:pPr>
      <w:ind w:firstLine="540"/>
    </w:pPr>
    <w:rPr>
      <w:rFonts w:ascii="Calibri" w:hAnsi="Calibri"/>
      <w:sz w:val="28"/>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unhideWhenUsed/>
    <w:qFormat/>
    <w:uiPriority w:val="39"/>
    <w:rPr>
      <w:rFonts w:ascii="Calibri" w:hAnsi="Calibri" w:eastAsia="宋体" w:cs="Times New Roman"/>
    </w:rPr>
  </w:style>
  <w:style w:type="paragraph" w:styleId="10">
    <w:name w:val="Body Text Indent 3"/>
    <w:basedOn w:val="1"/>
    <w:qFormat/>
    <w:uiPriority w:val="0"/>
    <w:pPr>
      <w:ind w:firstLine="600" w:firstLineChars="200"/>
    </w:pPr>
    <w:rPr>
      <w:color w:val="FF0000"/>
      <w:sz w:val="30"/>
      <w:szCs w:val="20"/>
    </w:rPr>
  </w:style>
  <w:style w:type="paragraph" w:styleId="11">
    <w:name w:val="Body Text 2"/>
    <w:basedOn w:val="1"/>
    <w:qFormat/>
    <w:uiPriority w:val="0"/>
    <w:pPr>
      <w:spacing w:after="120" w:line="480" w:lineRule="auto"/>
    </w:p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3"/>
    <w:qFormat/>
    <w:uiPriority w:val="0"/>
    <w:pPr>
      <w:widowControl/>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table" w:customStyle="1" w:styleId="23">
    <w:name w:val="Table Normal"/>
    <w:semiHidden/>
    <w:unhideWhenUsed/>
    <w:qFormat/>
    <w:uiPriority w:val="0"/>
    <w:tblPr>
      <w:tblCellMar>
        <w:top w:w="0" w:type="dxa"/>
        <w:left w:w="0" w:type="dxa"/>
        <w:bottom w:w="0" w:type="dxa"/>
        <w:right w:w="0" w:type="dxa"/>
      </w:tblCellMar>
    </w:tblPr>
  </w:style>
  <w:style w:type="paragraph" w:customStyle="1" w:styleId="24">
    <w:name w:val="表格正文内容"/>
    <w:basedOn w:val="1"/>
    <w:next w:val="1"/>
    <w:autoRedefine/>
    <w:qFormat/>
    <w:uiPriority w:val="0"/>
    <w:pPr>
      <w:widowControl/>
      <w:spacing w:line="360" w:lineRule="exact"/>
      <w:jc w:val="left"/>
    </w:pPr>
    <w:rPr>
      <w:rFonts w:ascii="方正楷体_GB2312" w:hAnsi="方正小标宋简体" w:eastAsia="方正仿宋_GB2312" w:cs="仿宋"/>
      <w:sz w:val="24"/>
      <w:szCs w:val="32"/>
    </w:rPr>
  </w:style>
  <w:style w:type="paragraph" w:customStyle="1" w:styleId="25">
    <w:name w:val="列出段落2"/>
    <w:basedOn w:val="1"/>
    <w:qFormat/>
    <w:uiPriority w:val="0"/>
    <w:pPr>
      <w:ind w:firstLine="420" w:firstLineChars="200"/>
    </w:pPr>
    <w:rPr>
      <w:rFonts w:ascii="Times New Roman" w:hAnsi="Times New Roman" w:eastAsia="宋体" w:cs="Times New Roman"/>
      <w:szCs w:val="21"/>
    </w:rPr>
  </w:style>
  <w:style w:type="paragraph" w:customStyle="1" w:styleId="26">
    <w:name w:val="列出段落1"/>
    <w:basedOn w:val="1"/>
    <w:qFormat/>
    <w:uiPriority w:val="34"/>
    <w:pPr>
      <w:suppressAutoHyphens/>
      <w:ind w:firstLine="420"/>
    </w:pPr>
    <w:rPr>
      <w:rFonts w:ascii="Times New Roman" w:hAnsi="Times New Roman" w:eastAsia="宋体" w:cs="Times New Roman"/>
      <w:kern w:val="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1061ddfb-1bad-4aeb-af57-2a9ae21ad1da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58FFC7E6</paraID>
      <start>0</start>
      <end>2</end>
      <status>unmodified</status>
      <modifiedWord/>
      <trackRevisions>false</trackRevisions>
    </reviewItem>
    <reviewItem>
      <errorID>1cf19403-1251-4314-a78f-2b4196d22509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67A4B0EC</paraID>
      <start>0</start>
      <end>2</end>
      <status>unmodified</status>
      <modifiedWord/>
      <trackRevisions>false</trackRevisions>
    </reviewItem>
    <reviewItem>
      <errorID>e40835a7-48d7-4039-8a8b-1f695b9f75af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34243CEE</paraID>
      <start>0</start>
      <end>2</end>
      <status>unmodified</status>
      <modifiedWord/>
      <trackRevisions>false</trackRevisions>
    </reviewItem>
    <reviewItem>
      <errorID>65f9061b-fced-49ae-a5a6-24e2b97559b3</errorID>
      <errorWord>,</errorWord>
      <group>L1_Format</group>
      <groupName>格式问题</groupName>
      <ability>L2_HalfPunc_CN</ability>
      <abilityName>全半角问题</abilityName>
      <candidateList>
        <item>，</item>
      </candidateList>
      <explain>文本全半角错误。</explain>
      <paraID>52AFD65E</paraID>
      <start>183</start>
      <end>184</end>
      <status>modified</status>
      <modifiedWord>，</modifiedWord>
      <trackRevisions>false</trackRevisions>
    </reviewItem>
    <reviewItem>
      <errorID>4823534c-8395-4e62-8e52-d0ed40fa1884</errorID>
      <errorWord>,</errorWord>
      <group>L1_Format</group>
      <groupName>格式问题</groupName>
      <ability>L2_HalfPunc_CN</ability>
      <abilityName>全半角问题</abilityName>
      <candidateList>
        <item>，</item>
      </candidateList>
      <explain>文本全半角错误。</explain>
      <paraID>52AFD65E</paraID>
      <start>190</start>
      <end>191</end>
      <status>modified</status>
      <modifiedWord>，</modifiedWord>
      <trackRevisions>false</trackRevisions>
    </reviewItem>
    <reviewItem>
      <errorID>3dd78a6c-2a1d-40f7-bb42-3705844a0e76</errorID>
      <errorWord>,</errorWord>
      <group>L1_Format</group>
      <groupName>格式问题</groupName>
      <ability>L2_HalfPunc_CN</ability>
      <abilityName>全半角问题</abilityName>
      <candidateList>
        <item>，</item>
      </candidateList>
      <explain>文本全半角错误。</explain>
      <paraID>52AFD65E</paraID>
      <start>197</start>
      <end>198</end>
      <status>modified</status>
      <modifiedWord>，</modifiedWord>
      <trackRevisions>false</trackRevisions>
    </reviewItem>
    <reviewItem>
      <errorID>2f6200d9-b93a-4334-ad47-ca828b2177a2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673FFF60</paraID>
      <start>0</start>
      <end>2</end>
      <status>unmodified</status>
      <modifiedWord/>
      <trackRevisions>false</trackRevisions>
    </reviewItem>
    <reviewItem>
      <errorID>28cbbf56-7464-4990-acb8-e0655b03b99b</errorID>
      <errorWord>等</errorWord>
      <group>L1_Word</group>
      <groupName>字词问题</groupName>
      <ability>L2_Typo</ability>
      <abilityName>字词错误</abilityName>
      <candidateList>
        <item>的</item>
      </candidateList>
      <explain/>
      <paraID> 53ACC0F</paraID>
      <start>13</start>
      <end>14</end>
      <status>unmodified</status>
      <modifiedWord/>
      <trackRevisions>false</trackRevisions>
    </reviewItem>
    <reviewItem>
      <errorID>c57aa583-56d1-4364-90b2-ea17afc3d02e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554618DC</paraID>
      <start>0</start>
      <end>2</end>
      <status>unmodified</status>
      <modifiedWord/>
      <trackRevisions>false</trackRevisions>
    </reviewItem>
    <reviewItem>
      <errorID>6ec317da-375a-42d6-b2e5-78f6238cf667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7D349A8B</paraID>
      <start>0</start>
      <end>2</end>
      <status>unmodified</status>
      <modifiedWord/>
      <trackRevisions>false</trackRevisions>
    </reviewItem>
    <reviewItem>
      <errorID>6ea62c33-98af-4181-b97a-df04fb2dac44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6619B28A</paraID>
      <start>0</start>
      <end>2</end>
      <status>unmodified</status>
      <modifiedWord/>
      <trackRevisions>false</trackRevisions>
    </reviewItem>
    <reviewItem>
      <errorID>4408d60b-7970-4b1c-893c-9ba765c5e639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43482A45</paraID>
      <start>0</start>
      <end>2</end>
      <status>unmodified</status>
      <modifiedWord/>
      <trackRevisions>false</trackRevisions>
    </reviewItem>
    <reviewItem>
      <errorID>430ab9ca-1e5a-4e00-ace8-0c60f8dd601d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428A839D</paraID>
      <start>0</start>
      <end>2</end>
      <status>unmodified</status>
      <modifiedWord/>
      <trackRevisions>false</trackRevisions>
    </reviewItem>
    <reviewItem>
      <errorID>cdfe525f-44a8-480e-8f4b-e403d678500f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56E8031D</paraID>
      <start>0</start>
      <end>2</end>
      <status>unmodified</status>
      <modifiedWord/>
      <trackRevisions>false</trackRevisions>
    </reviewItem>
    <reviewItem>
      <errorID>6b98bc05-ccad-405d-a68f-3340e6256d4f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1DCC4AA6</paraID>
      <start>0</start>
      <end>2</end>
      <status>unmodified</status>
      <modifiedWord/>
      <trackRevisions>false</trackRevisions>
    </reviewItem>
    <reviewItem>
      <errorID>8d47e28c-2747-4c3d-aee3-4381cc0f2803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41589759</paraID>
      <start>0</start>
      <end>2</end>
      <status>unmodified</status>
      <modifiedWord/>
      <trackRevisions>false</trackRevisions>
    </reviewItem>
    <reviewItem>
      <errorID>39ef0288-0ba5-430d-8c9b-a29c99231905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7EB31163</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29ba55-7b21-467b-ae2e-492e7991c66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2595</Words>
  <Characters>2777</Characters>
  <Lines>133</Lines>
  <Paragraphs>161</Paragraphs>
  <TotalTime>1</TotalTime>
  <ScaleCrop>false</ScaleCrop>
  <LinksUpToDate>false</LinksUpToDate>
  <CharactersWithSpaces>2804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2026-02-05T02:57:00Z</dcterms:created>
  <dc:creator>HP</dc:creator>
  <cp:lastModifiedBy>仲杰</cp:lastModifiedBy>
  <dcterms:modified xsi:type="dcterms:W3CDTF">2026-10-08T01:28:23Z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