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  <w:lang w:eastAsia="zh-Hans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双桨双舵船舶系统平台</w:t>
      </w:r>
    </w:p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技术要求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一</w:t>
      </w:r>
      <w:r>
        <w:rPr>
          <w:rStyle w:val="9"/>
          <w:rFonts w:ascii="微软雅黑" w:hAnsi="微软雅黑" w:eastAsia="微软雅黑"/>
          <w:sz w:val="28"/>
          <w:szCs w:val="28"/>
          <w:lang w:eastAsia="zh-Hans"/>
        </w:rPr>
        <w:t>、</w:t>
      </w:r>
      <w:r>
        <w:rPr>
          <w:rStyle w:val="9"/>
          <w:rFonts w:hint="eastAsia" w:ascii="微软雅黑" w:hAnsi="微软雅黑" w:eastAsia="微软雅黑"/>
          <w:sz w:val="28"/>
          <w:szCs w:val="28"/>
        </w:rPr>
        <w:t>项目概况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本次采购项目是搭建</w:t>
      </w:r>
      <w:r>
        <w:rPr>
          <w:rFonts w:hint="eastAsia" w:ascii="宋体" w:hAnsi="宋体"/>
          <w:sz w:val="28"/>
          <w:szCs w:val="28"/>
          <w:lang w:eastAsia="zh-Hans"/>
        </w:rPr>
        <w:t>双桨双舵船舶系统平台，其中包含标准尺度的双桨双舵船舶刚体模型，以及配套的水动力等操纵参数，具有可靠的控制系统和设备配置，配载姿态测试、定位测试、视觉测试、控制测试、通信传输传感设备系统，具有自主路径跟踪、控制规划、避障避碰功能，兼具实验、测试开发平台，实现多种情况下的自主航行和智能调度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二、技术指标</w:t>
      </w:r>
    </w:p>
    <w:p>
      <w:pPr>
        <w:pStyle w:val="8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设备需满足以下技术指标：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.1 </w:t>
      </w:r>
      <w:r>
        <w:rPr>
          <w:rFonts w:hint="eastAsia" w:ascii="宋体" w:hAnsi="宋体"/>
          <w:sz w:val="28"/>
          <w:szCs w:val="28"/>
        </w:rPr>
        <w:t>环境适应性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（1）可在2级海况下工作，3级海况生存;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（2）可在雨雾等不良天气工作;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.2 </w:t>
      </w:r>
      <w:r>
        <w:rPr>
          <w:rFonts w:hint="eastAsia" w:ascii="宋体" w:hAnsi="宋体"/>
          <w:sz w:val="28"/>
          <w:szCs w:val="28"/>
        </w:rPr>
        <w:t>航速和航程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（2）最大速度可达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节及以上;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（3）巡航速度2节的情况下续航大于等于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小时;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（4）巡航航程大于等于8海里;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.3 </w:t>
      </w:r>
      <w:r>
        <w:rPr>
          <w:rFonts w:hint="eastAsia" w:ascii="宋体" w:hAnsi="宋体"/>
          <w:sz w:val="28"/>
          <w:szCs w:val="28"/>
        </w:rPr>
        <w:t>协同性能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（1）可通过数据链将自身信息上传至控制站;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（2）可接受控制命令与其他船只配合;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2.4 </w:t>
      </w:r>
      <w:r>
        <w:rPr>
          <w:rFonts w:hint="eastAsia" w:ascii="宋体" w:hAnsi="宋体"/>
          <w:sz w:val="28"/>
          <w:szCs w:val="28"/>
        </w:rPr>
        <w:t>控制系统功能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（1）系统可实时处理图像、GNSS、气象设备等多种传感器;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（2）系统可实时控制船只数只推进器的角度和速度;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（3）艇只巡航速度下循迹位置误差1m以内;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）艇只运动中可自动分析障碍物位置和运动情况，循迹中可自动发出警报并自动避碰;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）长度8m以上钢制船，航速5节，正面检测距离大于25米，侧面检测距离大于32米，目标检测率大于等于9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%，避开率大于等于9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%;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）静止的直径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m以上钢制浮球，检测距离大于8m，目标检测率大于等于9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%，避开率大于等于9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%;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.5 </w:t>
      </w:r>
      <w:r>
        <w:rPr>
          <w:rFonts w:hint="eastAsia" w:ascii="宋体" w:hAnsi="宋体"/>
          <w:sz w:val="28"/>
          <w:szCs w:val="28"/>
        </w:rPr>
        <w:t>密封性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（1）可在雨雾等不良天气工作;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（2）舱门水密，涌浪拍击船身不漏水;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（3）舱底泵自动排出舱底积水；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.6 </w:t>
      </w:r>
      <w:r>
        <w:rPr>
          <w:rFonts w:hint="eastAsia" w:ascii="宋体" w:hAnsi="宋体"/>
          <w:sz w:val="28"/>
          <w:szCs w:val="28"/>
        </w:rPr>
        <w:t>通讯系统的通信距离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（1）遥控距离不小于1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km</w:t>
      </w:r>
      <w:r>
        <w:rPr>
          <w:rFonts w:ascii="宋体" w:hAnsi="宋体"/>
          <w:sz w:val="28"/>
          <w:szCs w:val="28"/>
        </w:rPr>
        <w:t>;</w:t>
      </w:r>
    </w:p>
    <w:p>
      <w:pPr>
        <w:pStyle w:val="8"/>
        <w:spacing w:line="360" w:lineRule="auto"/>
        <w:ind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（2）图传系统距离不小于5km;</w:t>
      </w:r>
      <w:r>
        <w:rPr>
          <w:rFonts w:hint="eastAsia" w:ascii="宋体" w:hAnsi="宋体"/>
          <w:kern w:val="0"/>
          <w:sz w:val="28"/>
          <w:szCs w:val="28"/>
        </w:rPr>
        <w:t xml:space="preserve"> 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ab/>
      </w:r>
      <w:r>
        <w:rPr>
          <w:rFonts w:hint="eastAsia" w:ascii="宋体" w:hAnsi="宋体"/>
          <w:kern w:val="0"/>
          <w:sz w:val="28"/>
          <w:szCs w:val="28"/>
        </w:rPr>
        <w:t>（3）具有多路冗余通信链路；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8"/>
        <w:spacing w:line="360" w:lineRule="auto"/>
        <w:ind w:firstLine="0" w:firstLineChars="0"/>
        <w:rPr>
          <w:rStyle w:val="9"/>
          <w:rFonts w:ascii="宋体" w:hAnsi="宋体" w:cs="Times New Roman"/>
          <w:b w:val="0"/>
          <w:bCs w:val="0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三、采购要求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总报价不得高于</w:t>
      </w:r>
      <w:r>
        <w:rPr>
          <w:rFonts w:ascii="宋体" w:hAnsi="宋体"/>
          <w:sz w:val="28"/>
          <w:szCs w:val="28"/>
        </w:rPr>
        <w:t>13.45</w:t>
      </w:r>
      <w:r>
        <w:rPr>
          <w:rFonts w:hint="eastAsia" w:ascii="宋体" w:hAnsi="宋体"/>
          <w:sz w:val="28"/>
          <w:szCs w:val="28"/>
        </w:rPr>
        <w:t>万人民币；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供货时间为合同签订后一个月；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货物验收通过后，供货方开具全额发票，一次性付款；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 w:ascii="宋体" w:hAnsi="宋体"/>
          <w:sz w:val="28"/>
          <w:szCs w:val="28"/>
        </w:rPr>
        <w:t>设备免费质保期为合同验收后两年。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06BF6"/>
    <w:multiLevelType w:val="multilevel"/>
    <w:tmpl w:val="0E906BF6"/>
    <w:lvl w:ilvl="0" w:tentative="0">
      <w:start w:val="1"/>
      <w:numFmt w:val="decimal"/>
      <w:lvlText w:val="（%1）"/>
      <w:lvlJc w:val="left"/>
      <w:pPr>
        <w:ind w:left="1003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1B"/>
    <w:rsid w:val="000A731B"/>
    <w:rsid w:val="000B7B06"/>
    <w:rsid w:val="002231B9"/>
    <w:rsid w:val="004B2283"/>
    <w:rsid w:val="004C5D44"/>
    <w:rsid w:val="004E2956"/>
    <w:rsid w:val="00784900"/>
    <w:rsid w:val="0086429B"/>
    <w:rsid w:val="009A29FB"/>
    <w:rsid w:val="00A87936"/>
    <w:rsid w:val="00B04EF3"/>
    <w:rsid w:val="00B46FA2"/>
    <w:rsid w:val="00B55A21"/>
    <w:rsid w:val="00D06C57"/>
    <w:rsid w:val="00D4206F"/>
    <w:rsid w:val="00D7423B"/>
    <w:rsid w:val="00DE1D91"/>
    <w:rsid w:val="00F534BC"/>
    <w:rsid w:val="00F54193"/>
    <w:rsid w:val="5D6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15"/>
    <w:basedOn w:val="5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709</Characters>
  <Lines>5</Lines>
  <Paragraphs>1</Paragraphs>
  <TotalTime>15</TotalTime>
  <ScaleCrop>false</ScaleCrop>
  <LinksUpToDate>false</LinksUpToDate>
  <CharactersWithSpaces>832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2021-09-02T01:50:00Z</dcterms:created>
  <dc:creator>DELL</dc:creator>
  <cp:lastModifiedBy>仲杰</cp:lastModifiedBy>
  <dcterms:modified xsi:type="dcterms:W3CDTF">2021-09-10T04:17:56Z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876FD28E47E946FEA6B480E11D887789</vt:lpwstr>
  </property>
</Properties>
</file>