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32"/>
        <w:jc w:val="center"/>
        <w:rPr>
          <w:rFonts w:ascii="黑体" w:eastAsia="黑体"/>
          <w:sz w:val="36"/>
          <w:szCs w:val="36"/>
        </w:rPr>
      </w:pPr>
      <w:bookmarkStart w:id="0" w:name="_GoBack"/>
      <w:bookmarkEnd w:id="0"/>
      <w:r>
        <w:rPr>
          <w:rFonts w:hint="eastAsia" w:ascii="黑体" w:eastAsia="黑体"/>
          <w:sz w:val="36"/>
          <w:szCs w:val="36"/>
        </w:rPr>
        <w:t>2022年上海海事</w:t>
      </w:r>
      <w:r>
        <w:rPr>
          <w:rFonts w:ascii="黑体" w:eastAsia="黑体"/>
          <w:sz w:val="36"/>
          <w:szCs w:val="36"/>
        </w:rPr>
        <w:t>大学档案馆</w:t>
      </w:r>
    </w:p>
    <w:p>
      <w:pPr>
        <w:ind w:firstLine="432"/>
        <w:jc w:val="center"/>
        <w:rPr>
          <w:rFonts w:ascii="黑体" w:hAnsi="宋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库房改造</w:t>
      </w:r>
      <w:r>
        <w:rPr>
          <w:rFonts w:hint="eastAsia" w:ascii="黑体" w:hAnsi="宋体" w:eastAsia="黑体"/>
          <w:sz w:val="36"/>
          <w:szCs w:val="36"/>
        </w:rPr>
        <w:t>项目</w:t>
      </w:r>
      <w:r>
        <w:rPr>
          <w:rFonts w:hint="eastAsia" w:ascii="黑体" w:eastAsia="黑体"/>
          <w:sz w:val="36"/>
          <w:szCs w:val="36"/>
        </w:rPr>
        <w:t>（</w:t>
      </w:r>
      <w:r>
        <w:rPr>
          <w:rFonts w:ascii="黑体" w:eastAsia="黑体"/>
          <w:sz w:val="36"/>
          <w:szCs w:val="36"/>
        </w:rPr>
        <w:t>密集架与</w:t>
      </w:r>
      <w:r>
        <w:rPr>
          <w:rFonts w:hint="eastAsia" w:ascii="黑体" w:eastAsia="黑体"/>
          <w:sz w:val="36"/>
          <w:szCs w:val="36"/>
        </w:rPr>
        <w:t>地面）</w:t>
      </w:r>
      <w:r>
        <w:rPr>
          <w:rFonts w:hint="eastAsia" w:ascii="黑体" w:hAnsi="宋体" w:eastAsia="黑体"/>
          <w:sz w:val="36"/>
          <w:szCs w:val="36"/>
        </w:rPr>
        <w:t>需求书</w:t>
      </w:r>
    </w:p>
    <w:p>
      <w:pPr>
        <w:jc w:val="center"/>
        <w:rPr>
          <w:rFonts w:ascii="黑体" w:hAnsi="宋体" w:eastAsia="黑体"/>
          <w:sz w:val="36"/>
          <w:szCs w:val="36"/>
        </w:rPr>
      </w:pPr>
    </w:p>
    <w:p>
      <w:pPr>
        <w:spacing w:line="360" w:lineRule="auto"/>
        <w:rPr>
          <w:rFonts w:ascii="宋体"/>
          <w:b/>
          <w:sz w:val="44"/>
          <w:szCs w:val="44"/>
        </w:rPr>
      </w:pP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项目描述</w:t>
      </w:r>
    </w:p>
    <w:p>
      <w:pPr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根据上海</w:t>
      </w:r>
      <w:r>
        <w:rPr>
          <w:rFonts w:ascii="宋体" w:hAnsi="宋体"/>
          <w:sz w:val="24"/>
        </w:rPr>
        <w:t>海事大学学生</w:t>
      </w:r>
      <w:r>
        <w:rPr>
          <w:rFonts w:hint="eastAsia" w:ascii="宋体" w:hAnsi="宋体"/>
          <w:sz w:val="24"/>
        </w:rPr>
        <w:t>档案库房室内</w:t>
      </w:r>
      <w:r>
        <w:rPr>
          <w:rFonts w:ascii="宋体" w:hAnsi="宋体"/>
          <w:sz w:val="24"/>
        </w:rPr>
        <w:t>结构情况</w:t>
      </w:r>
      <w:r>
        <w:rPr>
          <w:rFonts w:hint="eastAsia" w:ascii="宋体" w:hAnsi="宋体"/>
          <w:sz w:val="24"/>
        </w:rPr>
        <w:t>,</w:t>
      </w:r>
      <w:r>
        <w:rPr>
          <w:rFonts w:ascii="宋体" w:hAnsi="宋体"/>
          <w:sz w:val="24"/>
        </w:rPr>
        <w:t>综合考虑</w:t>
      </w:r>
      <w:r>
        <w:rPr>
          <w:rFonts w:hint="eastAsia" w:ascii="宋体" w:hAnsi="宋体"/>
          <w:sz w:val="24"/>
        </w:rPr>
        <w:t>库房地理位置的特殊性</w:t>
      </w:r>
      <w:r>
        <w:rPr>
          <w:rFonts w:ascii="宋体" w:hAnsi="宋体"/>
          <w:sz w:val="24"/>
        </w:rPr>
        <w:t>，</w:t>
      </w:r>
      <w:r>
        <w:rPr>
          <w:rFonts w:hint="eastAsia" w:ascii="宋体" w:hAnsi="宋体"/>
          <w:sz w:val="24"/>
        </w:rPr>
        <w:t>以及</w:t>
      </w:r>
      <w:r>
        <w:rPr>
          <w:rFonts w:ascii="宋体" w:hAnsi="宋体"/>
          <w:sz w:val="24"/>
        </w:rPr>
        <w:t>学生档案</w:t>
      </w:r>
      <w:r>
        <w:rPr>
          <w:rFonts w:hint="eastAsia" w:ascii="宋体" w:hAnsi="宋体"/>
          <w:sz w:val="24"/>
        </w:rPr>
        <w:t>的使用</w:t>
      </w:r>
      <w:r>
        <w:rPr>
          <w:rFonts w:ascii="宋体" w:hAnsi="宋体"/>
          <w:sz w:val="24"/>
        </w:rPr>
        <w:t>特点</w:t>
      </w:r>
      <w:r>
        <w:rPr>
          <w:rFonts w:hint="eastAsia" w:ascii="宋体" w:hAnsi="宋体"/>
          <w:sz w:val="24"/>
        </w:rPr>
        <w:t>等</w:t>
      </w:r>
      <w:r>
        <w:rPr>
          <w:rFonts w:ascii="宋体" w:hAnsi="宋体"/>
          <w:sz w:val="24"/>
        </w:rPr>
        <w:t>，</w:t>
      </w:r>
      <w:r>
        <w:rPr>
          <w:rFonts w:hint="eastAsia" w:ascii="宋体" w:hAnsi="宋体"/>
          <w:sz w:val="24"/>
        </w:rPr>
        <w:t>合理利用</w:t>
      </w:r>
      <w:r>
        <w:rPr>
          <w:rFonts w:ascii="宋体" w:hAnsi="宋体"/>
          <w:sz w:val="24"/>
        </w:rPr>
        <w:t>空间，设计</w:t>
      </w:r>
      <w:r>
        <w:rPr>
          <w:rFonts w:hint="eastAsia" w:ascii="宋体" w:hAnsi="宋体"/>
          <w:sz w:val="24"/>
        </w:rPr>
        <w:t>、</w:t>
      </w:r>
      <w:r>
        <w:rPr>
          <w:rFonts w:ascii="宋体" w:hAnsi="宋体"/>
          <w:sz w:val="24"/>
        </w:rPr>
        <w:t>制作</w:t>
      </w:r>
      <w:r>
        <w:rPr>
          <w:rFonts w:hint="eastAsia" w:ascii="宋体" w:hAnsi="宋体"/>
          <w:sz w:val="24"/>
        </w:rPr>
        <w:t>并</w:t>
      </w:r>
      <w:r>
        <w:rPr>
          <w:rFonts w:ascii="宋体" w:hAnsi="宋体"/>
          <w:sz w:val="24"/>
        </w:rPr>
        <w:t>安装</w:t>
      </w:r>
      <w:r>
        <w:rPr>
          <w:rFonts w:hint="eastAsia" w:ascii="宋体" w:hAnsi="宋体"/>
          <w:sz w:val="24"/>
        </w:rPr>
        <w:t>档案</w:t>
      </w:r>
      <w:r>
        <w:rPr>
          <w:rFonts w:ascii="宋体" w:hAnsi="宋体"/>
          <w:sz w:val="24"/>
        </w:rPr>
        <w:t>密集架</w:t>
      </w:r>
      <w:r>
        <w:rPr>
          <w:rFonts w:hint="eastAsia" w:ascii="宋体" w:hAnsi="宋体"/>
          <w:sz w:val="24"/>
        </w:rPr>
        <w:t>。</w:t>
      </w:r>
    </w:p>
    <w:p>
      <w:pPr>
        <w:spacing w:line="360" w:lineRule="auto"/>
        <w:jc w:val="left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b/>
          <w:sz w:val="24"/>
        </w:rPr>
      </w:pPr>
      <w:r>
        <w:rPr>
          <w:rFonts w:hint="eastAsia" w:ascii="宋体" w:hAnsi="宋体"/>
          <w:sz w:val="24"/>
        </w:rPr>
        <w:t>二</w:t>
      </w:r>
      <w:r>
        <w:rPr>
          <w:rFonts w:ascii="宋体" w:hAnsi="宋体"/>
          <w:sz w:val="24"/>
        </w:rPr>
        <w:t>、</w:t>
      </w:r>
      <w:r>
        <w:rPr>
          <w:rFonts w:hint="eastAsia" w:ascii="宋体" w:hAnsi="宋体"/>
          <w:sz w:val="24"/>
        </w:rPr>
        <w:t xml:space="preserve">  </w:t>
      </w:r>
      <w:r>
        <w:rPr>
          <w:rFonts w:hint="eastAsia" w:ascii="宋体" w:hAnsi="宋体"/>
          <w:b/>
          <w:sz w:val="24"/>
        </w:rPr>
        <w:t>项目清单及</w:t>
      </w:r>
      <w:r>
        <w:rPr>
          <w:rFonts w:ascii="宋体" w:hAnsi="宋体"/>
          <w:b/>
          <w:sz w:val="24"/>
        </w:rPr>
        <w:t>相关要求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 xml:space="preserve">    </w:t>
      </w:r>
      <w:r>
        <w:rPr>
          <w:rFonts w:hint="eastAsia" w:ascii="宋体" w:hAnsi="宋体"/>
          <w:sz w:val="24"/>
        </w:rPr>
        <w:t>上海</w:t>
      </w:r>
      <w:r>
        <w:rPr>
          <w:rFonts w:ascii="宋体" w:hAnsi="宋体"/>
          <w:sz w:val="24"/>
        </w:rPr>
        <w:t>海事大学学生档案库房基本情况：</w:t>
      </w:r>
      <w:r>
        <w:rPr>
          <w:rFonts w:hint="eastAsia" w:ascii="宋体" w:hAnsi="宋体"/>
          <w:b/>
          <w:sz w:val="24"/>
        </w:rPr>
        <w:t>1.</w:t>
      </w:r>
      <w:r>
        <w:rPr>
          <w:rFonts w:hint="eastAsia" w:ascii="宋体" w:hAnsi="宋体"/>
          <w:sz w:val="24"/>
        </w:rPr>
        <w:t>面积约</w:t>
      </w:r>
      <w:r>
        <w:rPr>
          <w:rFonts w:ascii="宋体" w:hAnsi="宋体"/>
          <w:sz w:val="24"/>
        </w:rPr>
        <w:t>100m</w:t>
      </w:r>
      <w:r>
        <w:rPr>
          <w:rFonts w:ascii="宋体" w:hAnsi="宋体"/>
          <w:sz w:val="24"/>
          <w:vertAlign w:val="superscript"/>
        </w:rPr>
        <w:t>2</w:t>
      </w:r>
      <w:r>
        <w:rPr>
          <w:rFonts w:ascii="宋体" w:hAnsi="宋体"/>
          <w:sz w:val="24"/>
        </w:rPr>
        <w:t>,</w:t>
      </w:r>
      <w:r>
        <w:rPr>
          <w:rFonts w:hint="eastAsia" w:ascii="宋体" w:hAnsi="宋体"/>
          <w:sz w:val="24"/>
        </w:rPr>
        <w:t>枪型结构；</w:t>
      </w:r>
      <w:r>
        <w:rPr>
          <w:rFonts w:hint="eastAsia" w:ascii="宋体" w:hAnsi="宋体"/>
          <w:b/>
          <w:sz w:val="24"/>
        </w:rPr>
        <w:t>2.</w:t>
      </w:r>
      <w:r>
        <w:rPr>
          <w:rFonts w:hint="eastAsia" w:ascii="宋体" w:hAnsi="宋体"/>
          <w:sz w:val="24"/>
        </w:rPr>
        <w:t>层高</w:t>
      </w:r>
      <w:r>
        <w:rPr>
          <w:rFonts w:ascii="宋体" w:hAnsi="宋体"/>
          <w:sz w:val="24"/>
        </w:rPr>
        <w:t>有落差</w:t>
      </w:r>
      <w:r>
        <w:rPr>
          <w:rFonts w:hint="eastAsia" w:ascii="宋体" w:hAnsi="宋体"/>
          <w:sz w:val="24"/>
        </w:rPr>
        <w:t>；</w:t>
      </w:r>
      <w:r>
        <w:rPr>
          <w:rFonts w:hint="eastAsia" w:ascii="宋体" w:hAnsi="宋体"/>
          <w:b/>
          <w:sz w:val="24"/>
        </w:rPr>
        <w:t>3.</w:t>
      </w:r>
      <w:r>
        <w:rPr>
          <w:rFonts w:hint="eastAsia" w:ascii="宋体" w:hAnsi="宋体"/>
          <w:sz w:val="24"/>
        </w:rPr>
        <w:t>地面有</w:t>
      </w:r>
      <w:r>
        <w:rPr>
          <w:rFonts w:ascii="宋体" w:hAnsi="宋体"/>
          <w:sz w:val="24"/>
        </w:rPr>
        <w:t>凹凸情况，水平误差</w:t>
      </w:r>
      <w:r>
        <w:rPr>
          <w:rFonts w:hint="eastAsia" w:asciiTheme="minorEastAsia" w:hAnsiTheme="minorEastAsia" w:eastAsiaTheme="minorEastAsia"/>
          <w:bCs/>
          <w:sz w:val="24"/>
        </w:rPr>
        <w:t>约4c</w:t>
      </w:r>
      <w:r>
        <w:rPr>
          <w:rFonts w:asciiTheme="minorEastAsia" w:hAnsiTheme="minorEastAsia" w:eastAsiaTheme="minorEastAsia"/>
          <w:bCs/>
          <w:sz w:val="24"/>
        </w:rPr>
        <w:t>m</w:t>
      </w:r>
      <w:r>
        <w:rPr>
          <w:rFonts w:hint="eastAsia" w:ascii="宋体" w:hAnsi="宋体"/>
          <w:sz w:val="24"/>
        </w:rPr>
        <w:t>；</w:t>
      </w:r>
      <w:r>
        <w:rPr>
          <w:rFonts w:hint="eastAsia" w:ascii="宋体" w:hAnsi="宋体"/>
          <w:b/>
          <w:sz w:val="24"/>
        </w:rPr>
        <w:t>4.</w:t>
      </w:r>
      <w:r>
        <w:rPr>
          <w:rFonts w:hint="eastAsia" w:ascii="宋体" w:hAnsi="宋体"/>
          <w:sz w:val="24"/>
        </w:rPr>
        <w:t>库房离湖</w:t>
      </w:r>
      <w:r>
        <w:rPr>
          <w:rFonts w:ascii="宋体" w:hAnsi="宋体"/>
          <w:sz w:val="24"/>
        </w:rPr>
        <w:t>较近，易潮。</w:t>
      </w:r>
      <w:r>
        <w:rPr>
          <w:rFonts w:hint="eastAsia" w:ascii="宋体" w:hAnsi="宋体"/>
          <w:sz w:val="24"/>
        </w:rPr>
        <w:t>针对此</w:t>
      </w:r>
      <w:r>
        <w:rPr>
          <w:rFonts w:ascii="宋体" w:hAnsi="宋体"/>
          <w:sz w:val="24"/>
        </w:rPr>
        <w:t>，</w:t>
      </w:r>
      <w:r>
        <w:rPr>
          <w:rFonts w:hint="eastAsia" w:ascii="宋体" w:hAnsi="宋体"/>
          <w:sz w:val="24"/>
        </w:rPr>
        <w:t>项目具体</w:t>
      </w:r>
      <w:r>
        <w:rPr>
          <w:rFonts w:ascii="宋体" w:hAnsi="宋体"/>
          <w:sz w:val="24"/>
        </w:rPr>
        <w:t>要求如下</w:t>
      </w:r>
      <w:r>
        <w:rPr>
          <w:rFonts w:hint="eastAsia" w:ascii="宋体" w:hAnsi="宋体"/>
          <w:sz w:val="24"/>
        </w:rPr>
        <w:t>：</w:t>
      </w:r>
    </w:p>
    <w:p>
      <w:pPr>
        <w:spacing w:line="360" w:lineRule="auto"/>
        <w:ind w:firstLine="120" w:firstLineChars="50"/>
        <w:rPr>
          <w:rFonts w:ascii="宋体"/>
          <w:b/>
          <w:sz w:val="24"/>
        </w:rPr>
      </w:pPr>
      <w:r>
        <w:rPr>
          <w:rFonts w:hint="eastAsia" w:ascii="宋体" w:hAnsi="宋体"/>
          <w:b/>
          <w:sz w:val="24"/>
        </w:rPr>
        <w:t>（一）库房密集架结构</w:t>
      </w:r>
      <w:r>
        <w:rPr>
          <w:rFonts w:ascii="宋体" w:hAnsi="宋体"/>
          <w:b/>
          <w:sz w:val="24"/>
        </w:rPr>
        <w:t>要求</w:t>
      </w:r>
    </w:p>
    <w:p>
      <w:pPr>
        <w:spacing w:line="360" w:lineRule="auto"/>
        <w:ind w:firstLine="240" w:firstLineChars="1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1</w:t>
      </w:r>
      <w:r>
        <w:rPr>
          <w:rFonts w:asciiTheme="minorEastAsia" w:hAnsiTheme="minorEastAsia" w:eastAsiaTheme="minorEastAsia"/>
          <w:sz w:val="24"/>
        </w:rPr>
        <w:t xml:space="preserve">. </w:t>
      </w:r>
      <w:r>
        <w:rPr>
          <w:rFonts w:hint="eastAsia" w:asciiTheme="minorEastAsia" w:hAnsiTheme="minorEastAsia" w:eastAsiaTheme="minorEastAsia"/>
          <w:bCs/>
          <w:sz w:val="24"/>
        </w:rPr>
        <w:t>密集架分成两个区域，轨道不可连接。</w:t>
      </w:r>
    </w:p>
    <w:p>
      <w:pPr>
        <w:spacing w:line="360" w:lineRule="auto"/>
        <w:ind w:firstLine="240" w:firstLineChars="100"/>
        <w:rPr>
          <w:rFonts w:asciiTheme="minorEastAsia" w:hAnsiTheme="minorEastAsia" w:eastAsiaTheme="minorEastAsia"/>
          <w:bCs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2</w:t>
      </w:r>
      <w:r>
        <w:rPr>
          <w:rFonts w:asciiTheme="minorEastAsia" w:hAnsiTheme="minorEastAsia" w:eastAsiaTheme="minorEastAsia"/>
          <w:sz w:val="24"/>
        </w:rPr>
        <w:t xml:space="preserve">. </w:t>
      </w:r>
      <w:r>
        <w:rPr>
          <w:rFonts w:hint="eastAsia" w:asciiTheme="minorEastAsia" w:hAnsiTheme="minorEastAsia" w:eastAsiaTheme="minorEastAsia"/>
          <w:sz w:val="24"/>
        </w:rPr>
        <w:t>移动式密集架为框架式钢结构，须</w:t>
      </w:r>
      <w:r>
        <w:rPr>
          <w:rFonts w:asciiTheme="minorEastAsia" w:hAnsiTheme="minorEastAsia" w:eastAsiaTheme="minorEastAsia"/>
          <w:sz w:val="24"/>
        </w:rPr>
        <w:t>包含</w:t>
      </w:r>
      <w:r>
        <w:rPr>
          <w:rFonts w:hint="eastAsia" w:asciiTheme="minorEastAsia" w:hAnsiTheme="minorEastAsia" w:eastAsiaTheme="minorEastAsia"/>
          <w:sz w:val="24"/>
        </w:rPr>
        <w:t>底盘、立柱、搁板及支撑板、顶板、护板、面门、传动机构、导轨、防震装置、制动等装置及防尘、防鼠装置。建议</w:t>
      </w:r>
      <w:r>
        <w:rPr>
          <w:rFonts w:hint="eastAsia" w:asciiTheme="minorEastAsia" w:hAnsiTheme="minorEastAsia" w:eastAsiaTheme="minorEastAsia"/>
          <w:bCs/>
          <w:sz w:val="24"/>
        </w:rPr>
        <w:t>采用宝钢产冷轧板及不锈钢，立柱为1.5mm，搁板、门面、挂板为1.2mm，顶板、侧板为1.0mm。底盘为宝钢钢板3.0mm，搁板每层可承重不少于100kg。</w:t>
      </w:r>
    </w:p>
    <w:p>
      <w:pPr>
        <w:spacing w:line="360" w:lineRule="auto"/>
        <w:rPr>
          <w:rFonts w:asciiTheme="minorEastAsia" w:hAnsiTheme="minorEastAsia" w:eastAsiaTheme="minorEastAsia"/>
          <w:bCs/>
          <w:sz w:val="24"/>
        </w:rPr>
      </w:pPr>
      <w:r>
        <w:rPr>
          <w:rFonts w:asciiTheme="minorEastAsia" w:hAnsiTheme="minorEastAsia" w:eastAsiaTheme="minorEastAsia"/>
          <w:bCs/>
          <w:sz w:val="24"/>
        </w:rPr>
        <w:t xml:space="preserve">  3.</w:t>
      </w:r>
      <w:r>
        <w:rPr>
          <w:rFonts w:hint="eastAsia" w:asciiTheme="minorEastAsia" w:hAnsiTheme="minorEastAsia" w:eastAsiaTheme="minorEastAsia"/>
          <w:bCs/>
          <w:sz w:val="24"/>
        </w:rPr>
        <w:t xml:space="preserve"> 密集架为手动，</w:t>
      </w:r>
      <w:r>
        <w:rPr>
          <w:rFonts w:asciiTheme="minorEastAsia" w:hAnsiTheme="minorEastAsia" w:eastAsiaTheme="minorEastAsia"/>
          <w:bCs/>
          <w:sz w:val="24"/>
        </w:rPr>
        <w:t>要求</w:t>
      </w:r>
      <w:r>
        <w:rPr>
          <w:rFonts w:hint="eastAsia" w:asciiTheme="minorEastAsia" w:hAnsiTheme="minorEastAsia" w:eastAsiaTheme="minorEastAsia"/>
          <w:bCs/>
          <w:sz w:val="24"/>
        </w:rPr>
        <w:t>摇手柄的操作摇力小于10N，以便工作人员操作。</w:t>
      </w:r>
    </w:p>
    <w:p>
      <w:pPr>
        <w:spacing w:line="360" w:lineRule="auto"/>
        <w:ind w:firstLine="241" w:firstLineChars="100"/>
        <w:rPr>
          <w:b/>
          <w:sz w:val="24"/>
        </w:rPr>
      </w:pPr>
      <w:r>
        <w:rPr>
          <w:rFonts w:hint="eastAsia" w:asciiTheme="minorEastAsia" w:hAnsiTheme="minorEastAsia" w:eastAsiaTheme="minorEastAsia"/>
          <w:b/>
          <w:bCs/>
          <w:sz w:val="24"/>
        </w:rPr>
        <w:t>（二）库房密集架</w:t>
      </w:r>
      <w:r>
        <w:rPr>
          <w:rFonts w:asciiTheme="minorEastAsia" w:hAnsiTheme="minorEastAsia" w:eastAsiaTheme="minorEastAsia"/>
          <w:b/>
          <w:bCs/>
          <w:sz w:val="24"/>
        </w:rPr>
        <w:t>安全要求</w:t>
      </w:r>
    </w:p>
    <w:p>
      <w:pPr>
        <w:spacing w:line="360" w:lineRule="auto"/>
        <w:ind w:firstLine="240" w:firstLineChars="100"/>
        <w:rPr>
          <w:rFonts w:asciiTheme="minorEastAsia" w:hAnsiTheme="minorEastAsia" w:eastAsiaTheme="minorEastAsia"/>
          <w:bCs/>
          <w:sz w:val="24"/>
        </w:rPr>
      </w:pPr>
      <w:r>
        <w:rPr>
          <w:rFonts w:asciiTheme="minorEastAsia" w:hAnsiTheme="minorEastAsia" w:eastAsiaTheme="minorEastAsia"/>
          <w:sz w:val="24"/>
        </w:rPr>
        <w:t>1</w:t>
      </w:r>
      <w:r>
        <w:rPr>
          <w:rFonts w:hint="eastAsia" w:asciiTheme="minorEastAsia" w:hAnsiTheme="minorEastAsia" w:eastAsiaTheme="minorEastAsia"/>
          <w:sz w:val="24"/>
        </w:rPr>
        <w:t>. 密集架</w:t>
      </w:r>
      <w:r>
        <w:rPr>
          <w:rFonts w:asciiTheme="minorEastAsia" w:hAnsiTheme="minorEastAsia" w:eastAsiaTheme="minorEastAsia"/>
          <w:sz w:val="24"/>
        </w:rPr>
        <w:t>须</w:t>
      </w:r>
      <w:r>
        <w:rPr>
          <w:rFonts w:hint="eastAsia" w:asciiTheme="minorEastAsia" w:hAnsiTheme="minorEastAsia" w:eastAsiaTheme="minorEastAsia"/>
          <w:bCs/>
          <w:sz w:val="24"/>
        </w:rPr>
        <w:t>为双轴传动结构，中枢传动，以保证运行的平稳性。</w:t>
      </w:r>
    </w:p>
    <w:p>
      <w:pPr>
        <w:spacing w:line="360" w:lineRule="auto"/>
        <w:ind w:firstLine="240" w:firstLineChars="100"/>
        <w:rPr>
          <w:rFonts w:asciiTheme="minorEastAsia" w:hAnsiTheme="minorEastAsia" w:eastAsiaTheme="minorEastAsia"/>
          <w:bCs/>
          <w:sz w:val="24"/>
        </w:rPr>
      </w:pPr>
      <w:r>
        <w:rPr>
          <w:rFonts w:asciiTheme="minorEastAsia" w:hAnsiTheme="minorEastAsia" w:eastAsiaTheme="minorEastAsia"/>
          <w:bCs/>
          <w:sz w:val="24"/>
        </w:rPr>
        <w:t>2</w:t>
      </w:r>
      <w:r>
        <w:rPr>
          <w:rFonts w:hint="eastAsia" w:asciiTheme="minorEastAsia" w:hAnsiTheme="minorEastAsia" w:eastAsiaTheme="minorEastAsia"/>
          <w:bCs/>
          <w:sz w:val="24"/>
        </w:rPr>
        <w:t>.</w:t>
      </w:r>
      <w:r>
        <w:rPr>
          <w:rFonts w:asciiTheme="minorEastAsia" w:hAnsiTheme="minorEastAsia" w:eastAsiaTheme="minorEastAsia"/>
          <w:bCs/>
          <w:sz w:val="24"/>
        </w:rPr>
        <w:t xml:space="preserve"> </w:t>
      </w:r>
      <w:r>
        <w:rPr>
          <w:rFonts w:hint="eastAsia" w:asciiTheme="minorEastAsia" w:hAnsiTheme="minorEastAsia" w:eastAsiaTheme="minorEastAsia"/>
          <w:bCs/>
          <w:sz w:val="24"/>
        </w:rPr>
        <w:t>考虑防潮防锈目的，密集架轨座、</w:t>
      </w:r>
      <w:r>
        <w:rPr>
          <w:rFonts w:asciiTheme="minorEastAsia" w:hAnsiTheme="minorEastAsia" w:eastAsiaTheme="minorEastAsia"/>
          <w:bCs/>
          <w:sz w:val="24"/>
        </w:rPr>
        <w:t>轨道</w:t>
      </w:r>
      <w:r>
        <w:rPr>
          <w:rFonts w:hint="eastAsia" w:asciiTheme="minorEastAsia" w:hAnsiTheme="minorEastAsia" w:eastAsiaTheme="minorEastAsia"/>
          <w:bCs/>
          <w:sz w:val="24"/>
        </w:rPr>
        <w:t>、护板须采用304不锈钢材料</w:t>
      </w:r>
      <w:r>
        <w:rPr>
          <w:rFonts w:asciiTheme="minorEastAsia" w:hAnsiTheme="minorEastAsia" w:eastAsiaTheme="minorEastAsia"/>
          <w:bCs/>
          <w:sz w:val="24"/>
        </w:rPr>
        <w:t>，</w:t>
      </w:r>
      <w:r>
        <w:rPr>
          <w:rFonts w:hint="eastAsia" w:asciiTheme="minorEastAsia" w:hAnsiTheme="minorEastAsia" w:eastAsiaTheme="minorEastAsia"/>
          <w:bCs/>
          <w:sz w:val="24"/>
        </w:rPr>
        <w:t>轨座厚度不小于2.5mm，轨道方钢约20*20mm，护板厚度不小于1.5mm,宽度约</w:t>
      </w:r>
      <w:r>
        <w:rPr>
          <w:rFonts w:asciiTheme="minorEastAsia" w:hAnsiTheme="minorEastAsia" w:eastAsiaTheme="minorEastAsia"/>
          <w:bCs/>
          <w:sz w:val="24"/>
        </w:rPr>
        <w:t>需</w:t>
      </w:r>
      <w:r>
        <w:rPr>
          <w:rFonts w:hint="eastAsia" w:asciiTheme="minorEastAsia" w:hAnsiTheme="minorEastAsia" w:eastAsiaTheme="minorEastAsia"/>
          <w:bCs/>
          <w:sz w:val="24"/>
        </w:rPr>
        <w:t>12cm。</w:t>
      </w:r>
    </w:p>
    <w:p>
      <w:pPr>
        <w:spacing w:line="360" w:lineRule="auto"/>
        <w:ind w:firstLine="240" w:firstLineChars="100"/>
        <w:rPr>
          <w:rFonts w:asciiTheme="minorEastAsia" w:hAnsiTheme="minorEastAsia" w:eastAsiaTheme="minorEastAsia"/>
          <w:bCs/>
          <w:sz w:val="24"/>
        </w:rPr>
      </w:pPr>
      <w:r>
        <w:rPr>
          <w:rFonts w:asciiTheme="minorEastAsia" w:hAnsiTheme="minorEastAsia" w:eastAsiaTheme="minorEastAsia"/>
          <w:bCs/>
          <w:sz w:val="24"/>
        </w:rPr>
        <w:t>3.以安全为</w:t>
      </w:r>
      <w:r>
        <w:rPr>
          <w:rFonts w:hint="eastAsia" w:asciiTheme="minorEastAsia" w:hAnsiTheme="minorEastAsia" w:eastAsiaTheme="minorEastAsia"/>
          <w:bCs/>
          <w:sz w:val="24"/>
        </w:rPr>
        <w:t>原则，库房</w:t>
      </w:r>
      <w:r>
        <w:rPr>
          <w:rFonts w:asciiTheme="minorEastAsia" w:hAnsiTheme="minorEastAsia" w:eastAsiaTheme="minorEastAsia"/>
          <w:bCs/>
          <w:sz w:val="24"/>
        </w:rPr>
        <w:t>室内</w:t>
      </w:r>
      <w:r>
        <w:rPr>
          <w:rFonts w:hint="eastAsia" w:asciiTheme="minorEastAsia" w:hAnsiTheme="minorEastAsia" w:eastAsiaTheme="minorEastAsia"/>
          <w:bCs/>
          <w:sz w:val="24"/>
        </w:rPr>
        <w:t>轨道</w:t>
      </w:r>
      <w:r>
        <w:rPr>
          <w:rFonts w:asciiTheme="minorEastAsia" w:hAnsiTheme="minorEastAsia" w:eastAsiaTheme="minorEastAsia"/>
          <w:bCs/>
          <w:sz w:val="24"/>
        </w:rPr>
        <w:t>敷设</w:t>
      </w:r>
      <w:r>
        <w:rPr>
          <w:rFonts w:hint="eastAsia" w:asciiTheme="minorEastAsia" w:hAnsiTheme="minorEastAsia" w:eastAsiaTheme="minorEastAsia"/>
          <w:bCs/>
          <w:sz w:val="24"/>
        </w:rPr>
        <w:t>同时</w:t>
      </w:r>
      <w:r>
        <w:rPr>
          <w:rFonts w:asciiTheme="minorEastAsia" w:hAnsiTheme="minorEastAsia" w:eastAsiaTheme="minorEastAsia"/>
          <w:bCs/>
          <w:sz w:val="24"/>
        </w:rPr>
        <w:t>须对地面进行处理，以</w:t>
      </w:r>
      <w:r>
        <w:rPr>
          <w:rFonts w:hint="eastAsia" w:asciiTheme="minorEastAsia" w:hAnsiTheme="minorEastAsia" w:eastAsiaTheme="minorEastAsia"/>
          <w:bCs/>
          <w:sz w:val="24"/>
        </w:rPr>
        <w:t>确保轨座</w:t>
      </w:r>
      <w:r>
        <w:rPr>
          <w:rFonts w:asciiTheme="minorEastAsia" w:hAnsiTheme="minorEastAsia" w:eastAsiaTheme="minorEastAsia"/>
          <w:bCs/>
          <w:sz w:val="24"/>
        </w:rPr>
        <w:t>底部</w:t>
      </w:r>
      <w:r>
        <w:rPr>
          <w:rFonts w:hint="eastAsia" w:asciiTheme="minorEastAsia" w:hAnsiTheme="minorEastAsia" w:eastAsiaTheme="minorEastAsia"/>
          <w:bCs/>
          <w:sz w:val="24"/>
        </w:rPr>
        <w:t>平稳</w:t>
      </w:r>
      <w:r>
        <w:rPr>
          <w:rFonts w:asciiTheme="minorEastAsia" w:hAnsiTheme="minorEastAsia" w:eastAsiaTheme="minorEastAsia"/>
          <w:bCs/>
          <w:sz w:val="24"/>
        </w:rPr>
        <w:t>。</w:t>
      </w:r>
      <w:r>
        <w:rPr>
          <w:rFonts w:hint="eastAsia" w:asciiTheme="minorEastAsia" w:hAnsiTheme="minorEastAsia" w:eastAsiaTheme="minorEastAsia"/>
          <w:bCs/>
          <w:sz w:val="24"/>
        </w:rPr>
        <w:t>轨座底部要求用混凝土充实，干透后，再加装不锈钢轨道护板。</w:t>
      </w:r>
    </w:p>
    <w:p>
      <w:pPr>
        <w:spacing w:line="360" w:lineRule="auto"/>
        <w:ind w:firstLine="240" w:firstLineChars="100"/>
        <w:rPr>
          <w:rFonts w:asciiTheme="minorEastAsia" w:hAnsiTheme="minorEastAsia" w:eastAsiaTheme="minorEastAsia"/>
          <w:bCs/>
          <w:sz w:val="24"/>
        </w:rPr>
      </w:pPr>
      <w:r>
        <w:rPr>
          <w:rFonts w:asciiTheme="minorEastAsia" w:hAnsiTheme="minorEastAsia" w:eastAsiaTheme="minorEastAsia"/>
          <w:sz w:val="24"/>
        </w:rPr>
        <w:t>4</w:t>
      </w:r>
      <w:r>
        <w:rPr>
          <w:rFonts w:hint="eastAsia" w:asciiTheme="minorEastAsia" w:hAnsiTheme="minorEastAsia" w:eastAsiaTheme="minorEastAsia"/>
          <w:sz w:val="24"/>
        </w:rPr>
        <w:t>.</w:t>
      </w:r>
      <w:r>
        <w:rPr>
          <w:rFonts w:hint="eastAsia" w:asciiTheme="minorEastAsia" w:hAnsiTheme="minorEastAsia" w:eastAsiaTheme="minorEastAsia"/>
          <w:bCs/>
          <w:sz w:val="24"/>
        </w:rPr>
        <w:t xml:space="preserve"> 边列须装有锁具，存取更安全。</w:t>
      </w:r>
    </w:p>
    <w:p>
      <w:pPr>
        <w:spacing w:line="360" w:lineRule="auto"/>
        <w:ind w:firstLine="240" w:firstLineChars="100"/>
        <w:rPr>
          <w:rFonts w:asciiTheme="minorEastAsia" w:hAnsiTheme="minorEastAsia" w:eastAsiaTheme="minorEastAsia"/>
          <w:bCs/>
          <w:sz w:val="24"/>
        </w:rPr>
      </w:pPr>
      <w:r>
        <w:rPr>
          <w:rFonts w:hint="eastAsia" w:asciiTheme="minorEastAsia" w:hAnsiTheme="minorEastAsia" w:eastAsiaTheme="minorEastAsia"/>
          <w:bCs/>
          <w:sz w:val="24"/>
        </w:rPr>
        <w:t>5. 密集架各列之间须装有磁性橡胶密封条。顶部防尘板，底部防鼠板和防倒钩，做到防火、防尘、防鼠、防光、防盗、防倾倒的功能。</w:t>
      </w:r>
    </w:p>
    <w:p>
      <w:pPr>
        <w:spacing w:line="360" w:lineRule="auto"/>
        <w:ind w:firstLine="241" w:firstLineChars="100"/>
        <w:rPr>
          <w:rFonts w:asciiTheme="minorEastAsia" w:hAnsiTheme="minorEastAsia" w:eastAsiaTheme="minorEastAsia"/>
          <w:bCs/>
          <w:sz w:val="24"/>
        </w:rPr>
      </w:pPr>
      <w:r>
        <w:rPr>
          <w:rFonts w:hint="eastAsia" w:asciiTheme="minorEastAsia" w:hAnsiTheme="minorEastAsia" w:eastAsiaTheme="minorEastAsia"/>
          <w:b/>
          <w:bCs/>
          <w:sz w:val="24"/>
        </w:rPr>
        <w:t>密集架</w:t>
      </w:r>
      <w:r>
        <w:rPr>
          <w:rFonts w:asciiTheme="minorEastAsia" w:hAnsiTheme="minorEastAsia" w:eastAsiaTheme="minorEastAsia"/>
          <w:b/>
          <w:bCs/>
          <w:sz w:val="24"/>
        </w:rPr>
        <w:t>具体标准</w:t>
      </w:r>
      <w:r>
        <w:rPr>
          <w:rFonts w:hint="eastAsia" w:asciiTheme="minorEastAsia" w:hAnsiTheme="minorEastAsia" w:eastAsiaTheme="minorEastAsia"/>
          <w:b/>
          <w:bCs/>
          <w:sz w:val="24"/>
        </w:rPr>
        <w:t>不低于</w:t>
      </w:r>
      <w:r>
        <w:rPr>
          <w:rFonts w:asciiTheme="minorEastAsia" w:hAnsiTheme="minorEastAsia" w:eastAsiaTheme="minorEastAsia"/>
          <w:b/>
          <w:bCs/>
          <w:sz w:val="24"/>
        </w:rPr>
        <w:t>下表</w:t>
      </w:r>
      <w:r>
        <w:rPr>
          <w:rFonts w:hint="eastAsia" w:asciiTheme="minorEastAsia" w:hAnsiTheme="minorEastAsia" w:eastAsiaTheme="minorEastAsia"/>
          <w:b/>
          <w:bCs/>
          <w:sz w:val="24"/>
        </w:rPr>
        <w:t>要求</w:t>
      </w:r>
      <w:r>
        <w:rPr>
          <w:rFonts w:hint="eastAsia" w:asciiTheme="minorEastAsia" w:hAnsiTheme="minorEastAsia" w:eastAsiaTheme="minorEastAsia"/>
          <w:bCs/>
          <w:sz w:val="24"/>
        </w:rPr>
        <w:t>：</w:t>
      </w:r>
    </w:p>
    <w:tbl>
      <w:tblPr>
        <w:tblStyle w:val="5"/>
        <w:tblW w:w="9073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992"/>
        <w:gridCol w:w="1276"/>
        <w:gridCol w:w="1539"/>
        <w:gridCol w:w="1296"/>
        <w:gridCol w:w="1128"/>
        <w:gridCol w:w="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6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b/>
                <w:sz w:val="18"/>
                <w:szCs w:val="18"/>
              </w:rPr>
              <w:t>序号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b/>
                <w:sz w:val="18"/>
                <w:szCs w:val="18"/>
              </w:rPr>
              <w:t>部件</w:t>
            </w:r>
          </w:p>
          <w:p>
            <w:pPr>
              <w:jc w:val="center"/>
              <w:rPr>
                <w:rFonts w:asciiTheme="minorEastAsia" w:hAnsiTheme="minorEastAsia" w:eastAsiaTheme="minorEastAsia"/>
                <w:b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b/>
                <w:sz w:val="18"/>
                <w:szCs w:val="18"/>
              </w:rPr>
              <w:t>名称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b/>
                <w:sz w:val="18"/>
                <w:szCs w:val="18"/>
              </w:rPr>
              <w:t>配置</w:t>
            </w:r>
          </w:p>
        </w:tc>
        <w:tc>
          <w:tcPr>
            <w:tcW w:w="1539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b/>
                <w:sz w:val="18"/>
                <w:szCs w:val="18"/>
              </w:rPr>
              <w:t>品牌型号</w:t>
            </w:r>
          </w:p>
        </w:tc>
        <w:tc>
          <w:tcPr>
            <w:tcW w:w="1296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b/>
                <w:sz w:val="18"/>
                <w:szCs w:val="18"/>
              </w:rPr>
              <w:t>采用标准</w:t>
            </w: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b/>
                <w:sz w:val="18"/>
                <w:szCs w:val="18"/>
              </w:rPr>
              <w:t>技术参数</w:t>
            </w:r>
          </w:p>
        </w:tc>
        <w:tc>
          <w:tcPr>
            <w:tcW w:w="2274" w:type="dxa"/>
            <w:gridSpan w:val="2"/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b/>
                <w:sz w:val="18"/>
                <w:szCs w:val="18"/>
              </w:rPr>
              <w:t>性能备注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1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底盘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底梁</w:t>
            </w:r>
          </w:p>
        </w:tc>
        <w:tc>
          <w:tcPr>
            <w:tcW w:w="1539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宝钢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冷轧钢板</w:t>
            </w:r>
          </w:p>
        </w:tc>
        <w:tc>
          <w:tcPr>
            <w:tcW w:w="1296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GB699-88</w:t>
            </w:r>
          </w:p>
        </w:tc>
        <w:tc>
          <w:tcPr>
            <w:tcW w:w="1128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δ=3.0</w:t>
            </w:r>
          </w:p>
        </w:tc>
        <w:tc>
          <w:tcPr>
            <w:tcW w:w="2274" w:type="dxa"/>
            <w:gridSpan w:val="2"/>
            <w:vMerge w:val="restart"/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底盘四周采用整体焊接，移动列底盘上装有防倾倒装置。（不采用挂板结构）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轴承档</w:t>
            </w:r>
          </w:p>
        </w:tc>
        <w:tc>
          <w:tcPr>
            <w:tcW w:w="1539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1296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112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2274" w:type="dxa"/>
            <w:gridSpan w:val="2"/>
            <w:vMerge w:val="continue"/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夹紧板</w:t>
            </w:r>
          </w:p>
        </w:tc>
        <w:tc>
          <w:tcPr>
            <w:tcW w:w="1539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1296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112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2274" w:type="dxa"/>
            <w:gridSpan w:val="2"/>
            <w:vMerge w:val="continue"/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轨道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轨道</w:t>
            </w:r>
          </w:p>
        </w:tc>
        <w:tc>
          <w:tcPr>
            <w:tcW w:w="1539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宝钢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不锈钢</w:t>
            </w:r>
          </w:p>
        </w:tc>
        <w:tc>
          <w:tcPr>
            <w:tcW w:w="1296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GB699-88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b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20×20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b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b/>
                <w:sz w:val="18"/>
                <w:szCs w:val="18"/>
              </w:rPr>
              <w:t>3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04不锈钢方钢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地轨座</w:t>
            </w:r>
          </w:p>
        </w:tc>
        <w:tc>
          <w:tcPr>
            <w:tcW w:w="1539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1296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δ=2.5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304不锈钢钢板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3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架体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立柱</w:t>
            </w:r>
          </w:p>
        </w:tc>
        <w:tc>
          <w:tcPr>
            <w:tcW w:w="1539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宝钢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冷轧钢板</w:t>
            </w:r>
          </w:p>
        </w:tc>
        <w:tc>
          <w:tcPr>
            <w:tcW w:w="129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GB710-88</w:t>
            </w:r>
          </w:p>
        </w:tc>
        <w:tc>
          <w:tcPr>
            <w:tcW w:w="1128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δ=1.5</w:t>
            </w:r>
          </w:p>
        </w:tc>
        <w:tc>
          <w:tcPr>
            <w:tcW w:w="2274" w:type="dxa"/>
            <w:gridSpan w:val="2"/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加筋工艺，结构结实、坚固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搁板</w:t>
            </w:r>
          </w:p>
        </w:tc>
        <w:tc>
          <w:tcPr>
            <w:tcW w:w="1539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宝钢          冷轧钢板</w:t>
            </w:r>
          </w:p>
        </w:tc>
        <w:tc>
          <w:tcPr>
            <w:tcW w:w="1296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GB710-88</w:t>
            </w:r>
          </w:p>
        </w:tc>
        <w:tc>
          <w:tcPr>
            <w:tcW w:w="1128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δ=1.2</w:t>
            </w:r>
          </w:p>
        </w:tc>
        <w:tc>
          <w:tcPr>
            <w:tcW w:w="2274" w:type="dxa"/>
            <w:gridSpan w:val="2"/>
            <w:vMerge w:val="restart"/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搁板加筋工艺，结构坚实坚固。钢性好，在双面搁板中间有分隔档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顶板</w:t>
            </w:r>
          </w:p>
        </w:tc>
        <w:tc>
          <w:tcPr>
            <w:tcW w:w="1539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1296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1128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δ=1.0</w:t>
            </w:r>
          </w:p>
        </w:tc>
        <w:tc>
          <w:tcPr>
            <w:tcW w:w="2274" w:type="dxa"/>
            <w:gridSpan w:val="2"/>
            <w:vMerge w:val="continue"/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书档</w:t>
            </w:r>
          </w:p>
        </w:tc>
        <w:tc>
          <w:tcPr>
            <w:tcW w:w="1539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1296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1128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δ=1.2</w:t>
            </w:r>
          </w:p>
        </w:tc>
        <w:tc>
          <w:tcPr>
            <w:tcW w:w="2274" w:type="dxa"/>
            <w:gridSpan w:val="2"/>
            <w:vMerge w:val="continue"/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挂板</w:t>
            </w:r>
          </w:p>
        </w:tc>
        <w:tc>
          <w:tcPr>
            <w:tcW w:w="1539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宝钢             冷轧钢板</w:t>
            </w:r>
          </w:p>
        </w:tc>
        <w:tc>
          <w:tcPr>
            <w:tcW w:w="129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GB710-88</w:t>
            </w:r>
          </w:p>
        </w:tc>
        <w:tc>
          <w:tcPr>
            <w:tcW w:w="1128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δ=1.2</w:t>
            </w:r>
          </w:p>
        </w:tc>
        <w:tc>
          <w:tcPr>
            <w:tcW w:w="2274" w:type="dxa"/>
            <w:gridSpan w:val="2"/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表面喷塑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封板</w:t>
            </w:r>
          </w:p>
        </w:tc>
        <w:tc>
          <w:tcPr>
            <w:tcW w:w="1539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宝钢          冷轧钢板</w:t>
            </w:r>
          </w:p>
        </w:tc>
        <w:tc>
          <w:tcPr>
            <w:tcW w:w="129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GB710-88</w:t>
            </w:r>
          </w:p>
        </w:tc>
        <w:tc>
          <w:tcPr>
            <w:tcW w:w="1128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δ=1.2</w:t>
            </w:r>
          </w:p>
        </w:tc>
        <w:tc>
          <w:tcPr>
            <w:tcW w:w="2274" w:type="dxa"/>
            <w:gridSpan w:val="2"/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68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面板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门板</w:t>
            </w:r>
          </w:p>
        </w:tc>
        <w:tc>
          <w:tcPr>
            <w:tcW w:w="1539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宝钢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冷轧钢板</w:t>
            </w:r>
          </w:p>
        </w:tc>
        <w:tc>
          <w:tcPr>
            <w:tcW w:w="129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GB710-88</w:t>
            </w:r>
          </w:p>
        </w:tc>
        <w:tc>
          <w:tcPr>
            <w:tcW w:w="1128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δ=1.2</w:t>
            </w:r>
          </w:p>
        </w:tc>
        <w:tc>
          <w:tcPr>
            <w:tcW w:w="2274" w:type="dxa"/>
            <w:gridSpan w:val="2"/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设计新型、门板平整、强度好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68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侧板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侧面板</w:t>
            </w:r>
          </w:p>
        </w:tc>
        <w:tc>
          <w:tcPr>
            <w:tcW w:w="1539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宝钢          冷轧钢板</w:t>
            </w:r>
          </w:p>
        </w:tc>
        <w:tc>
          <w:tcPr>
            <w:tcW w:w="129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GB710-88</w:t>
            </w:r>
          </w:p>
        </w:tc>
        <w:tc>
          <w:tcPr>
            <w:tcW w:w="1128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δ=1.0</w:t>
            </w:r>
          </w:p>
        </w:tc>
        <w:tc>
          <w:tcPr>
            <w:tcW w:w="2274" w:type="dxa"/>
            <w:gridSpan w:val="2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采用三段拼接工艺、上下灰色，中段蓝色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68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6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传动机构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传动轴</w:t>
            </w:r>
          </w:p>
        </w:tc>
        <w:tc>
          <w:tcPr>
            <w:tcW w:w="1539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宝钢45#钢</w:t>
            </w:r>
          </w:p>
        </w:tc>
        <w:tc>
          <w:tcPr>
            <w:tcW w:w="129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GB699</w:t>
            </w:r>
          </w:p>
        </w:tc>
        <w:tc>
          <w:tcPr>
            <w:tcW w:w="1128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Φ20</w:t>
            </w:r>
          </w:p>
        </w:tc>
        <w:tc>
          <w:tcPr>
            <w:tcW w:w="2274" w:type="dxa"/>
            <w:gridSpan w:val="2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实心轴，双轴中枢传动结构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68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7</w:t>
            </w:r>
          </w:p>
        </w:tc>
        <w:tc>
          <w:tcPr>
            <w:tcW w:w="99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连接钢管</w:t>
            </w:r>
          </w:p>
        </w:tc>
        <w:tc>
          <w:tcPr>
            <w:tcW w:w="1539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宝钢</w:t>
            </w:r>
          </w:p>
        </w:tc>
        <w:tc>
          <w:tcPr>
            <w:tcW w:w="129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GB699</w:t>
            </w:r>
          </w:p>
        </w:tc>
        <w:tc>
          <w:tcPr>
            <w:tcW w:w="1128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Φ30*2.5</w:t>
            </w:r>
          </w:p>
        </w:tc>
        <w:tc>
          <w:tcPr>
            <w:tcW w:w="2274" w:type="dxa"/>
            <w:gridSpan w:val="2"/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无缝钢管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68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8</w:t>
            </w:r>
          </w:p>
        </w:tc>
        <w:tc>
          <w:tcPr>
            <w:tcW w:w="992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铁滚轮</w:t>
            </w:r>
          </w:p>
        </w:tc>
        <w:tc>
          <w:tcPr>
            <w:tcW w:w="1539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国内优质</w:t>
            </w:r>
          </w:p>
        </w:tc>
        <w:tc>
          <w:tcPr>
            <w:tcW w:w="1296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GB9439-88</w:t>
            </w:r>
          </w:p>
        </w:tc>
        <w:tc>
          <w:tcPr>
            <w:tcW w:w="1128" w:type="dxa"/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Φ120</w:t>
            </w:r>
          </w:p>
        </w:tc>
        <w:tc>
          <w:tcPr>
            <w:tcW w:w="2274" w:type="dxa"/>
            <w:gridSpan w:val="2"/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高强度铸铁、发黑</w:t>
            </w:r>
          </w:p>
        </w:tc>
      </w:tr>
    </w:tbl>
    <w:p>
      <w:pPr>
        <w:spacing w:line="360" w:lineRule="auto"/>
        <w:rPr>
          <w:rFonts w:asciiTheme="minorEastAsia" w:hAnsiTheme="minorEastAsia" w:eastAsiaTheme="minorEastAsia"/>
          <w:bCs/>
          <w:sz w:val="24"/>
        </w:rPr>
      </w:pPr>
    </w:p>
    <w:p>
      <w:pPr>
        <w:spacing w:line="360" w:lineRule="auto"/>
        <w:ind w:firstLine="241" w:firstLineChars="100"/>
        <w:rPr>
          <w:rFonts w:cs="仿宋"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（三）密集架</w:t>
      </w:r>
      <w:r>
        <w:rPr>
          <w:rFonts w:hint="eastAsia" w:cs="仿宋" w:asciiTheme="minorEastAsia" w:hAnsiTheme="minorEastAsia" w:eastAsiaTheme="minorEastAsia"/>
          <w:b/>
          <w:sz w:val="24"/>
        </w:rPr>
        <w:t>采购数量</w:t>
      </w:r>
    </w:p>
    <w:p>
      <w:pPr>
        <w:spacing w:line="360" w:lineRule="auto"/>
        <w:ind w:firstLine="480"/>
        <w:rPr>
          <w:rFonts w:cs="仿宋" w:asciiTheme="minorEastAsia" w:hAnsiTheme="minorEastAsia" w:eastAsiaTheme="minorEastAsia"/>
          <w:sz w:val="24"/>
        </w:rPr>
      </w:pPr>
      <w:r>
        <w:rPr>
          <w:rFonts w:hint="eastAsia" w:cs="仿宋" w:asciiTheme="minorEastAsia" w:hAnsiTheme="minorEastAsia" w:eastAsiaTheme="minorEastAsia"/>
          <w:sz w:val="24"/>
        </w:rPr>
        <w:t>数量 ：不少于13列，</w:t>
      </w:r>
      <w:r>
        <w:rPr>
          <w:rFonts w:cs="仿宋" w:asciiTheme="minorEastAsia" w:hAnsiTheme="minorEastAsia" w:eastAsiaTheme="minorEastAsia"/>
          <w:sz w:val="24"/>
        </w:rPr>
        <w:t>排架长度需尽量满足</w:t>
      </w:r>
      <w:r>
        <w:rPr>
          <w:rFonts w:hint="eastAsia" w:cs="仿宋" w:asciiTheme="minorEastAsia" w:hAnsiTheme="minorEastAsia" w:eastAsiaTheme="minorEastAsia"/>
          <w:sz w:val="24"/>
        </w:rPr>
        <w:t>学校学生</w:t>
      </w:r>
      <w:r>
        <w:rPr>
          <w:rFonts w:cs="仿宋" w:asciiTheme="minorEastAsia" w:hAnsiTheme="minorEastAsia" w:eastAsiaTheme="minorEastAsia"/>
          <w:sz w:val="24"/>
        </w:rPr>
        <w:t>档案数量所需。</w:t>
      </w:r>
    </w:p>
    <w:p>
      <w:pPr>
        <w:spacing w:line="360" w:lineRule="auto"/>
        <w:ind w:firstLine="480"/>
        <w:rPr>
          <w:rFonts w:cs="仿宋" w:asciiTheme="minorEastAsia" w:hAnsiTheme="minorEastAsia" w:eastAsiaTheme="minorEastAsia"/>
          <w:sz w:val="24"/>
        </w:rPr>
      </w:pPr>
      <w:r>
        <w:rPr>
          <w:rFonts w:hint="eastAsia" w:cs="仿宋" w:asciiTheme="minorEastAsia" w:hAnsiTheme="minorEastAsia" w:eastAsiaTheme="minorEastAsia"/>
          <w:sz w:val="24"/>
        </w:rPr>
        <w:t>单列规格： 5770mm（长）*580mm（列宽）*2400mm（高度）*6节型（预估）。</w:t>
      </w:r>
    </w:p>
    <w:p>
      <w:pPr>
        <w:spacing w:line="360" w:lineRule="auto"/>
        <w:rPr>
          <w:rFonts w:cs="仿宋" w:asciiTheme="minorEastAsia" w:hAnsiTheme="minorEastAsia" w:eastAsiaTheme="minorEastAsia"/>
          <w:b/>
          <w:sz w:val="24"/>
        </w:rPr>
      </w:pPr>
    </w:p>
    <w:p>
      <w:pPr>
        <w:spacing w:line="360" w:lineRule="auto"/>
        <w:ind w:firstLine="241" w:firstLineChars="100"/>
        <w:rPr>
          <w:rFonts w:cs="仿宋" w:asciiTheme="minorEastAsia" w:hAnsiTheme="minorEastAsia" w:eastAsiaTheme="minorEastAsia"/>
          <w:b/>
          <w:sz w:val="24"/>
        </w:rPr>
      </w:pPr>
      <w:r>
        <w:rPr>
          <w:rFonts w:hint="eastAsia" w:cs="仿宋" w:asciiTheme="minorEastAsia" w:hAnsiTheme="minorEastAsia" w:eastAsiaTheme="minorEastAsia"/>
          <w:b/>
          <w:sz w:val="24"/>
        </w:rPr>
        <w:t>（四）其他</w:t>
      </w:r>
    </w:p>
    <w:p>
      <w:pPr>
        <w:spacing w:line="360" w:lineRule="auto"/>
        <w:ind w:firstLine="48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1. 库房密集架设计</w:t>
      </w:r>
      <w:r>
        <w:rPr>
          <w:rFonts w:asciiTheme="minorEastAsia" w:hAnsiTheme="minorEastAsia" w:eastAsiaTheme="minorEastAsia"/>
          <w:sz w:val="24"/>
        </w:rPr>
        <w:t>需预留</w:t>
      </w:r>
      <w:r>
        <w:rPr>
          <w:rFonts w:hint="eastAsia" w:asciiTheme="minorEastAsia" w:hAnsiTheme="minorEastAsia" w:eastAsiaTheme="minorEastAsia"/>
          <w:sz w:val="24"/>
        </w:rPr>
        <w:t>约20平米</w:t>
      </w:r>
      <w:r>
        <w:rPr>
          <w:rFonts w:asciiTheme="minorEastAsia" w:hAnsiTheme="minorEastAsia" w:eastAsiaTheme="minorEastAsia"/>
          <w:sz w:val="24"/>
        </w:rPr>
        <w:t>办公</w:t>
      </w:r>
      <w:r>
        <w:rPr>
          <w:rFonts w:hint="eastAsia" w:asciiTheme="minorEastAsia" w:hAnsiTheme="minorEastAsia" w:eastAsiaTheme="minorEastAsia"/>
          <w:sz w:val="24"/>
        </w:rPr>
        <w:t>区域</w:t>
      </w:r>
      <w:r>
        <w:rPr>
          <w:rFonts w:asciiTheme="minorEastAsia" w:hAnsiTheme="minorEastAsia" w:eastAsiaTheme="minorEastAsia"/>
          <w:sz w:val="24"/>
        </w:rPr>
        <w:t>。</w:t>
      </w:r>
    </w:p>
    <w:p>
      <w:pPr>
        <w:spacing w:line="360" w:lineRule="auto"/>
        <w:ind w:firstLine="480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t>2</w:t>
      </w:r>
      <w:r>
        <w:rPr>
          <w:rFonts w:hint="eastAsia" w:asciiTheme="minorEastAsia" w:hAnsiTheme="minorEastAsia" w:eastAsiaTheme="minorEastAsia"/>
          <w:sz w:val="24"/>
        </w:rPr>
        <w:t>.</w:t>
      </w:r>
      <w:r>
        <w:rPr>
          <w:rFonts w:asciiTheme="minorEastAsia" w:hAnsiTheme="minorEastAsia" w:eastAsiaTheme="minorEastAsia"/>
          <w:sz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</w:rPr>
        <w:t>安装</w:t>
      </w:r>
      <w:r>
        <w:rPr>
          <w:rFonts w:asciiTheme="minorEastAsia" w:hAnsiTheme="minorEastAsia" w:eastAsiaTheme="minorEastAsia"/>
          <w:sz w:val="24"/>
        </w:rPr>
        <w:t>完毕后</w:t>
      </w:r>
      <w:r>
        <w:rPr>
          <w:rFonts w:hint="eastAsia" w:asciiTheme="minorEastAsia" w:hAnsiTheme="minorEastAsia" w:eastAsiaTheme="minorEastAsia"/>
          <w:sz w:val="24"/>
        </w:rPr>
        <w:t>，</w:t>
      </w:r>
      <w:r>
        <w:rPr>
          <w:rFonts w:asciiTheme="minorEastAsia" w:hAnsiTheme="minorEastAsia" w:eastAsiaTheme="minorEastAsia"/>
          <w:sz w:val="24"/>
        </w:rPr>
        <w:t>须负责对档案库房进行</w:t>
      </w:r>
      <w:r>
        <w:rPr>
          <w:rFonts w:hint="eastAsia" w:asciiTheme="minorEastAsia" w:hAnsiTheme="minorEastAsia" w:eastAsiaTheme="minorEastAsia"/>
          <w:sz w:val="24"/>
        </w:rPr>
        <w:t>整体</w:t>
      </w:r>
      <w:r>
        <w:rPr>
          <w:rFonts w:asciiTheme="minorEastAsia" w:hAnsiTheme="minorEastAsia" w:eastAsiaTheme="minorEastAsia"/>
          <w:sz w:val="24"/>
        </w:rPr>
        <w:t>清扫</w:t>
      </w:r>
      <w:r>
        <w:rPr>
          <w:rFonts w:hint="eastAsia" w:asciiTheme="minorEastAsia" w:hAnsiTheme="minorEastAsia" w:eastAsiaTheme="minorEastAsia"/>
          <w:sz w:val="24"/>
        </w:rPr>
        <w:t>，</w:t>
      </w:r>
      <w:r>
        <w:rPr>
          <w:rFonts w:asciiTheme="minorEastAsia" w:hAnsiTheme="minorEastAsia" w:eastAsiaTheme="minorEastAsia"/>
          <w:sz w:val="24"/>
        </w:rPr>
        <w:t>确保验收时库房环境干净整洁。</w:t>
      </w:r>
    </w:p>
    <w:p>
      <w:pPr>
        <w:spacing w:line="360" w:lineRule="auto"/>
        <w:ind w:firstLine="480"/>
        <w:rPr>
          <w:rFonts w:asciiTheme="minorEastAsia" w:hAnsiTheme="minorEastAsia" w:eastAsiaTheme="minorEastAsia"/>
          <w:sz w:val="24"/>
        </w:rPr>
      </w:pPr>
    </w:p>
    <w:p>
      <w:pPr>
        <w:spacing w:line="360" w:lineRule="auto"/>
        <w:ind w:firstLine="480"/>
        <w:rPr>
          <w:rFonts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说明：以上数量与要求供报价用，设计、</w:t>
      </w:r>
      <w:r>
        <w:rPr>
          <w:rFonts w:asciiTheme="minorEastAsia" w:hAnsiTheme="minorEastAsia" w:eastAsiaTheme="minorEastAsia"/>
          <w:b/>
          <w:sz w:val="24"/>
        </w:rPr>
        <w:t>工程</w:t>
      </w:r>
      <w:r>
        <w:rPr>
          <w:rFonts w:hint="eastAsia" w:asciiTheme="minorEastAsia" w:hAnsiTheme="minorEastAsia" w:eastAsiaTheme="minorEastAsia"/>
          <w:b/>
          <w:sz w:val="24"/>
        </w:rPr>
        <w:t>、清洁</w:t>
      </w:r>
      <w:r>
        <w:rPr>
          <w:rFonts w:asciiTheme="minorEastAsia" w:hAnsiTheme="minorEastAsia" w:eastAsiaTheme="minorEastAsia"/>
          <w:b/>
          <w:sz w:val="24"/>
        </w:rPr>
        <w:t>等费用</w:t>
      </w:r>
      <w:r>
        <w:rPr>
          <w:rFonts w:hint="eastAsia" w:asciiTheme="minorEastAsia" w:hAnsiTheme="minorEastAsia" w:eastAsiaTheme="minorEastAsia"/>
          <w:b/>
          <w:sz w:val="24"/>
        </w:rPr>
        <w:t>须</w:t>
      </w:r>
      <w:r>
        <w:rPr>
          <w:rFonts w:asciiTheme="minorEastAsia" w:hAnsiTheme="minorEastAsia" w:eastAsiaTheme="minorEastAsia"/>
          <w:b/>
          <w:sz w:val="24"/>
        </w:rPr>
        <w:t>一并考虑</w:t>
      </w:r>
      <w:r>
        <w:rPr>
          <w:rFonts w:hint="eastAsia" w:asciiTheme="minorEastAsia" w:hAnsiTheme="minorEastAsia" w:eastAsiaTheme="minorEastAsia"/>
          <w:b/>
          <w:sz w:val="24"/>
        </w:rPr>
        <w:t>纳入</w:t>
      </w:r>
      <w:r>
        <w:rPr>
          <w:rFonts w:asciiTheme="minorEastAsia" w:hAnsiTheme="minorEastAsia" w:eastAsiaTheme="minorEastAsia"/>
          <w:b/>
          <w:sz w:val="24"/>
        </w:rPr>
        <w:t>。</w:t>
      </w:r>
    </w:p>
    <w:p>
      <w:pPr>
        <w:spacing w:line="360" w:lineRule="auto"/>
        <w:ind w:firstLine="480"/>
        <w:rPr>
          <w:rFonts w:asciiTheme="minorEastAsia" w:hAnsiTheme="minorEastAsia" w:eastAsiaTheme="minorEastAsia"/>
          <w:sz w:val="24"/>
        </w:rPr>
      </w:pPr>
    </w:p>
    <w:p>
      <w:pPr>
        <w:spacing w:line="360" w:lineRule="auto"/>
        <w:rPr>
          <w:rFonts w:asciiTheme="minorEastAsia" w:hAnsiTheme="minorEastAsia" w:eastAsiaTheme="minorEastAsia"/>
          <w:b/>
          <w:sz w:val="24"/>
          <w:highlight w:val="yellow"/>
        </w:rPr>
      </w:pPr>
      <w:r>
        <w:rPr>
          <w:rFonts w:hint="eastAsia" w:asciiTheme="minorEastAsia" w:hAnsiTheme="minorEastAsia" w:eastAsiaTheme="minorEastAsia"/>
          <w:b/>
          <w:sz w:val="24"/>
          <w:highlight w:val="yellow"/>
        </w:rPr>
        <w:t>三、付款方式</w:t>
      </w:r>
    </w:p>
    <w:p>
      <w:pPr>
        <w:ind w:firstLine="480"/>
        <w:rPr>
          <w:rFonts w:hint="default" w:asciiTheme="minorEastAsia" w:hAnsiTheme="minorEastAsia" w:eastAsiaTheme="minorEastAsia"/>
          <w:sz w:val="24"/>
        </w:rPr>
      </w:pPr>
      <w:r>
        <w:rPr>
          <w:rFonts w:hint="default" w:asciiTheme="minorEastAsia" w:hAnsiTheme="minorEastAsia" w:eastAsiaTheme="minorEastAsia"/>
          <w:sz w:val="24"/>
        </w:rPr>
        <w:t>合同内所有</w:t>
      </w:r>
      <w:r>
        <w:rPr>
          <w:rFonts w:hint="default" w:asciiTheme="minorEastAsia" w:hAnsiTheme="minorEastAsia" w:eastAsiaTheme="minorEastAsia"/>
          <w:sz w:val="24"/>
          <w:lang w:val="en-US" w:eastAsia="zh-CN"/>
        </w:rPr>
        <w:t>产品</w:t>
      </w:r>
      <w:r>
        <w:rPr>
          <w:rFonts w:hint="default" w:asciiTheme="minorEastAsia" w:hAnsiTheme="minorEastAsia" w:eastAsiaTheme="minorEastAsia"/>
          <w:sz w:val="24"/>
        </w:rPr>
        <w:t>及相应发票由乙方运送到甲方指定地点，经乙方派专人上门安装调试，并经甲方对合同内货物全部验收合格后30日内，甲方应向乙方一次性支付全部合同款项。合同内全部款项均以“银行转账”方式予以支付。</w:t>
      </w:r>
    </w:p>
    <w:p>
      <w:pPr>
        <w:spacing w:line="360" w:lineRule="auto"/>
        <w:ind w:firstLine="0"/>
        <w:rPr>
          <w:rFonts w:asciiTheme="minorEastAsia" w:hAnsiTheme="minorEastAsia" w:eastAsiaTheme="minorEastAsia"/>
          <w:sz w:val="24"/>
        </w:rPr>
      </w:pPr>
    </w:p>
    <w:p>
      <w:pPr>
        <w:spacing w:line="360" w:lineRule="auto"/>
        <w:rPr>
          <w:rFonts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四、交货期及交货地点</w:t>
      </w:r>
    </w:p>
    <w:p>
      <w:pPr>
        <w:spacing w:line="360" w:lineRule="auto"/>
        <w:ind w:firstLine="240" w:firstLineChars="1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1.要求中标单位于合同签订之日起30日内向乙方交货并完成所有安装工作。</w:t>
      </w:r>
    </w:p>
    <w:p>
      <w:pPr>
        <w:spacing w:line="360" w:lineRule="auto"/>
        <w:ind w:firstLine="240" w:firstLineChars="1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2.安装地点为：上海海事大学临港校区图书馆</w:t>
      </w:r>
      <w:r>
        <w:rPr>
          <w:rFonts w:asciiTheme="minorEastAsia" w:hAnsiTheme="minorEastAsia" w:eastAsiaTheme="minorEastAsia"/>
          <w:sz w:val="24"/>
        </w:rPr>
        <w:t>A107</w:t>
      </w:r>
      <w:r>
        <w:rPr>
          <w:rFonts w:hint="eastAsia" w:asciiTheme="minorEastAsia" w:hAnsiTheme="minorEastAsia" w:eastAsiaTheme="minorEastAsia"/>
          <w:sz w:val="24"/>
        </w:rPr>
        <w:t>旁（档案馆库房）</w:t>
      </w:r>
    </w:p>
    <w:p>
      <w:pPr>
        <w:spacing w:line="360" w:lineRule="auto"/>
        <w:rPr>
          <w:rFonts w:asciiTheme="minorEastAsia" w:hAnsiTheme="minorEastAsia" w:eastAsiaTheme="minorEastAsia"/>
          <w:sz w:val="24"/>
        </w:rPr>
      </w:pPr>
    </w:p>
    <w:p>
      <w:pPr>
        <w:spacing w:line="360" w:lineRule="auto"/>
        <w:rPr>
          <w:rFonts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五、质保期及售后服务要求</w:t>
      </w:r>
    </w:p>
    <w:p>
      <w:pPr>
        <w:spacing w:line="360" w:lineRule="auto"/>
        <w:ind w:firstLine="240" w:firstLineChars="1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须提供不少于5年的质保及售后服务，售后服务须响应及时。</w:t>
      </w:r>
    </w:p>
    <w:p>
      <w:pPr>
        <w:spacing w:line="360" w:lineRule="auto"/>
        <w:rPr>
          <w:rFonts w:asciiTheme="minorEastAsia" w:hAnsiTheme="minorEastAsia" w:eastAsiaTheme="minorEastAsia"/>
          <w:b/>
          <w:sz w:val="24"/>
        </w:rPr>
      </w:pPr>
    </w:p>
    <w:p>
      <w:pPr>
        <w:spacing w:line="360" w:lineRule="auto"/>
        <w:rPr>
          <w:rFonts w:asciiTheme="minorEastAsia" w:hAnsiTheme="minorEastAsia" w:eastAsiaTheme="minorEastAsia"/>
          <w:b/>
          <w:sz w:val="24"/>
        </w:rPr>
      </w:pPr>
      <w:r>
        <w:rPr>
          <w:rFonts w:hint="eastAsia" w:asciiTheme="minorEastAsia" w:hAnsiTheme="minorEastAsia" w:eastAsiaTheme="minorEastAsia"/>
          <w:b/>
          <w:sz w:val="24"/>
        </w:rPr>
        <w:t>六、其他说明</w:t>
      </w:r>
    </w:p>
    <w:p>
      <w:pPr>
        <w:spacing w:line="360" w:lineRule="auto"/>
        <w:ind w:firstLine="360" w:firstLineChars="150"/>
        <w:rPr>
          <w:rFonts w:ascii="宋体"/>
          <w:sz w:val="24"/>
        </w:rPr>
      </w:pP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.所提供的业绩案例中，有承接过临港地区库房类似项目并获好评的供应商予以加分并</w:t>
      </w:r>
      <w:r>
        <w:rPr>
          <w:rFonts w:ascii="宋体" w:hAnsi="宋体"/>
          <w:sz w:val="24"/>
        </w:rPr>
        <w:t>优先</w:t>
      </w:r>
      <w:r>
        <w:rPr>
          <w:rFonts w:hint="eastAsia" w:ascii="宋体" w:hAnsi="宋体"/>
          <w:sz w:val="24"/>
        </w:rPr>
        <w:t>考虑。</w:t>
      </w:r>
    </w:p>
    <w:p>
      <w:pPr>
        <w:spacing w:line="360" w:lineRule="auto"/>
        <w:ind w:firstLine="360" w:firstLineChars="15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2.</w:t>
      </w:r>
      <w:r>
        <w:rPr>
          <w:rFonts w:hint="eastAsia" w:ascii="宋体" w:hAnsi="宋体"/>
          <w:sz w:val="24"/>
        </w:rPr>
        <w:t>供应商在上海地区，</w:t>
      </w:r>
      <w:r>
        <w:rPr>
          <w:rFonts w:ascii="宋体" w:hAnsi="宋体"/>
          <w:sz w:val="24"/>
        </w:rPr>
        <w:t>且</w:t>
      </w:r>
      <w:r>
        <w:rPr>
          <w:rFonts w:hint="eastAsia" w:ascii="宋体" w:hAnsi="宋体"/>
          <w:sz w:val="24"/>
        </w:rPr>
        <w:t>经营</w:t>
      </w:r>
      <w:r>
        <w:rPr>
          <w:rFonts w:ascii="宋体" w:hAnsi="宋体"/>
          <w:sz w:val="24"/>
        </w:rPr>
        <w:t>年限</w:t>
      </w:r>
      <w:r>
        <w:rPr>
          <w:rFonts w:hint="eastAsia" w:ascii="宋体" w:hAnsi="宋体"/>
          <w:sz w:val="24"/>
        </w:rPr>
        <w:t>满10</w:t>
      </w:r>
      <w:r>
        <w:rPr>
          <w:rFonts w:ascii="宋体" w:hAnsi="宋体"/>
          <w:sz w:val="24"/>
        </w:rPr>
        <w:t>年</w:t>
      </w:r>
      <w:r>
        <w:rPr>
          <w:rFonts w:hint="eastAsia" w:ascii="宋体" w:hAnsi="宋体"/>
          <w:sz w:val="24"/>
        </w:rPr>
        <w:t>以上的予以加分</w:t>
      </w:r>
      <w:r>
        <w:rPr>
          <w:rFonts w:ascii="宋体" w:hAnsi="宋体"/>
          <w:sz w:val="24"/>
        </w:rPr>
        <w:t>并</w:t>
      </w:r>
      <w:r>
        <w:rPr>
          <w:rFonts w:hint="eastAsia" w:ascii="宋体" w:hAnsi="宋体"/>
          <w:sz w:val="24"/>
        </w:rPr>
        <w:t>优先考虑。</w:t>
      </w: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240" w:lineRule="auto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br w:type="page"/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b/>
          <w:sz w:val="24"/>
        </w:rPr>
        <w:t>附件</w:t>
      </w:r>
      <w:r>
        <w:rPr>
          <w:rFonts w:ascii="宋体" w:hAnsi="宋体"/>
          <w:sz w:val="24"/>
        </w:rPr>
        <w:t>：库房平面图与实景图</w:t>
      </w:r>
      <w:r>
        <w:rPr>
          <w:rFonts w:hint="eastAsia" w:ascii="宋体" w:hAnsi="宋体"/>
          <w:sz w:val="24"/>
        </w:rPr>
        <w:t>（考虑</w:t>
      </w:r>
      <w:r>
        <w:rPr>
          <w:rFonts w:ascii="宋体" w:hAnsi="宋体"/>
          <w:sz w:val="24"/>
        </w:rPr>
        <w:t>疫情等原因，此次招标</w:t>
      </w:r>
      <w:r>
        <w:rPr>
          <w:rFonts w:hint="eastAsia" w:ascii="宋体" w:hAnsi="宋体"/>
          <w:sz w:val="24"/>
        </w:rPr>
        <w:t>不安排现场</w:t>
      </w:r>
      <w:r>
        <w:rPr>
          <w:rFonts w:ascii="宋体" w:hAnsi="宋体"/>
          <w:sz w:val="24"/>
        </w:rPr>
        <w:t>询标，仅提供场地平面图与实景图供参考</w:t>
      </w:r>
      <w:r>
        <w:rPr>
          <w:rFonts w:hint="eastAsia" w:ascii="宋体" w:hAnsi="宋体"/>
          <w:sz w:val="24"/>
        </w:rPr>
        <w:t>）</w:t>
      </w:r>
    </w:p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平面图</w:t>
      </w:r>
    </w:p>
    <w:p>
      <w:pPr>
        <w:spacing w:line="360" w:lineRule="auto"/>
        <w:jc w:val="center"/>
        <w:rPr>
          <w:rFonts w:ascii="宋体" w:hAnsi="宋体"/>
          <w:b/>
          <w:sz w:val="24"/>
        </w:rPr>
      </w:pPr>
    </w:p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drawing>
          <wp:inline distT="0" distB="0" distL="0" distR="0">
            <wp:extent cx="5274310" cy="2982595"/>
            <wp:effectExtent l="0" t="0" r="2540" b="8255"/>
            <wp:docPr id="6" name="图片 6" descr="E:\采购及报销\2022库房\库房平面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采购及报销\2022库房\库房平面图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b/>
          <w:sz w:val="24"/>
        </w:rPr>
      </w:pPr>
    </w:p>
    <w:p>
      <w:pPr>
        <w:spacing w:line="360" w:lineRule="auto"/>
        <w:jc w:val="center"/>
        <w:rPr>
          <w:rFonts w:ascii="宋体" w:hAnsi="宋体"/>
          <w:b/>
          <w:sz w:val="24"/>
        </w:rPr>
      </w:pPr>
    </w:p>
    <w:p>
      <w:pPr>
        <w:spacing w:line="360" w:lineRule="auto"/>
        <w:jc w:val="center"/>
        <w:rPr>
          <w:rFonts w:hint="eastAsia" w:ascii="宋体" w:hAnsi="宋体"/>
          <w:b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74310" cy="2984500"/>
            <wp:effectExtent l="0" t="0" r="2540" b="6350"/>
            <wp:docPr id="5" name="图片 5" descr="E:\采购及报销\2022库房\库房平面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采购及报销\2022库房\库房平面图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实景图</w:t>
      </w:r>
    </w:p>
    <w:p>
      <w:pPr>
        <w:spacing w:line="360" w:lineRule="auto"/>
        <w:rPr>
          <w:rFonts w:ascii="宋体"/>
          <w:sz w:val="24"/>
        </w:rPr>
      </w:pPr>
      <w:r>
        <w:rPr>
          <w:rFonts w:ascii="宋体"/>
          <w:sz w:val="24"/>
        </w:rPr>
        <w:drawing>
          <wp:inline distT="0" distB="0" distL="0" distR="0">
            <wp:extent cx="5274310" cy="3955415"/>
            <wp:effectExtent l="0" t="0" r="2540" b="6985"/>
            <wp:docPr id="1" name="图片 1" descr="E:\采购及报销\2022库房\库房实景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采购及报销\2022库房\库房实景图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/>
          <w:sz w:val="24"/>
        </w:rPr>
      </w:pPr>
    </w:p>
    <w:p>
      <w:pPr>
        <w:spacing w:line="360" w:lineRule="auto"/>
        <w:rPr>
          <w:rFonts w:ascii="宋体"/>
          <w:sz w:val="24"/>
        </w:rPr>
      </w:pPr>
      <w:r>
        <w:rPr>
          <w:rFonts w:ascii="宋体"/>
          <w:sz w:val="24"/>
        </w:rPr>
        <w:drawing>
          <wp:inline distT="0" distB="0" distL="0" distR="0">
            <wp:extent cx="5274310" cy="3955415"/>
            <wp:effectExtent l="0" t="0" r="2540" b="6985"/>
            <wp:docPr id="2" name="图片 2" descr="E:\采购及报销\2022库房\库房实景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采购及报销\2022库房\库房实景图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/>
          <w:sz w:val="24"/>
        </w:rPr>
      </w:pPr>
      <w:r>
        <w:rPr>
          <w:rFonts w:ascii="宋体"/>
          <w:sz w:val="24"/>
        </w:rPr>
        <w:drawing>
          <wp:inline distT="0" distB="0" distL="0" distR="0">
            <wp:extent cx="5274310" cy="3955415"/>
            <wp:effectExtent l="0" t="0" r="2540" b="6985"/>
            <wp:docPr id="3" name="图片 3" descr="E:\采购及报销\2022库房\库房实景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采购及报销\2022库房\库房实景图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/>
          <w:sz w:val="24"/>
        </w:rPr>
      </w:pPr>
      <w:r>
        <w:rPr>
          <w:rFonts w:ascii="宋体"/>
          <w:sz w:val="24"/>
        </w:rPr>
        <w:drawing>
          <wp:inline distT="0" distB="0" distL="0" distR="0">
            <wp:extent cx="3490595" cy="4643120"/>
            <wp:effectExtent l="0" t="0" r="0" b="5080"/>
            <wp:docPr id="4" name="图片 4" descr="E:\采购及报销\2022库房\库房实景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采购及报销\2022库房\库房实景图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7805" cy="46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书宋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D24F7F"/>
    <w:multiLevelType w:val="multilevel"/>
    <w:tmpl w:val="15D24F7F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QzMjJjYTEzYzEzMjVjOGIxYWQwMTc0ZTUwZGE2YjIifQ=="/>
  </w:docVars>
  <w:rsids>
    <w:rsidRoot w:val="00212282"/>
    <w:rsid w:val="000137F4"/>
    <w:rsid w:val="00017C75"/>
    <w:rsid w:val="0004125C"/>
    <w:rsid w:val="00063A54"/>
    <w:rsid w:val="00083B66"/>
    <w:rsid w:val="000B6AA9"/>
    <w:rsid w:val="000C3E3C"/>
    <w:rsid w:val="00165DFA"/>
    <w:rsid w:val="00175F69"/>
    <w:rsid w:val="001D1EFA"/>
    <w:rsid w:val="00212282"/>
    <w:rsid w:val="0025726C"/>
    <w:rsid w:val="00281B20"/>
    <w:rsid w:val="002F0AB2"/>
    <w:rsid w:val="003019EB"/>
    <w:rsid w:val="003869F8"/>
    <w:rsid w:val="003B0976"/>
    <w:rsid w:val="003C479A"/>
    <w:rsid w:val="003D6E10"/>
    <w:rsid w:val="0040725A"/>
    <w:rsid w:val="00430CA7"/>
    <w:rsid w:val="004341E8"/>
    <w:rsid w:val="00437319"/>
    <w:rsid w:val="004523E7"/>
    <w:rsid w:val="00476770"/>
    <w:rsid w:val="00491FF0"/>
    <w:rsid w:val="004971C1"/>
    <w:rsid w:val="00497D98"/>
    <w:rsid w:val="00555503"/>
    <w:rsid w:val="00572970"/>
    <w:rsid w:val="00577807"/>
    <w:rsid w:val="0059394B"/>
    <w:rsid w:val="005A0FE5"/>
    <w:rsid w:val="005C2026"/>
    <w:rsid w:val="005D66BF"/>
    <w:rsid w:val="00611C25"/>
    <w:rsid w:val="0065572D"/>
    <w:rsid w:val="00661C6B"/>
    <w:rsid w:val="006752A6"/>
    <w:rsid w:val="006825C2"/>
    <w:rsid w:val="006932AE"/>
    <w:rsid w:val="006E2A0A"/>
    <w:rsid w:val="00704932"/>
    <w:rsid w:val="007367A7"/>
    <w:rsid w:val="00744B77"/>
    <w:rsid w:val="00780343"/>
    <w:rsid w:val="00791D87"/>
    <w:rsid w:val="007D7185"/>
    <w:rsid w:val="00823AD3"/>
    <w:rsid w:val="00824131"/>
    <w:rsid w:val="00837081"/>
    <w:rsid w:val="00847455"/>
    <w:rsid w:val="008500F8"/>
    <w:rsid w:val="00860AF5"/>
    <w:rsid w:val="00887BEF"/>
    <w:rsid w:val="008F1D3A"/>
    <w:rsid w:val="00910124"/>
    <w:rsid w:val="00914E62"/>
    <w:rsid w:val="009258C7"/>
    <w:rsid w:val="009300CA"/>
    <w:rsid w:val="0096471C"/>
    <w:rsid w:val="009C74A3"/>
    <w:rsid w:val="00A005CA"/>
    <w:rsid w:val="00A05CEE"/>
    <w:rsid w:val="00A42EFF"/>
    <w:rsid w:val="00A47986"/>
    <w:rsid w:val="00A57195"/>
    <w:rsid w:val="00A90B53"/>
    <w:rsid w:val="00A946E8"/>
    <w:rsid w:val="00A96CE8"/>
    <w:rsid w:val="00AF141F"/>
    <w:rsid w:val="00B07D87"/>
    <w:rsid w:val="00B10AFB"/>
    <w:rsid w:val="00B13FCC"/>
    <w:rsid w:val="00B201D5"/>
    <w:rsid w:val="00B249AF"/>
    <w:rsid w:val="00B32D2C"/>
    <w:rsid w:val="00B42087"/>
    <w:rsid w:val="00B8579B"/>
    <w:rsid w:val="00BA1516"/>
    <w:rsid w:val="00BB76B0"/>
    <w:rsid w:val="00C25B6F"/>
    <w:rsid w:val="00C43258"/>
    <w:rsid w:val="00C56D98"/>
    <w:rsid w:val="00C9594F"/>
    <w:rsid w:val="00CA39D1"/>
    <w:rsid w:val="00CC1CDE"/>
    <w:rsid w:val="00D101C2"/>
    <w:rsid w:val="00D1443B"/>
    <w:rsid w:val="00D20D5F"/>
    <w:rsid w:val="00D21E6E"/>
    <w:rsid w:val="00D45184"/>
    <w:rsid w:val="00DA3913"/>
    <w:rsid w:val="00DE0473"/>
    <w:rsid w:val="00DE7650"/>
    <w:rsid w:val="00E25B15"/>
    <w:rsid w:val="00E37487"/>
    <w:rsid w:val="00E40B3E"/>
    <w:rsid w:val="00E66C58"/>
    <w:rsid w:val="00EC7581"/>
    <w:rsid w:val="00F202A3"/>
    <w:rsid w:val="00F43034"/>
    <w:rsid w:val="00F4432D"/>
    <w:rsid w:val="00F53126"/>
    <w:rsid w:val="00F6167A"/>
    <w:rsid w:val="00F7018B"/>
    <w:rsid w:val="00F80047"/>
    <w:rsid w:val="00F8481D"/>
    <w:rsid w:val="00FD503B"/>
    <w:rsid w:val="01AF7CDE"/>
    <w:rsid w:val="08F425F0"/>
    <w:rsid w:val="109F54C9"/>
    <w:rsid w:val="120C7C36"/>
    <w:rsid w:val="1F74219C"/>
    <w:rsid w:val="22FF5760"/>
    <w:rsid w:val="242B61FE"/>
    <w:rsid w:val="297A3B07"/>
    <w:rsid w:val="361B4D65"/>
    <w:rsid w:val="3DC41840"/>
    <w:rsid w:val="41CD2DEF"/>
    <w:rsid w:val="502A1CE1"/>
    <w:rsid w:val="52317742"/>
    <w:rsid w:val="59C13A1D"/>
    <w:rsid w:val="5D845EA0"/>
    <w:rsid w:val="5D8616AC"/>
    <w:rsid w:val="748420B8"/>
    <w:rsid w:val="783268A7"/>
    <w:rsid w:val="7A03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  <w:style w:type="character" w:customStyle="1" w:styleId="12">
    <w:name w:val="font6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ascii="方正书宋_GBK" w:hAnsi="方正书宋_GBK" w:eastAsia="方正书宋_GBK" w:cs="方正书宋_GBK"/>
      <w:color w:val="000000"/>
      <w:sz w:val="20"/>
      <w:szCs w:val="20"/>
      <w:u w:val="none"/>
    </w:rPr>
  </w:style>
  <w:style w:type="character" w:customStyle="1" w:styleId="14">
    <w:name w:val="font31"/>
    <w:basedOn w:val="7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6</Pages>
  <Words>1590</Words>
  <Characters>1825</Characters>
  <Lines>14</Lines>
  <Paragraphs>3</Paragraphs>
  <TotalTime>2</TotalTime>
  <ScaleCrop>false</ScaleCrop>
  <LinksUpToDate>false</LinksUpToDate>
  <CharactersWithSpaces>1887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2022-09-23T06:31:00Z</dcterms:created>
  <dc:creator>Windows 用户</dc:creator>
  <cp:lastModifiedBy>仲杰</cp:lastModifiedBy>
  <cp:lastPrinted>2022-09-22T01:02:00Z</cp:lastPrinted>
  <dcterms:modified xsi:type="dcterms:W3CDTF">2022-09-28T00:53:35Z</dcterms:modified>
  <dc:title>安装工程项目验收单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4BE1CC50FE144E23ADD40F4FD62A154B</vt:lpwstr>
  </property>
</Properties>
</file>