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校史馆设备更新项目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HFBX2026051</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w:t>
      </w:r>
      <w:bookmarkStart w:id="4" w:name="_GoBack"/>
      <w:bookmarkEnd w:id="4"/>
      <w:r>
        <w:rPr>
          <w:rFonts w:hint="eastAsia" w:ascii="方正兰亭黑简体" w:hAnsi="方正兰亭黑简体" w:eastAsia="方正兰亭黑简体" w:cs="方正兰亭黑简体"/>
          <w:color w:val="auto"/>
          <w:sz w:val="22"/>
          <w:szCs w:val="28"/>
          <w:highlight w:val="none"/>
        </w:rPr>
        <w:t>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HFBX2026051</w:t>
      </w:r>
      <w:r>
        <w:rPr>
          <w:rFonts w:hint="eastAsia" w:ascii="方正兰亭黑简体" w:hAnsi="方正兰亭黑简体" w:eastAsia="方正兰亭黑简体" w:cs="方正兰亭黑简体"/>
          <w:color w:val="auto"/>
          <w:sz w:val="22"/>
          <w:szCs w:val="28"/>
          <w:highlight w:val="none"/>
          <w:lang w:val="en-US" w:eastAsia="zh-CN"/>
        </w:rPr>
        <w:t>；</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校史馆设备更新项目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13.093</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对校史馆现有展馆空间、展陈设施、数字化设备及相关配套进行专项维修改造，旨在修复现有设施老化损坏问题，优化观展体验，保障校史馆日常开放运行，更好发挥校史馆校史育人、文化传承的功能。（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交付地址：上海海事大学校史馆。</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交付时间：合同生效后90内完成货物运输、安装及调试至满足校方正常使用要求。</w:t>
      </w:r>
    </w:p>
    <w:p w14:paraId="52623BFF">
      <w:pPr>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质保时间：对所有软硬件设备提供不少于1年的免费质保服务。</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w:t>
      </w:r>
      <w:r>
        <w:rPr>
          <w:rFonts w:hint="eastAsia" w:ascii="方正兰亭黑简体" w:hAnsi="方正兰亭黑简体" w:eastAsia="方正兰亭黑简体" w:cs="方正兰亭黑简体"/>
          <w:color w:val="auto"/>
          <w:sz w:val="22"/>
          <w:szCs w:val="28"/>
          <w:highlight w:val="none"/>
          <w:lang w:val="en-US" w:eastAsia="zh-CN"/>
        </w:rPr>
        <w:t>项目</w:t>
      </w:r>
      <w:r>
        <w:rPr>
          <w:rFonts w:hint="eastAsia" w:ascii="方正兰亭黑简体" w:hAnsi="方正兰亭黑简体" w:eastAsia="方正兰亭黑简体" w:cs="方正兰亭黑简体"/>
          <w:color w:val="auto"/>
          <w:sz w:val="22"/>
          <w:szCs w:val="28"/>
          <w:highlight w:val="none"/>
          <w:lang w:eastAsia="zh-CN"/>
        </w:rPr>
        <w:t>验收合格后15个工作日内，</w:t>
      </w:r>
      <w:r>
        <w:rPr>
          <w:rFonts w:hint="eastAsia" w:ascii="方正兰亭黑简体" w:hAnsi="方正兰亭黑简体" w:eastAsia="方正兰亭黑简体" w:cs="方正兰亭黑简体"/>
          <w:color w:val="auto"/>
          <w:sz w:val="22"/>
          <w:szCs w:val="28"/>
          <w:highlight w:val="none"/>
          <w:lang w:val="en-US" w:eastAsia="zh-CN"/>
        </w:rPr>
        <w:t>甲方支付全部款项。</w:t>
      </w:r>
      <w:r>
        <w:rPr>
          <w:rFonts w:hint="eastAsia" w:ascii="方正兰亭黑简体" w:hAnsi="方正兰亭黑简体" w:eastAsia="方正兰亭黑简体" w:cs="方正兰亭黑简体"/>
          <w:color w:val="auto"/>
          <w:sz w:val="22"/>
          <w:szCs w:val="28"/>
          <w:highlight w:val="none"/>
        </w:rPr>
        <w:t>合同内全部款项均以“银行转账”方式予以支付。</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16</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周二</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何老师021-38284060</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7DE6D34A">
      <w:pPr>
        <w:spacing w:line="36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一、货物清单及规格参数</w:t>
      </w:r>
    </w:p>
    <w:tbl>
      <w:tblPr>
        <w:tblStyle w:val="14"/>
        <w:tblW w:w="499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956"/>
        <w:gridCol w:w="832"/>
        <w:gridCol w:w="905"/>
        <w:gridCol w:w="5525"/>
      </w:tblGrid>
      <w:tr w14:paraId="3F880A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7D900C02">
            <w:pPr>
              <w:spacing w:line="24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序号</w:t>
            </w:r>
          </w:p>
        </w:tc>
        <w:tc>
          <w:tcPr>
            <w:tcW w:w="983" w:type="pct"/>
            <w:vAlign w:val="center"/>
          </w:tcPr>
          <w:p w14:paraId="3E4654E1">
            <w:pPr>
              <w:widowControl/>
              <w:spacing w:line="24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名称</w:t>
            </w:r>
          </w:p>
        </w:tc>
        <w:tc>
          <w:tcPr>
            <w:tcW w:w="418" w:type="pct"/>
            <w:vAlign w:val="center"/>
          </w:tcPr>
          <w:p w14:paraId="18C0592B">
            <w:pPr>
              <w:widowControl/>
              <w:spacing w:line="24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单位</w:t>
            </w:r>
          </w:p>
        </w:tc>
        <w:tc>
          <w:tcPr>
            <w:tcW w:w="455" w:type="pct"/>
            <w:vAlign w:val="center"/>
          </w:tcPr>
          <w:p w14:paraId="14DCCB81">
            <w:pPr>
              <w:widowControl/>
              <w:spacing w:line="24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数量</w:t>
            </w:r>
          </w:p>
        </w:tc>
        <w:tc>
          <w:tcPr>
            <w:tcW w:w="2776" w:type="pct"/>
            <w:vAlign w:val="center"/>
          </w:tcPr>
          <w:p w14:paraId="5375C4DA">
            <w:pPr>
              <w:widowControl/>
              <w:spacing w:line="24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主要规格</w:t>
            </w:r>
          </w:p>
        </w:tc>
      </w:tr>
      <w:tr w14:paraId="49DAE2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7DEF8C0B">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983" w:type="pct"/>
            <w:vAlign w:val="center"/>
          </w:tcPr>
          <w:p w14:paraId="27DFD86A">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新增展柜</w:t>
            </w:r>
          </w:p>
        </w:tc>
        <w:tc>
          <w:tcPr>
            <w:tcW w:w="418" w:type="pct"/>
            <w:vAlign w:val="center"/>
          </w:tcPr>
          <w:p w14:paraId="5A208F7B">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组</w:t>
            </w:r>
          </w:p>
        </w:tc>
        <w:tc>
          <w:tcPr>
            <w:tcW w:w="455" w:type="pct"/>
            <w:vAlign w:val="center"/>
          </w:tcPr>
          <w:p w14:paraId="59847C04">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653ED931">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1.8米烤漆展柜（符合原造型）</w:t>
            </w:r>
          </w:p>
        </w:tc>
      </w:tr>
      <w:tr w14:paraId="720A6C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2C83F3E7">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2</w:t>
            </w:r>
          </w:p>
        </w:tc>
        <w:tc>
          <w:tcPr>
            <w:tcW w:w="983" w:type="pct"/>
            <w:vAlign w:val="center"/>
          </w:tcPr>
          <w:p w14:paraId="586701E1">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新增展柜玻璃罩</w:t>
            </w:r>
          </w:p>
        </w:tc>
        <w:tc>
          <w:tcPr>
            <w:tcW w:w="418" w:type="pct"/>
            <w:vAlign w:val="center"/>
          </w:tcPr>
          <w:p w14:paraId="7DB132AE">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项</w:t>
            </w:r>
          </w:p>
        </w:tc>
        <w:tc>
          <w:tcPr>
            <w:tcW w:w="455" w:type="pct"/>
            <w:vAlign w:val="center"/>
          </w:tcPr>
          <w:p w14:paraId="7CFCA0CB">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412D9729">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尺寸：1550*1500*320mm</w:t>
            </w:r>
          </w:p>
        </w:tc>
      </w:tr>
      <w:tr w14:paraId="088FB2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694EFD38">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3</w:t>
            </w:r>
          </w:p>
        </w:tc>
        <w:tc>
          <w:tcPr>
            <w:tcW w:w="983" w:type="pct"/>
            <w:vAlign w:val="center"/>
          </w:tcPr>
          <w:p w14:paraId="03DA732B">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新增实物场景沙盘</w:t>
            </w:r>
          </w:p>
        </w:tc>
        <w:tc>
          <w:tcPr>
            <w:tcW w:w="418" w:type="pct"/>
            <w:vAlign w:val="center"/>
          </w:tcPr>
          <w:p w14:paraId="400320FE">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组</w:t>
            </w:r>
          </w:p>
        </w:tc>
        <w:tc>
          <w:tcPr>
            <w:tcW w:w="455" w:type="pct"/>
            <w:vAlign w:val="center"/>
          </w:tcPr>
          <w:p w14:paraId="7ABA4433">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1B23D71B">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吴淞开阜老地图场景</w:t>
            </w:r>
          </w:p>
        </w:tc>
      </w:tr>
      <w:tr w14:paraId="21210D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76942B81">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4</w:t>
            </w:r>
          </w:p>
        </w:tc>
        <w:tc>
          <w:tcPr>
            <w:tcW w:w="983" w:type="pct"/>
            <w:vAlign w:val="center"/>
          </w:tcPr>
          <w:p w14:paraId="5B13B7AD">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海鸟实物道具</w:t>
            </w:r>
          </w:p>
        </w:tc>
        <w:tc>
          <w:tcPr>
            <w:tcW w:w="418" w:type="pct"/>
            <w:vAlign w:val="center"/>
          </w:tcPr>
          <w:p w14:paraId="5E761A4D">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只</w:t>
            </w:r>
          </w:p>
        </w:tc>
        <w:tc>
          <w:tcPr>
            <w:tcW w:w="455" w:type="pct"/>
            <w:vAlign w:val="center"/>
          </w:tcPr>
          <w:p w14:paraId="64B0ECDC">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7D1BDDEF">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仿真海鸟</w:t>
            </w:r>
          </w:p>
        </w:tc>
      </w:tr>
      <w:tr w14:paraId="65E4FC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29BAAF59">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5</w:t>
            </w:r>
          </w:p>
        </w:tc>
        <w:tc>
          <w:tcPr>
            <w:tcW w:w="983" w:type="pct"/>
            <w:vAlign w:val="center"/>
          </w:tcPr>
          <w:p w14:paraId="16F0C8CE">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仿旧旗帜复刻</w:t>
            </w:r>
          </w:p>
        </w:tc>
        <w:tc>
          <w:tcPr>
            <w:tcW w:w="418" w:type="pct"/>
            <w:vAlign w:val="center"/>
          </w:tcPr>
          <w:p w14:paraId="1A318CBA">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面</w:t>
            </w:r>
          </w:p>
        </w:tc>
        <w:tc>
          <w:tcPr>
            <w:tcW w:w="455" w:type="pct"/>
            <w:vAlign w:val="center"/>
          </w:tcPr>
          <w:p w14:paraId="42B657ED">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5CC5AFDA">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展品复刻</w:t>
            </w:r>
          </w:p>
        </w:tc>
      </w:tr>
      <w:tr w14:paraId="4EA118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4511465D">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6</w:t>
            </w:r>
          </w:p>
        </w:tc>
        <w:tc>
          <w:tcPr>
            <w:tcW w:w="983" w:type="pct"/>
            <w:vAlign w:val="center"/>
          </w:tcPr>
          <w:p w14:paraId="0DCFB0B3">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仿旧文稿复刻</w:t>
            </w:r>
          </w:p>
        </w:tc>
        <w:tc>
          <w:tcPr>
            <w:tcW w:w="418" w:type="pct"/>
            <w:vAlign w:val="center"/>
          </w:tcPr>
          <w:p w14:paraId="2B980983">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项</w:t>
            </w:r>
          </w:p>
        </w:tc>
        <w:tc>
          <w:tcPr>
            <w:tcW w:w="455" w:type="pct"/>
            <w:vAlign w:val="center"/>
          </w:tcPr>
          <w:p w14:paraId="63EC89E1">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0B4A9C5C">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sz w:val="22"/>
                <w:szCs w:val="22"/>
                <w:highlight w:val="none"/>
                <w:lang w:val="en-US"/>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展品复刻（约25件），大概30页</w:t>
            </w:r>
          </w:p>
        </w:tc>
      </w:tr>
      <w:tr w14:paraId="03E7AA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6326080C">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7</w:t>
            </w:r>
          </w:p>
        </w:tc>
        <w:tc>
          <w:tcPr>
            <w:tcW w:w="983" w:type="pct"/>
            <w:vAlign w:val="center"/>
          </w:tcPr>
          <w:p w14:paraId="09E44E82">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仿旧书籍复刻</w:t>
            </w:r>
          </w:p>
        </w:tc>
        <w:tc>
          <w:tcPr>
            <w:tcW w:w="418" w:type="pct"/>
            <w:vAlign w:val="center"/>
          </w:tcPr>
          <w:p w14:paraId="79F30892">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项</w:t>
            </w:r>
          </w:p>
        </w:tc>
        <w:tc>
          <w:tcPr>
            <w:tcW w:w="455" w:type="pct"/>
            <w:vAlign w:val="center"/>
          </w:tcPr>
          <w:p w14:paraId="57591BF3">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6A095282">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sz w:val="22"/>
                <w:szCs w:val="22"/>
                <w:highlight w:val="none"/>
                <w:lang w:val="en-US"/>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展品复刻（约10件），大概35页</w:t>
            </w:r>
          </w:p>
        </w:tc>
      </w:tr>
      <w:tr w14:paraId="7788EF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3C284957">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8</w:t>
            </w:r>
          </w:p>
        </w:tc>
        <w:tc>
          <w:tcPr>
            <w:tcW w:w="983" w:type="pct"/>
            <w:vAlign w:val="center"/>
          </w:tcPr>
          <w:p w14:paraId="4B0F23A1">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定向音箱</w:t>
            </w:r>
          </w:p>
        </w:tc>
        <w:tc>
          <w:tcPr>
            <w:tcW w:w="418" w:type="pct"/>
            <w:vAlign w:val="center"/>
          </w:tcPr>
          <w:p w14:paraId="255BE91A">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套</w:t>
            </w:r>
          </w:p>
        </w:tc>
        <w:tc>
          <w:tcPr>
            <w:tcW w:w="455" w:type="pct"/>
            <w:vAlign w:val="center"/>
          </w:tcPr>
          <w:p w14:paraId="6B315611">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5</w:t>
            </w:r>
          </w:p>
        </w:tc>
        <w:tc>
          <w:tcPr>
            <w:tcW w:w="2776" w:type="pct"/>
            <w:vAlign w:val="center"/>
          </w:tcPr>
          <w:p w14:paraId="3BD4EE4B">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传播距离：≥5米内</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外壳：铝合金外壳</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颜色：黑色</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指向性角度：10-15°</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频率范围：400Hz-10kHz</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最大功率：≥15W</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声压级：≥80dB@1kHz/1M</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电源输入：5V -3A</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总谐波失真：≤0.5%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支持蓝牙5.0输入功能，TF卡播放功能，3.5mm 模拟有线音频输入</w:t>
            </w:r>
          </w:p>
        </w:tc>
      </w:tr>
      <w:tr w14:paraId="6C075E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1A7FC8EA">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9</w:t>
            </w:r>
          </w:p>
        </w:tc>
        <w:tc>
          <w:tcPr>
            <w:tcW w:w="983" w:type="pct"/>
            <w:vAlign w:val="center"/>
          </w:tcPr>
          <w:p w14:paraId="42014291">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高清播放器</w:t>
            </w:r>
          </w:p>
        </w:tc>
        <w:tc>
          <w:tcPr>
            <w:tcW w:w="418" w:type="pct"/>
            <w:vAlign w:val="center"/>
          </w:tcPr>
          <w:p w14:paraId="6FAC05E4">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套</w:t>
            </w:r>
          </w:p>
        </w:tc>
        <w:tc>
          <w:tcPr>
            <w:tcW w:w="455" w:type="pct"/>
            <w:vAlign w:val="center"/>
          </w:tcPr>
          <w:p w14:paraId="23DD42EF">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3</w:t>
            </w:r>
          </w:p>
        </w:tc>
        <w:tc>
          <w:tcPr>
            <w:tcW w:w="2776" w:type="pct"/>
            <w:vAlign w:val="center"/>
          </w:tcPr>
          <w:p w14:paraId="1D852BF0">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播放介质：SD卡、USB</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分辨率：≥1920*1080</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播放功能：支持开机自动播放，快进快退，遥控器选择</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感应方式：红外感应，没人时画面停止在视频第一帧，当有人时自动开始播放视频，感应到人离开后，视频自动播放完后才停止在视频开始画面。</w:t>
            </w:r>
          </w:p>
        </w:tc>
      </w:tr>
      <w:tr w14:paraId="41C7AA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0CE3EB07">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r>
              <w:rPr>
                <w:rFonts w:hint="default" w:ascii="Times New Roman" w:hAnsi="Times New Roman" w:eastAsia="方正兰亭黑简体" w:cs="Times New Roman"/>
                <w:color w:val="auto"/>
                <w:sz w:val="22"/>
                <w:szCs w:val="22"/>
                <w:highlight w:val="none"/>
                <w:lang w:val="en-US" w:eastAsia="zh-CN"/>
              </w:rPr>
              <w:t>0</w:t>
            </w:r>
          </w:p>
        </w:tc>
        <w:tc>
          <w:tcPr>
            <w:tcW w:w="983" w:type="pct"/>
            <w:vAlign w:val="center"/>
          </w:tcPr>
          <w:p w14:paraId="0E791EEE">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同步播放系统编程</w:t>
            </w:r>
          </w:p>
        </w:tc>
        <w:tc>
          <w:tcPr>
            <w:tcW w:w="418" w:type="pct"/>
            <w:vAlign w:val="center"/>
          </w:tcPr>
          <w:p w14:paraId="4CFF19AC">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套</w:t>
            </w:r>
          </w:p>
        </w:tc>
        <w:tc>
          <w:tcPr>
            <w:tcW w:w="455" w:type="pct"/>
            <w:vAlign w:val="center"/>
          </w:tcPr>
          <w:p w14:paraId="0DE1072F">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01D04B47">
            <w:pPr>
              <w:keepNext w:val="0"/>
              <w:keepLines w:val="0"/>
              <w:widowControl/>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视频播放程序</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（1）定制视频播放软件 </w:t>
            </w:r>
          </w:p>
          <w:p w14:paraId="053862C1">
            <w:pPr>
              <w:keepNext w:val="0"/>
              <w:keepLines w:val="0"/>
              <w:widowControl/>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（2）满足WMV MOV等视频格式  </w:t>
            </w:r>
          </w:p>
          <w:p w14:paraId="04764743">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（3）</w:t>
            </w:r>
            <w:r>
              <w:rPr>
                <w:rFonts w:hint="default" w:ascii="Times New Roman" w:hAnsi="Times New Roman" w:eastAsia="方正兰亭黑简体" w:cs="Times New Roman"/>
                <w:color w:val="auto"/>
                <w:kern w:val="0"/>
                <w:sz w:val="22"/>
                <w:szCs w:val="22"/>
                <w:highlight w:val="none"/>
                <w:u w:val="none"/>
                <w:lang w:bidi="ar"/>
              </w:rPr>
              <w:t>基于</w:t>
            </w:r>
            <w:r>
              <w:rPr>
                <w:rStyle w:val="16"/>
                <w:rFonts w:hint="default" w:ascii="Times New Roman" w:hAnsi="Times New Roman" w:eastAsia="方正兰亭黑简体" w:cs="Times New Roman"/>
                <w:color w:val="auto"/>
                <w:kern w:val="0"/>
                <w:sz w:val="22"/>
                <w:szCs w:val="22"/>
                <w:highlight w:val="none"/>
                <w:u w:val="none"/>
                <w:lang w:bidi="ar"/>
              </w:rPr>
              <w:t>Mediaplay10 及以上版本</w:t>
            </w:r>
            <w:r>
              <w:rPr>
                <w:rFonts w:hint="default" w:ascii="Times New Roman" w:hAnsi="Times New Roman" w:eastAsia="方正兰亭黑简体" w:cs="Times New Roman"/>
                <w:color w:val="auto"/>
                <w:kern w:val="0"/>
                <w:sz w:val="22"/>
                <w:szCs w:val="22"/>
                <w:highlight w:val="none"/>
                <w:u w:val="none"/>
                <w:lang w:bidi="ar"/>
              </w:rPr>
              <w:t>多媒体编码规范进行开发</w:t>
            </w:r>
          </w:p>
        </w:tc>
      </w:tr>
      <w:tr w14:paraId="28DCB6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5DEE59B7">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r>
              <w:rPr>
                <w:rFonts w:hint="default" w:ascii="Times New Roman" w:hAnsi="Times New Roman" w:eastAsia="方正兰亭黑简体" w:cs="Times New Roman"/>
                <w:color w:val="auto"/>
                <w:sz w:val="22"/>
                <w:szCs w:val="22"/>
                <w:highlight w:val="none"/>
                <w:lang w:val="en-US" w:eastAsia="zh-CN"/>
              </w:rPr>
              <w:t>1</w:t>
            </w:r>
          </w:p>
        </w:tc>
        <w:tc>
          <w:tcPr>
            <w:tcW w:w="983" w:type="pct"/>
            <w:vAlign w:val="center"/>
          </w:tcPr>
          <w:p w14:paraId="3C36EAD8">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17.寸工业触摸屏</w:t>
            </w:r>
          </w:p>
        </w:tc>
        <w:tc>
          <w:tcPr>
            <w:tcW w:w="418" w:type="pct"/>
            <w:vAlign w:val="center"/>
          </w:tcPr>
          <w:p w14:paraId="54738DA5">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套</w:t>
            </w:r>
          </w:p>
        </w:tc>
        <w:tc>
          <w:tcPr>
            <w:tcW w:w="455" w:type="pct"/>
            <w:vAlign w:val="center"/>
          </w:tcPr>
          <w:p w14:paraId="4B6FB9A9">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lang w:val="en-US"/>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5D65BFEC">
            <w:pPr>
              <w:keepNext w:val="0"/>
              <w:keepLines w:val="0"/>
              <w:widowControl/>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整机外壳颜色：黑；</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屏幕尺寸：≥17英寸；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屏幕比例：16:9；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显示分辨率：≥1920(水平)×1080（垂直）； </w:t>
            </w:r>
          </w:p>
          <w:p w14:paraId="2602394B">
            <w:pPr>
              <w:keepNext w:val="0"/>
              <w:keepLines w:val="0"/>
              <w:widowControl/>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存储：≥8GB内存，128GB存储；</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面板类型：AV软屏；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背光灯类型：侧入式 ELED； </w:t>
            </w:r>
          </w:p>
          <w:p w14:paraId="23492725">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屏幕视角：全视角≥</w:t>
            </w:r>
            <w:r>
              <w:rPr>
                <w:rFonts w:hint="default" w:ascii="Times New Roman" w:hAnsi="Times New Roman" w:eastAsia="方正兰亭黑简体" w:cs="Times New Roman"/>
                <w:color w:val="auto"/>
                <w:sz w:val="22"/>
                <w:szCs w:val="22"/>
                <w:highlight w:val="none"/>
              </w:rPr>
              <w:t>17</w:t>
            </w:r>
            <w:r>
              <w:rPr>
                <w:rFonts w:hint="default" w:ascii="Times New Roman" w:hAnsi="Times New Roman" w:eastAsia="方正兰亭黑简体" w:cs="Times New Roman"/>
                <w:color w:val="auto"/>
                <w:sz w:val="22"/>
                <w:szCs w:val="22"/>
                <w:highlight w:val="none"/>
                <w:lang w:val="en-US" w:eastAsia="zh-CN"/>
              </w:rPr>
              <w:t>8</w:t>
            </w:r>
            <w:r>
              <w:rPr>
                <w:rFonts w:hint="default" w:ascii="Times New Roman" w:hAnsi="Times New Roman" w:eastAsia="方正兰亭黑简体" w:cs="Times New Roman"/>
                <w:color w:val="auto"/>
                <w:sz w:val="22"/>
                <w:szCs w:val="22"/>
                <w:highlight w:val="none"/>
              </w:rPr>
              <w:t>°</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亮度: ≥230cd/㎡；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对比度：≥ 5000:1；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色彩：真彩色16.7M；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响应时间：≤5ms；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显示区域: ≥478 x 269.8mm 【HxV】</w:t>
            </w:r>
          </w:p>
        </w:tc>
      </w:tr>
      <w:tr w14:paraId="37DAFD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1D337203">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r>
              <w:rPr>
                <w:rFonts w:hint="default" w:ascii="Times New Roman" w:hAnsi="Times New Roman" w:eastAsia="方正兰亭黑简体" w:cs="Times New Roman"/>
                <w:color w:val="auto"/>
                <w:sz w:val="22"/>
                <w:szCs w:val="22"/>
                <w:highlight w:val="none"/>
                <w:lang w:val="en-US" w:eastAsia="zh-CN"/>
              </w:rPr>
              <w:t>2</w:t>
            </w:r>
          </w:p>
        </w:tc>
        <w:tc>
          <w:tcPr>
            <w:tcW w:w="983" w:type="pct"/>
            <w:vAlign w:val="center"/>
          </w:tcPr>
          <w:p w14:paraId="5B141C3F">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24寸互动触摸屏</w:t>
            </w:r>
          </w:p>
        </w:tc>
        <w:tc>
          <w:tcPr>
            <w:tcW w:w="418" w:type="pct"/>
            <w:vAlign w:val="center"/>
          </w:tcPr>
          <w:p w14:paraId="5FA74EED">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套</w:t>
            </w:r>
          </w:p>
        </w:tc>
        <w:tc>
          <w:tcPr>
            <w:tcW w:w="455" w:type="pct"/>
            <w:vAlign w:val="center"/>
          </w:tcPr>
          <w:p w14:paraId="348EEBA5">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lang w:val="en-US"/>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3A3A5871">
            <w:pPr>
              <w:keepNext w:val="0"/>
              <w:keepLines w:val="0"/>
              <w:widowControl/>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整机外壳颜色：黑；</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屏幕尺寸：≥24英寸；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屏幕比例：16 ：9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显示分辨率：≥1920(水平)×1080（垂直）</w:t>
            </w:r>
          </w:p>
          <w:p w14:paraId="3196D623">
            <w:pPr>
              <w:keepNext w:val="0"/>
              <w:keepLines w:val="0"/>
              <w:widowControl/>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存储：≥8GB内存，128GB存储；</w:t>
            </w:r>
          </w:p>
          <w:p w14:paraId="342CBE6D">
            <w:pPr>
              <w:keepNext w:val="0"/>
              <w:keepLines w:val="0"/>
              <w:widowControl/>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面板类型：AV软屏；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背光灯类型：侧入式 ELED； </w:t>
            </w:r>
          </w:p>
          <w:p w14:paraId="2E3A685D">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屏幕视角:全视角≥</w:t>
            </w:r>
            <w:r>
              <w:rPr>
                <w:rFonts w:hint="default" w:ascii="Times New Roman" w:hAnsi="Times New Roman" w:eastAsia="方正兰亭黑简体" w:cs="Times New Roman"/>
                <w:color w:val="auto"/>
                <w:sz w:val="22"/>
                <w:szCs w:val="22"/>
                <w:highlight w:val="none"/>
              </w:rPr>
              <w:t>17</w:t>
            </w:r>
            <w:r>
              <w:rPr>
                <w:rFonts w:hint="default" w:ascii="Times New Roman" w:hAnsi="Times New Roman" w:eastAsia="方正兰亭黑简体" w:cs="Times New Roman"/>
                <w:color w:val="auto"/>
                <w:sz w:val="22"/>
                <w:szCs w:val="22"/>
                <w:highlight w:val="none"/>
                <w:lang w:val="en-US" w:eastAsia="zh-CN"/>
              </w:rPr>
              <w:t>8</w:t>
            </w:r>
            <w:r>
              <w:rPr>
                <w:rFonts w:hint="default" w:ascii="Times New Roman" w:hAnsi="Times New Roman" w:eastAsia="方正兰亭黑简体" w:cs="Times New Roman"/>
                <w:color w:val="auto"/>
                <w:sz w:val="22"/>
                <w:szCs w:val="22"/>
                <w:highlight w:val="none"/>
              </w:rPr>
              <w:t>°</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亮度: ≥230cd/㎡；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对比度：≥ 5000:1；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色彩:真彩色16.7M；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响应时间：≤5ms；</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显示区域：≥527 x 319mm 【HxV】</w:t>
            </w:r>
          </w:p>
        </w:tc>
      </w:tr>
      <w:tr w14:paraId="1C10A3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7EBDF19B">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r>
              <w:rPr>
                <w:rFonts w:hint="default" w:ascii="Times New Roman" w:hAnsi="Times New Roman" w:eastAsia="方正兰亭黑简体" w:cs="Times New Roman"/>
                <w:color w:val="auto"/>
                <w:sz w:val="22"/>
                <w:szCs w:val="22"/>
                <w:highlight w:val="none"/>
                <w:lang w:val="en-US" w:eastAsia="zh-CN"/>
              </w:rPr>
              <w:t>3</w:t>
            </w:r>
          </w:p>
        </w:tc>
        <w:tc>
          <w:tcPr>
            <w:tcW w:w="983" w:type="pct"/>
            <w:vAlign w:val="center"/>
          </w:tcPr>
          <w:p w14:paraId="6D82064B">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49寸互动触摸屏</w:t>
            </w:r>
          </w:p>
        </w:tc>
        <w:tc>
          <w:tcPr>
            <w:tcW w:w="418" w:type="pct"/>
            <w:vAlign w:val="center"/>
          </w:tcPr>
          <w:p w14:paraId="4EF44B3A">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套</w:t>
            </w:r>
          </w:p>
        </w:tc>
        <w:tc>
          <w:tcPr>
            <w:tcW w:w="455" w:type="pct"/>
            <w:vAlign w:val="center"/>
          </w:tcPr>
          <w:p w14:paraId="26A33E7A">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6</w:t>
            </w:r>
          </w:p>
        </w:tc>
        <w:tc>
          <w:tcPr>
            <w:tcW w:w="2776" w:type="pct"/>
            <w:vAlign w:val="center"/>
          </w:tcPr>
          <w:p w14:paraId="5F03F187">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1、显示参数</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color w:val="auto"/>
                <w:kern w:val="0"/>
                <w:sz w:val="22"/>
                <w:szCs w:val="22"/>
                <w:highlight w:val="none"/>
                <w:u w:val="none"/>
                <w:lang w:bidi="ar"/>
              </w:rPr>
              <w:t>显示屏尺寸:≥49</w:t>
            </w:r>
            <w:r>
              <w:rPr>
                <w:rFonts w:hint="default" w:ascii="Times New Roman" w:hAnsi="Times New Roman" w:eastAsia="方正兰亭黑简体" w:cs="Times New Roman"/>
                <w:color w:val="auto"/>
                <w:kern w:val="0"/>
                <w:sz w:val="22"/>
                <w:szCs w:val="22"/>
                <w:highlight w:val="none"/>
                <w:u w:val="none"/>
                <w:lang w:val="en-US" w:eastAsia="zh-CN" w:bidi="ar"/>
              </w:rPr>
              <w:t>英</w:t>
            </w:r>
            <w:r>
              <w:rPr>
                <w:rFonts w:hint="default" w:ascii="Times New Roman" w:hAnsi="Times New Roman" w:eastAsia="方正兰亭黑简体" w:cs="Times New Roman"/>
                <w:color w:val="auto"/>
                <w:kern w:val="0"/>
                <w:sz w:val="22"/>
                <w:szCs w:val="22"/>
                <w:highlight w:val="none"/>
                <w:u w:val="none"/>
                <w:lang w:bidi="ar"/>
              </w:rPr>
              <w:t>寸</w:t>
            </w:r>
          </w:p>
          <w:p w14:paraId="3A61414E">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color w:val="auto"/>
                <w:kern w:val="0"/>
                <w:sz w:val="22"/>
                <w:szCs w:val="22"/>
                <w:highlight w:val="none"/>
                <w:u w:val="none"/>
                <w:lang w:bidi="ar"/>
              </w:rPr>
              <w:t xml:space="preserve">屏幕比例:（16：9） </w:t>
            </w:r>
          </w:p>
          <w:p w14:paraId="4D79AB8F">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color w:val="auto"/>
                <w:kern w:val="0"/>
                <w:sz w:val="22"/>
                <w:szCs w:val="22"/>
                <w:highlight w:val="none"/>
                <w:u w:val="none"/>
                <w:lang w:bidi="ar"/>
              </w:rPr>
              <w:t xml:space="preserve">显示屏类型: LED液晶显示屏 </w:t>
            </w:r>
          </w:p>
          <w:p w14:paraId="1130A18A">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color w:val="auto"/>
                <w:kern w:val="0"/>
                <w:sz w:val="22"/>
                <w:szCs w:val="22"/>
                <w:highlight w:val="none"/>
                <w:u w:val="none"/>
                <w:lang w:bidi="ar"/>
              </w:rPr>
              <w:t>画面显示尺寸:≥ 1096.8 x 616.9mm【HxV】</w:t>
            </w:r>
          </w:p>
          <w:p w14:paraId="386C3673">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color w:val="auto"/>
                <w:kern w:val="0"/>
                <w:sz w:val="22"/>
                <w:szCs w:val="22"/>
                <w:highlight w:val="none"/>
                <w:u w:val="none"/>
                <w:lang w:bidi="ar"/>
              </w:rPr>
              <w:t>存储:≥ 8G</w:t>
            </w:r>
            <w:r>
              <w:rPr>
                <w:rFonts w:hint="default" w:ascii="Times New Roman" w:hAnsi="Times New Roman" w:eastAsia="方正兰亭黑简体" w:cs="Times New Roman"/>
                <w:color w:val="auto"/>
                <w:kern w:val="0"/>
                <w:sz w:val="22"/>
                <w:szCs w:val="22"/>
                <w:highlight w:val="none"/>
                <w:u w:val="none"/>
                <w:lang w:val="en-US" w:eastAsia="zh-CN" w:bidi="ar"/>
              </w:rPr>
              <w:t>B</w:t>
            </w:r>
            <w:r>
              <w:rPr>
                <w:rFonts w:hint="default" w:ascii="Times New Roman" w:hAnsi="Times New Roman" w:eastAsia="方正兰亭黑简体" w:cs="Times New Roman"/>
                <w:color w:val="auto"/>
                <w:kern w:val="0"/>
                <w:sz w:val="22"/>
                <w:szCs w:val="22"/>
                <w:highlight w:val="none"/>
                <w:u w:val="none"/>
                <w:lang w:bidi="ar"/>
              </w:rPr>
              <w:t>内存，128</w:t>
            </w:r>
            <w:r>
              <w:rPr>
                <w:rFonts w:hint="default" w:ascii="Times New Roman" w:hAnsi="Times New Roman" w:eastAsia="方正兰亭黑简体" w:cs="Times New Roman"/>
                <w:color w:val="auto"/>
                <w:kern w:val="0"/>
                <w:sz w:val="22"/>
                <w:szCs w:val="22"/>
                <w:highlight w:val="none"/>
                <w:u w:val="none"/>
                <w:lang w:val="en-US" w:eastAsia="zh-CN" w:bidi="ar"/>
              </w:rPr>
              <w:t>GB</w:t>
            </w:r>
            <w:r>
              <w:rPr>
                <w:rFonts w:hint="default" w:ascii="Times New Roman" w:hAnsi="Times New Roman" w:eastAsia="方正兰亭黑简体" w:cs="Times New Roman"/>
                <w:color w:val="auto"/>
                <w:kern w:val="0"/>
                <w:sz w:val="22"/>
                <w:szCs w:val="22"/>
                <w:highlight w:val="none"/>
                <w:u w:val="none"/>
                <w:lang w:bidi="ar"/>
              </w:rPr>
              <w:t>存储</w:t>
            </w:r>
          </w:p>
          <w:p w14:paraId="40BF98A0">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color w:val="auto"/>
                <w:kern w:val="0"/>
                <w:sz w:val="22"/>
                <w:szCs w:val="22"/>
                <w:highlight w:val="none"/>
                <w:u w:val="none"/>
                <w:lang w:bidi="ar"/>
              </w:rPr>
              <w:t xml:space="preserve">物理分辨率: ≥1920*1080 </w:t>
            </w:r>
          </w:p>
          <w:p w14:paraId="38711018">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color w:val="auto"/>
                <w:kern w:val="0"/>
                <w:sz w:val="22"/>
                <w:szCs w:val="22"/>
                <w:highlight w:val="none"/>
                <w:u w:val="none"/>
                <w:lang w:bidi="ar"/>
              </w:rPr>
              <w:t xml:space="preserve">显示色彩: ≥10bit, 1.07B </w:t>
            </w:r>
          </w:p>
          <w:p w14:paraId="7C2D2A93">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color w:val="auto"/>
                <w:kern w:val="0"/>
                <w:sz w:val="22"/>
                <w:szCs w:val="22"/>
                <w:highlight w:val="none"/>
                <w:u w:val="none"/>
                <w:lang w:bidi="ar"/>
              </w:rPr>
              <w:t xml:space="preserve">刷新率: ≥30HZ </w:t>
            </w:r>
          </w:p>
          <w:p w14:paraId="6A8DB84C">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color w:val="auto"/>
                <w:kern w:val="0"/>
                <w:sz w:val="22"/>
                <w:szCs w:val="22"/>
                <w:highlight w:val="none"/>
                <w:u w:val="none"/>
                <w:lang w:bidi="ar"/>
              </w:rPr>
              <w:t xml:space="preserve">亮度 :≥300cd/m2 </w:t>
            </w:r>
          </w:p>
          <w:p w14:paraId="25F3FFC6">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color w:val="auto"/>
                <w:kern w:val="0"/>
                <w:sz w:val="22"/>
                <w:szCs w:val="22"/>
                <w:highlight w:val="none"/>
                <w:u w:val="none"/>
                <w:lang w:bidi="ar"/>
              </w:rPr>
              <w:t xml:space="preserve">对比度: ≥5000：1 </w:t>
            </w:r>
          </w:p>
          <w:p w14:paraId="2ABC4A17">
            <w:pPr>
              <w:keepNext w:val="0"/>
              <w:keepLines w:val="0"/>
              <w:widowControl/>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屏幕视角：全视角≥</w:t>
            </w:r>
            <w:r>
              <w:rPr>
                <w:rFonts w:hint="default" w:ascii="Times New Roman" w:hAnsi="Times New Roman" w:eastAsia="方正兰亭黑简体" w:cs="Times New Roman"/>
                <w:color w:val="auto"/>
                <w:sz w:val="22"/>
                <w:szCs w:val="22"/>
                <w:highlight w:val="none"/>
              </w:rPr>
              <w:t>17</w:t>
            </w:r>
            <w:r>
              <w:rPr>
                <w:rFonts w:hint="default" w:ascii="Times New Roman" w:hAnsi="Times New Roman" w:eastAsia="方正兰亭黑简体" w:cs="Times New Roman"/>
                <w:color w:val="auto"/>
                <w:sz w:val="22"/>
                <w:szCs w:val="22"/>
                <w:highlight w:val="none"/>
                <w:lang w:val="en-US" w:eastAsia="zh-CN"/>
              </w:rPr>
              <w:t>8</w:t>
            </w:r>
            <w:r>
              <w:rPr>
                <w:rFonts w:hint="default" w:ascii="Times New Roman" w:hAnsi="Times New Roman" w:eastAsia="方正兰亭黑简体" w:cs="Times New Roman"/>
                <w:color w:val="auto"/>
                <w:sz w:val="22"/>
                <w:szCs w:val="22"/>
                <w:highlight w:val="none"/>
              </w:rPr>
              <w:t>°</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 </w:t>
            </w:r>
            <w:r>
              <w:rPr>
                <w:rFonts w:hint="default" w:ascii="Times New Roman" w:hAnsi="Times New Roman" w:eastAsia="方正兰亭黑简体" w:cs="Times New Roman"/>
                <w:color w:val="auto"/>
                <w:kern w:val="0"/>
                <w:sz w:val="22"/>
                <w:szCs w:val="22"/>
                <w:highlight w:val="none"/>
                <w:u w:val="none"/>
                <w:lang w:bidi="ar"/>
              </w:rPr>
              <w:t xml:space="preserve"> </w:t>
            </w:r>
          </w:p>
        </w:tc>
      </w:tr>
      <w:tr w14:paraId="7C4BCF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20F3C581">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r>
              <w:rPr>
                <w:rFonts w:hint="default" w:ascii="Times New Roman" w:hAnsi="Times New Roman" w:eastAsia="方正兰亭黑简体" w:cs="Times New Roman"/>
                <w:color w:val="auto"/>
                <w:sz w:val="22"/>
                <w:szCs w:val="22"/>
                <w:highlight w:val="none"/>
                <w:lang w:val="en-US" w:eastAsia="zh-CN"/>
              </w:rPr>
              <w:t>4</w:t>
            </w:r>
          </w:p>
        </w:tc>
        <w:tc>
          <w:tcPr>
            <w:tcW w:w="983" w:type="pct"/>
            <w:vAlign w:val="center"/>
          </w:tcPr>
          <w:p w14:paraId="6E416F9B">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55寸互动触摸屏</w:t>
            </w:r>
          </w:p>
        </w:tc>
        <w:tc>
          <w:tcPr>
            <w:tcW w:w="418" w:type="pct"/>
            <w:vAlign w:val="center"/>
          </w:tcPr>
          <w:p w14:paraId="244AFBAC">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套</w:t>
            </w:r>
          </w:p>
        </w:tc>
        <w:tc>
          <w:tcPr>
            <w:tcW w:w="455" w:type="pct"/>
            <w:vAlign w:val="center"/>
          </w:tcPr>
          <w:p w14:paraId="3662CF80">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74F07A5E">
            <w:pPr>
              <w:keepNext w:val="0"/>
              <w:keepLines w:val="0"/>
              <w:widowControl/>
              <w:numPr>
                <w:ilvl w:val="0"/>
                <w:numId w:val="3"/>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显示屏尺寸：</w:t>
            </w:r>
            <w:r>
              <w:rPr>
                <w:rFonts w:hint="default" w:ascii="Times New Roman" w:hAnsi="Times New Roman" w:eastAsia="方正兰亭黑简体" w:cs="Times New Roman"/>
                <w:color w:val="auto"/>
                <w:kern w:val="0"/>
                <w:sz w:val="22"/>
                <w:szCs w:val="22"/>
                <w:highlight w:val="none"/>
                <w:u w:val="none"/>
                <w:lang w:bidi="ar"/>
              </w:rPr>
              <w:t>≥</w:t>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55英寸（16：9）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显示屏类型: LED液晶显示屏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画面显示尺寸: 1211.6 x 682.5mm 【HxV】</w:t>
            </w:r>
          </w:p>
          <w:p w14:paraId="451DD65C">
            <w:pPr>
              <w:keepNext w:val="0"/>
              <w:keepLines w:val="0"/>
              <w:widowControl/>
              <w:numPr>
                <w:ilvl w:val="-1"/>
                <w:numId w:val="0"/>
              </w:numPr>
              <w:suppressLineNumbers w:val="0"/>
              <w:spacing w:line="240" w:lineRule="auto"/>
              <w:jc w:val="left"/>
              <w:textAlignment w:val="center"/>
              <w:rPr>
                <w:rFonts w:hint="default" w:ascii="Times New Roman" w:hAnsi="Times New Roman" w:eastAsia="方正兰亭黑简体" w:cs="Times New Roman"/>
                <w:color w:val="auto"/>
                <w:kern w:val="0"/>
                <w:sz w:val="22"/>
                <w:szCs w:val="22"/>
                <w:highlight w:val="none"/>
                <w:u w:val="none"/>
                <w:lang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存储：</w:t>
            </w:r>
            <w:r>
              <w:rPr>
                <w:rFonts w:hint="default" w:ascii="Times New Roman" w:hAnsi="Times New Roman" w:eastAsia="方正兰亭黑简体" w:cs="Times New Roman"/>
                <w:color w:val="auto"/>
                <w:kern w:val="0"/>
                <w:sz w:val="22"/>
                <w:szCs w:val="22"/>
                <w:highlight w:val="none"/>
                <w:u w:val="none"/>
                <w:lang w:bidi="ar"/>
              </w:rPr>
              <w:t>≥</w:t>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 8GB内存，128GB存储</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物理分辨率：</w:t>
            </w:r>
            <w:r>
              <w:rPr>
                <w:rFonts w:hint="default" w:ascii="Times New Roman" w:hAnsi="Times New Roman" w:eastAsia="方正兰亭黑简体" w:cs="Times New Roman"/>
                <w:color w:val="auto"/>
                <w:kern w:val="0"/>
                <w:sz w:val="22"/>
                <w:szCs w:val="22"/>
                <w:highlight w:val="none"/>
                <w:u w:val="none"/>
                <w:lang w:bidi="ar"/>
              </w:rPr>
              <w:t>≥</w:t>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3840（H）×2160（V）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显示色彩：</w:t>
            </w:r>
            <w:r>
              <w:rPr>
                <w:rFonts w:hint="default" w:ascii="Times New Roman" w:hAnsi="Times New Roman" w:eastAsia="方正兰亭黑简体" w:cs="Times New Roman"/>
                <w:color w:val="auto"/>
                <w:kern w:val="0"/>
                <w:sz w:val="22"/>
                <w:szCs w:val="22"/>
                <w:highlight w:val="none"/>
                <w:u w:val="none"/>
                <w:lang w:bidi="ar"/>
              </w:rPr>
              <w:t>≥</w:t>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10bit, 1.07B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刷新率：4K-30HZ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亮度： </w:t>
            </w:r>
            <w:r>
              <w:rPr>
                <w:rFonts w:hint="default" w:ascii="Times New Roman" w:hAnsi="Times New Roman" w:eastAsia="方正兰亭黑简体" w:cs="Times New Roman"/>
                <w:color w:val="auto"/>
                <w:kern w:val="0"/>
                <w:sz w:val="22"/>
                <w:szCs w:val="22"/>
                <w:highlight w:val="none"/>
                <w:u w:val="none"/>
                <w:lang w:bidi="ar"/>
              </w:rPr>
              <w:t>≥</w:t>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300cd/㎡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对比度：</w:t>
            </w:r>
            <w:r>
              <w:rPr>
                <w:rFonts w:hint="default" w:ascii="Times New Roman" w:hAnsi="Times New Roman" w:eastAsia="方正兰亭黑简体" w:cs="Times New Roman"/>
                <w:color w:val="auto"/>
                <w:kern w:val="0"/>
                <w:sz w:val="22"/>
                <w:szCs w:val="22"/>
                <w:highlight w:val="none"/>
                <w:u w:val="none"/>
                <w:lang w:bidi="ar"/>
              </w:rPr>
              <w:t>≥</w:t>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5000：1 </w:t>
            </w:r>
            <w:r>
              <w:rPr>
                <w:rFonts w:hint="default" w:ascii="Times New Roman" w:hAnsi="Times New Roman" w:eastAsia="方正兰亭黑简体" w:cs="Times New Roman"/>
                <w:i w:val="0"/>
                <w:iCs w:val="0"/>
                <w:color w:val="auto"/>
                <w:kern w:val="0"/>
                <w:sz w:val="22"/>
                <w:szCs w:val="22"/>
                <w:highlight w:val="none"/>
                <w:u w:val="none"/>
                <w:lang w:val="en-US" w:eastAsia="zh-CN" w:bidi="ar"/>
              </w:rPr>
              <w:br w:type="textWrapping"/>
            </w:r>
            <w:r>
              <w:rPr>
                <w:rFonts w:hint="default" w:ascii="Times New Roman" w:hAnsi="Times New Roman" w:eastAsia="方正兰亭黑简体" w:cs="Times New Roman"/>
                <w:i w:val="0"/>
                <w:iCs w:val="0"/>
                <w:color w:val="auto"/>
                <w:kern w:val="0"/>
                <w:sz w:val="22"/>
                <w:szCs w:val="22"/>
                <w:highlight w:val="none"/>
                <w:u w:val="none"/>
                <w:lang w:val="en-US" w:eastAsia="zh-CN" w:bidi="ar"/>
              </w:rPr>
              <w:t>屏幕视角：全视角≥</w:t>
            </w:r>
            <w:r>
              <w:rPr>
                <w:rFonts w:hint="default" w:ascii="Times New Roman" w:hAnsi="Times New Roman" w:eastAsia="方正兰亭黑简体" w:cs="Times New Roman"/>
                <w:color w:val="auto"/>
                <w:sz w:val="22"/>
                <w:szCs w:val="22"/>
                <w:highlight w:val="none"/>
              </w:rPr>
              <w:t>17</w:t>
            </w:r>
            <w:r>
              <w:rPr>
                <w:rFonts w:hint="default" w:ascii="Times New Roman" w:hAnsi="Times New Roman" w:eastAsia="方正兰亭黑简体" w:cs="Times New Roman"/>
                <w:color w:val="auto"/>
                <w:sz w:val="22"/>
                <w:szCs w:val="22"/>
                <w:highlight w:val="none"/>
                <w:lang w:val="en-US" w:eastAsia="zh-CN"/>
              </w:rPr>
              <w:t>8</w:t>
            </w:r>
            <w:r>
              <w:rPr>
                <w:rFonts w:hint="default" w:ascii="Times New Roman" w:hAnsi="Times New Roman" w:eastAsia="方正兰亭黑简体" w:cs="Times New Roman"/>
                <w:color w:val="auto"/>
                <w:sz w:val="22"/>
                <w:szCs w:val="22"/>
                <w:highlight w:val="none"/>
              </w:rPr>
              <w:t>°</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i w:val="0"/>
                <w:iCs w:val="0"/>
                <w:color w:val="auto"/>
                <w:kern w:val="0"/>
                <w:sz w:val="22"/>
                <w:szCs w:val="22"/>
                <w:highlight w:val="none"/>
                <w:u w:val="none"/>
                <w:lang w:val="en-US" w:eastAsia="zh-CN" w:bidi="ar"/>
              </w:rPr>
              <w:t xml:space="preserve">  </w:t>
            </w:r>
          </w:p>
        </w:tc>
      </w:tr>
      <w:tr w14:paraId="003823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65" w:type="pct"/>
            <w:vAlign w:val="center"/>
          </w:tcPr>
          <w:p w14:paraId="5CA7A203">
            <w:pPr>
              <w:spacing w:line="24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r>
              <w:rPr>
                <w:rFonts w:hint="default" w:ascii="Times New Roman" w:hAnsi="Times New Roman" w:eastAsia="方正兰亭黑简体" w:cs="Times New Roman"/>
                <w:color w:val="auto"/>
                <w:sz w:val="22"/>
                <w:szCs w:val="22"/>
                <w:highlight w:val="none"/>
                <w:lang w:val="en-US" w:eastAsia="zh-CN"/>
              </w:rPr>
              <w:t>5</w:t>
            </w:r>
          </w:p>
        </w:tc>
        <w:tc>
          <w:tcPr>
            <w:tcW w:w="983" w:type="pct"/>
            <w:vAlign w:val="center"/>
          </w:tcPr>
          <w:p w14:paraId="2C9AF71E">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中控主机</w:t>
            </w:r>
          </w:p>
        </w:tc>
        <w:tc>
          <w:tcPr>
            <w:tcW w:w="418" w:type="pct"/>
            <w:vAlign w:val="center"/>
          </w:tcPr>
          <w:p w14:paraId="090DBFE4">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套</w:t>
            </w:r>
          </w:p>
        </w:tc>
        <w:tc>
          <w:tcPr>
            <w:tcW w:w="455" w:type="pct"/>
            <w:vAlign w:val="center"/>
          </w:tcPr>
          <w:p w14:paraId="313BBDF7">
            <w:pPr>
              <w:keepNext w:val="0"/>
              <w:keepLines w:val="0"/>
              <w:widowControl/>
              <w:suppressLineNumbers w:val="0"/>
              <w:spacing w:line="240" w:lineRule="auto"/>
              <w:jc w:val="center"/>
              <w:textAlignment w:val="center"/>
              <w:rPr>
                <w:rFonts w:hint="default" w:ascii="Times New Roman" w:hAnsi="Times New Roman" w:eastAsia="方正兰亭黑简体" w:cs="Times New Roman"/>
                <w:color w:val="auto"/>
                <w:sz w:val="22"/>
                <w:szCs w:val="22"/>
                <w:highlight w:val="none"/>
                <w:lang w:val="en-US"/>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w:t>
            </w:r>
          </w:p>
        </w:tc>
        <w:tc>
          <w:tcPr>
            <w:tcW w:w="2776" w:type="pct"/>
            <w:vAlign w:val="center"/>
          </w:tcPr>
          <w:p w14:paraId="148F535C">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1、设备采用嵌入式Linux操作系统，服务器架构，支持7X24小时运行；</w:t>
            </w:r>
          </w:p>
          <w:p w14:paraId="41F11106">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2、≥8路可编程隔离低压继电器、≥4路可编程数字I/O输入；</w:t>
            </w:r>
          </w:p>
          <w:p w14:paraId="50FB4B2C">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3、≥3个双向RS-232/485串行通讯口；≥4路可编程单向RS-232串口可以通过软件定义更改为4路红外；</w:t>
            </w:r>
          </w:p>
          <w:p w14:paraId="5A8910AD">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4、≥9路千兆RJ45，最大提供8路POE供电</w:t>
            </w:r>
          </w:p>
          <w:p w14:paraId="585C55FF">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5、先进的空间场所管理理念，配合对应程序编辑软件可以实现多平台、多用户的控制模式；</w:t>
            </w:r>
          </w:p>
          <w:p w14:paraId="0DC3BE34">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6、支持本地及云端在线编程，无需安装软件，任意平台（安卓、IOS、Windows、Linux、麒麟）都可以通过WEB浏览器访问至中控控制UI界面</w:t>
            </w:r>
          </w:p>
          <w:p w14:paraId="2288227E">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7、支持拥有以下类型接口的各类设备：KNX、CAN、ZIGBEE、MODBUS、RS-485/422/232、TCP/IP、UDP/IP、RF-ID、I/O、红外；</w:t>
            </w:r>
          </w:p>
          <w:p w14:paraId="69BF9AEB">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8、配合对应控制软件可以根据需求完全定制控制软件；</w:t>
            </w:r>
          </w:p>
          <w:p w14:paraId="29D4D62C">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9、可支持科大讯飞、阿里语音等智能语音识别平台对接；</w:t>
            </w:r>
          </w:p>
          <w:p w14:paraId="1114A017">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10、可与10键POE面板、10寸POE触摸屏无缝衔接生态链产品，无需任何编程</w:t>
            </w:r>
          </w:p>
          <w:p w14:paraId="3BB3CF5A">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11、可与分布式视频系统结合使用，支持开窗，拼接，漫游，信号切换。</w:t>
            </w:r>
          </w:p>
          <w:p w14:paraId="40729B97">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12、同时支持存储≥10套相互独立的软件，支持多用户、跨平台、分布式控制，适用于多用户集群控制场景</w:t>
            </w:r>
          </w:p>
          <w:p w14:paraId="2A51BFBB">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13、第三方 AV 设备，触摸面板和 BYOD 控制提供最多 255 个 IP 设备连接灵活的可扩展性，可通过网络集成一个或多个 AV 系统</w:t>
            </w:r>
          </w:p>
          <w:p w14:paraId="2E20B093">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14、采用互联网及物联网设计思想，控制上采用神经网络图算法，支持自主绘制任意控制运行图；人机界面符合HTML5标准，支持编制各类生动优美的动态人机交互界面；</w:t>
            </w:r>
          </w:p>
          <w:p w14:paraId="07567261">
            <w:pPr>
              <w:keepNext w:val="0"/>
              <w:keepLines w:val="0"/>
              <w:widowControl/>
              <w:numPr>
                <w:ilvl w:val="0"/>
                <w:numId w:val="0"/>
              </w:numPr>
              <w:suppressLineNumbers w:val="0"/>
              <w:spacing w:line="240" w:lineRule="auto"/>
              <w:jc w:val="left"/>
              <w:textAlignment w:val="center"/>
              <w:rPr>
                <w:rFonts w:hint="default" w:ascii="Times New Roman" w:hAnsi="Times New Roman" w:eastAsia="方正兰亭黑简体" w:cs="Times New Roman"/>
                <w:i w:val="0"/>
                <w:iCs w:val="0"/>
                <w:color w:val="auto"/>
                <w:kern w:val="0"/>
                <w:sz w:val="22"/>
                <w:szCs w:val="22"/>
                <w:highlight w:val="none"/>
                <w:u w:val="none"/>
                <w:lang w:val="en-US" w:eastAsia="zh-CN" w:bidi="ar"/>
              </w:rPr>
            </w:pPr>
            <w:r>
              <w:rPr>
                <w:rFonts w:hint="default" w:ascii="Times New Roman" w:hAnsi="Times New Roman" w:eastAsia="方正兰亭黑简体" w:cs="Times New Roman"/>
                <w:i w:val="0"/>
                <w:iCs w:val="0"/>
                <w:color w:val="auto"/>
                <w:kern w:val="0"/>
                <w:sz w:val="22"/>
                <w:szCs w:val="22"/>
                <w:highlight w:val="none"/>
                <w:u w:val="none"/>
                <w:lang w:val="en-US" w:eastAsia="zh-CN" w:bidi="ar"/>
              </w:rPr>
              <w:t>15、支持控制模块编组成宏，支持用户自建功能模块，可采用脚本语言JavaScript编写；</w:t>
            </w:r>
          </w:p>
        </w:tc>
      </w:tr>
    </w:tbl>
    <w:p w14:paraId="1B8F8BC0">
      <w:pPr>
        <w:spacing w:line="360" w:lineRule="auto"/>
        <w:rPr>
          <w:rFonts w:hint="eastAsia" w:ascii="Times New Roman" w:hAnsi="Times New Roman" w:eastAsia="方正兰亭黑简体" w:cs="Times New Roman"/>
          <w:b/>
          <w:bCs/>
          <w:color w:val="auto"/>
          <w:sz w:val="22"/>
          <w:szCs w:val="22"/>
          <w:highlight w:val="none"/>
          <w:lang w:val="en-US" w:eastAsia="zh-CN"/>
        </w:rPr>
      </w:pPr>
    </w:p>
    <w:p w14:paraId="75A7C11C">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二、技术要求</w:t>
      </w:r>
    </w:p>
    <w:p w14:paraId="2BDB4D3D">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1.功能要求</w:t>
      </w:r>
    </w:p>
    <w:p w14:paraId="4C2D2001">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本项目旨在对校史馆现有展馆空间、展陈设施、数字化设备及相关配套进行专项维修整改，优化校史馆展陈效果，保障校史馆满足日常开放运行的基本要求，进一步发挥校史馆承载校史、传承文化、育人培德的阵地作用。</w:t>
      </w:r>
    </w:p>
    <w:p w14:paraId="16A5EEC4">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针对校史馆各项展陈维修改造内容，需满足以下具体功能要求：</w:t>
      </w:r>
    </w:p>
    <w:p w14:paraId="284D4D60">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（1）性能要求</w:t>
      </w:r>
    </w:p>
    <w:p w14:paraId="4ECA31AB">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所有维修更换的展陈设施、数字化设备需符合对应品类的行业性能标准，安装调试完成后能够稳定运行，满足校史馆每日开放接待的使用需求；</w:t>
      </w:r>
    </w:p>
    <w:p w14:paraId="5F86E499">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所有维修改造环节需适配校史馆现有建筑空间布局与原有展陈体系，改造过程不对现有完好展陈造成二次损坏。</w:t>
      </w:r>
    </w:p>
    <w:p w14:paraId="0A43F7D2">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（2）材料要求</w:t>
      </w:r>
    </w:p>
    <w:p w14:paraId="5A8C5FDA">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所有互动触控设备操作逻辑顺畅，交互反应灵敏，定位准确，无明显卡顿、断连情况；</w:t>
      </w:r>
    </w:p>
    <w:p w14:paraId="10B6031C">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定向音箱音频指向性符合参数要求，不干扰其他展区播放内容，音频清晰无杂音；</w:t>
      </w:r>
    </w:p>
    <w:p w14:paraId="5EBDFC0F">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中控系统可实现对校史馆现有数字化展示设备的统一管控，运行稳定。</w:t>
      </w:r>
    </w:p>
    <w:p w14:paraId="62FE5C2D">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（3）结构要求</w:t>
      </w:r>
    </w:p>
    <w:p w14:paraId="59656424">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完整还原学校发展历史脉络、办学沿革、重大事件、名师校友风采、校园文化成果、荣誉奖项、育人成就等内容展示；</w:t>
      </w:r>
    </w:p>
    <w:p w14:paraId="6799202D">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实现图文展板陈列、实物展品展藏、历史资料归档展示、多媒体影音播放、场景复原、文化讲解等功能；</w:t>
      </w:r>
    </w:p>
    <w:p w14:paraId="6C35AECB">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展厅布局合理，动线流畅，具备参观接待、思政教育、校园文化研学、校史科普宣传功能；</w:t>
      </w:r>
    </w:p>
    <w:p w14:paraId="2DEA0983">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支持日常开放参观、资料查阅，兼顾实体展陈与基础数字化展示，满足学校对外交流、新生入学教育、党史校史学习、文化传承使用需求。</w:t>
      </w:r>
    </w:p>
    <w:p w14:paraId="013F377E">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（4）外观要求</w:t>
      </w:r>
    </w:p>
    <w:p w14:paraId="3FFFCBA9">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所有新增、更换的展具外观风格需与校史馆现有整体展陈风格保持统一，颜色、造型、材质尽量和原有设施保持一致，整体观感协调统一；</w:t>
      </w:r>
    </w:p>
    <w:p w14:paraId="5F206C02">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复刻展品需还原文物史料原有的旧化质感、形制尺寸，做到形神兼备，既保留历史原貌特征，又满足长期展陈的耐用性要求。</w:t>
      </w:r>
    </w:p>
    <w:p w14:paraId="28E0DA35">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所有展陈表面平整光洁，无毛刺、裂缝、变形、掉色等影响观感的缺陷。</w:t>
      </w:r>
    </w:p>
    <w:p w14:paraId="4B1DC48C">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（5）安全审查和保密</w:t>
      </w:r>
    </w:p>
    <w:p w14:paraId="20C2A1D3">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项目实施过程中涉及的未公开校史史料、涉密档案资料需严格遵守学校保密管理规定，所有接触涉密内容的人员需签订保密承诺，项目完成后所有留存的涉密资料需全部移交学校，不得私自留存；</w:t>
      </w:r>
    </w:p>
    <w:p w14:paraId="79FDE64D">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2.应遵循的相关国家标准、行业标准、地方标准等标准、规范</w:t>
      </w:r>
    </w:p>
    <w:p w14:paraId="6BE82C3F">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严格遵守国家及地方关于文化场馆建设、展厅布展、建筑装修、消防安全、文物资料保护、广告标识、室内环保、校园安全相关规范标准：《建筑内部装修设计防火规范》《公共场所消防安全标准》、博物馆及陈列馆通用设计规范、室内装饰装修材料有害物质限量国家标准、校园文化建设相关行业规范、图文展板制作安装规范、档案资料保护管理规范、照明及弱电工程施工规范，同时符合当地教育系统校园建设管理相关规定。</w:t>
      </w:r>
    </w:p>
    <w:p w14:paraId="1E996F52">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3.后续运营维护、升级更新、备品备件等要求</w:t>
      </w:r>
    </w:p>
    <w:p w14:paraId="4B2E04C5">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（1）后续运营维护</w:t>
      </w:r>
    </w:p>
    <w:p w14:paraId="2317472B">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项目建设完成后供应商需为本项目提供自竣工验收合格之日起不少于1年的免费质保服务，质保期内接到报修通知后，需在4小时内响应，24小时内到达现场处理故障，免费更换故障零配件、完成设备调试维修，保障项目正常使用。免费运维服务期满后，供应商需提供终身成本价运维与技术支持服务，明确后续年度运维费用标准与服务内容。</w:t>
      </w:r>
    </w:p>
    <w:p w14:paraId="117092EF">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（2）升级维护要求</w:t>
      </w:r>
    </w:p>
    <w:p w14:paraId="47469C49">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项目完成交付后，若后续需针对展陈内容、数字化展示程序进行小范围调整优化，供应商需配合提供技术支持，针对不涉及整体架构变更的调整提供免费操作指导，如需上门提供调整服务，仅收取成本费用。</w:t>
      </w:r>
    </w:p>
    <w:p w14:paraId="025DB023">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（3）备品备件要求</w:t>
      </w:r>
    </w:p>
    <w:p w14:paraId="2EEFA999">
      <w:pPr>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lang w:val="en-US" w:eastAsia="zh-CN"/>
        </w:rPr>
        <w:t>供应商需针对本项目用到的核心数字化设备，提供不少于3个月用量的常用易损零配件备货保障，如需更换可快速调货供应，保障设备故障后可及时修复。</w:t>
      </w:r>
    </w:p>
    <w:p w14:paraId="72E33785">
      <w:pP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4.各项指标要求</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2"/>
        <w:gridCol w:w="1442"/>
        <w:gridCol w:w="1796"/>
        <w:gridCol w:w="3910"/>
        <w:gridCol w:w="1974"/>
      </w:tblGrid>
      <w:tr w14:paraId="0A5C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4D172C6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序号</w:t>
            </w:r>
          </w:p>
        </w:tc>
        <w:tc>
          <w:tcPr>
            <w:tcW w:w="724" w:type="pct"/>
            <w:vAlign w:val="center"/>
          </w:tcPr>
          <w:p w14:paraId="4D4125B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指标名称</w:t>
            </w:r>
          </w:p>
        </w:tc>
        <w:tc>
          <w:tcPr>
            <w:tcW w:w="902" w:type="pct"/>
            <w:vAlign w:val="center"/>
          </w:tcPr>
          <w:p w14:paraId="16E86100">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是否核心指标</w:t>
            </w:r>
          </w:p>
        </w:tc>
        <w:tc>
          <w:tcPr>
            <w:tcW w:w="1963" w:type="pct"/>
            <w:vAlign w:val="center"/>
          </w:tcPr>
          <w:p w14:paraId="09E1FA1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指标要求</w:t>
            </w:r>
          </w:p>
        </w:tc>
        <w:tc>
          <w:tcPr>
            <w:tcW w:w="991" w:type="pct"/>
            <w:vAlign w:val="center"/>
          </w:tcPr>
          <w:p w14:paraId="4C055152">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是否需要</w:t>
            </w:r>
          </w:p>
          <w:p w14:paraId="0B11E6BB">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证明材料</w:t>
            </w:r>
          </w:p>
        </w:tc>
      </w:tr>
      <w:tr w14:paraId="2F145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60138C66">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724" w:type="pct"/>
            <w:vAlign w:val="center"/>
          </w:tcPr>
          <w:p w14:paraId="1F35B358">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多媒体设备性能指标</w:t>
            </w:r>
          </w:p>
        </w:tc>
        <w:tc>
          <w:tcPr>
            <w:tcW w:w="902" w:type="pct"/>
            <w:vAlign w:val="center"/>
          </w:tcPr>
          <w:p w14:paraId="15FEAAEE">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是</w:t>
            </w:r>
          </w:p>
        </w:tc>
        <w:tc>
          <w:tcPr>
            <w:tcW w:w="1963" w:type="pct"/>
            <w:vAlign w:val="center"/>
          </w:tcPr>
          <w:p w14:paraId="13139A1F">
            <w:pPr>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所更换多媒体设备支持7×24小时连续稳定运行，无明显残影、色差问题</w:t>
            </w:r>
          </w:p>
        </w:tc>
        <w:tc>
          <w:tcPr>
            <w:tcW w:w="991" w:type="pct"/>
            <w:vAlign w:val="center"/>
          </w:tcPr>
          <w:p w14:paraId="2D05E101">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需要</w:t>
            </w:r>
          </w:p>
        </w:tc>
      </w:tr>
      <w:tr w14:paraId="3A26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18" w:type="pct"/>
            <w:vAlign w:val="center"/>
          </w:tcPr>
          <w:p w14:paraId="20428B8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724" w:type="pct"/>
            <w:vAlign w:val="center"/>
          </w:tcPr>
          <w:p w14:paraId="4D212B59">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用电与消防安全指标</w:t>
            </w:r>
          </w:p>
        </w:tc>
        <w:tc>
          <w:tcPr>
            <w:tcW w:w="902" w:type="pct"/>
            <w:vAlign w:val="center"/>
          </w:tcPr>
          <w:p w14:paraId="18A4845F">
            <w:pPr>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是</w:t>
            </w:r>
          </w:p>
        </w:tc>
        <w:tc>
          <w:tcPr>
            <w:tcW w:w="1963" w:type="pct"/>
            <w:vAlign w:val="center"/>
          </w:tcPr>
          <w:p w14:paraId="060F7019">
            <w:pPr>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lang w:val="en-US" w:eastAsia="zh-CN"/>
              </w:rPr>
              <w:t>所有设备符合国家认证标准；满足公共场馆消防验收要求</w:t>
            </w:r>
          </w:p>
        </w:tc>
        <w:tc>
          <w:tcPr>
            <w:tcW w:w="991" w:type="pct"/>
            <w:vAlign w:val="center"/>
          </w:tcPr>
          <w:p w14:paraId="0067E4EE">
            <w:pPr>
              <w:jc w:val="center"/>
              <w:rPr>
                <w:rFonts w:hint="default" w:ascii="Times New Roman" w:hAnsi="Times New Roman" w:eastAsia="方正兰亭黑简体" w:cs="Times New Roman"/>
                <w:color w:val="auto"/>
                <w:sz w:val="22"/>
                <w:szCs w:val="22"/>
                <w:highlight w:val="none"/>
              </w:rPr>
            </w:pPr>
          </w:p>
        </w:tc>
      </w:tr>
    </w:tbl>
    <w:p w14:paraId="4BA36D7D">
      <w:pPr>
        <w:widowControl/>
        <w:shd w:val="clear" w:color="auto" w:fill="FFFFFF"/>
        <w:spacing w:line="24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p>
    <w:p w14:paraId="34E9720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三</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其他要求</w:t>
      </w:r>
    </w:p>
    <w:p w14:paraId="4BC82F22">
      <w:pPr>
        <w:widowControl/>
        <w:shd w:val="clear" w:color="auto" w:fill="FFFFFF"/>
        <w:spacing w:line="360" w:lineRule="auto"/>
        <w:jc w:val="left"/>
        <w:rPr>
          <w:rFonts w:hint="default" w:ascii="Times New Roman" w:hAnsi="Times New Roman" w:eastAsia="方正兰亭黑简体" w:cs="Times New Roman"/>
          <w:color w:val="auto"/>
          <w:sz w:val="22"/>
          <w:szCs w:val="22"/>
          <w:highlight w:val="none"/>
          <w:u w:val="none"/>
          <w:lang w:val="zh-CN" w:eastAsia="zh-CN"/>
        </w:rPr>
      </w:pPr>
      <w:r>
        <w:rPr>
          <w:rFonts w:hint="default" w:ascii="Times New Roman" w:hAnsi="Times New Roman" w:eastAsia="方正兰亭黑简体" w:cs="Times New Roman"/>
          <w:color w:val="auto"/>
          <w:sz w:val="22"/>
          <w:szCs w:val="22"/>
          <w:highlight w:val="none"/>
          <w:u w:val="none"/>
          <w:lang w:val="en-US" w:eastAsia="zh-CN"/>
        </w:rPr>
        <w:t>1、</w:t>
      </w:r>
      <w:r>
        <w:rPr>
          <w:rFonts w:hint="default" w:ascii="Times New Roman" w:hAnsi="Times New Roman" w:eastAsia="方正兰亭黑简体" w:cs="Times New Roman"/>
          <w:snapToGrid w:val="0"/>
          <w:color w:val="auto"/>
          <w:kern w:val="0"/>
          <w:sz w:val="22"/>
          <w:szCs w:val="22"/>
          <w:highlight w:val="none"/>
          <w:lang w:val="zh-CN"/>
        </w:rPr>
        <w:t>包装和运输：</w:t>
      </w:r>
      <w:r>
        <w:rPr>
          <w:rFonts w:hint="default" w:ascii="Times New Roman" w:hAnsi="Times New Roman" w:eastAsia="方正兰亭黑简体" w:cs="Times New Roman"/>
          <w:snapToGrid w:val="0"/>
          <w:color w:val="auto"/>
          <w:kern w:val="0"/>
          <w:sz w:val="22"/>
          <w:szCs w:val="22"/>
          <w:highlight w:val="none"/>
          <w:lang w:val="en-US" w:eastAsia="zh-CN"/>
        </w:rPr>
        <w:t>供应商负责所有货物的包装、运输及卸货，包装须符合国家标准，适合长途运输、多次搬运，保障货物在运输过程中不被损坏，因运输产生的货物损坏、丢失等风险由供应商承担。</w:t>
      </w:r>
    </w:p>
    <w:p w14:paraId="034F0627">
      <w:pPr>
        <w:widowControl/>
        <w:shd w:val="clear" w:color="auto" w:fill="FFFFFF"/>
        <w:spacing w:line="360" w:lineRule="auto"/>
        <w:jc w:val="left"/>
        <w:rPr>
          <w:rFonts w:hint="default" w:ascii="Times New Roman" w:hAnsi="Times New Roman" w:eastAsia="方正兰亭黑简体" w:cs="Times New Roman"/>
          <w:color w:val="auto"/>
          <w:sz w:val="22"/>
          <w:szCs w:val="22"/>
          <w:highlight w:val="none"/>
          <w:u w:val="none"/>
          <w:lang w:val="en-US" w:eastAsia="zh-CN"/>
        </w:rPr>
      </w:pPr>
      <w:r>
        <w:rPr>
          <w:rFonts w:hint="default" w:ascii="Times New Roman" w:hAnsi="Times New Roman" w:eastAsia="方正兰亭黑简体" w:cs="Times New Roman"/>
          <w:color w:val="auto"/>
          <w:sz w:val="22"/>
          <w:szCs w:val="22"/>
          <w:highlight w:val="none"/>
          <w:u w:val="none"/>
          <w:lang w:val="en-US" w:eastAsia="zh-CN"/>
        </w:rPr>
        <w:t>2、培训要求：</w:t>
      </w:r>
      <w:r>
        <w:rPr>
          <w:rFonts w:hint="default" w:ascii="Times New Roman" w:hAnsi="Times New Roman" w:eastAsia="方正兰亭黑简体" w:cs="Times New Roman"/>
          <w:snapToGrid w:val="0"/>
          <w:color w:val="auto"/>
          <w:kern w:val="0"/>
          <w:sz w:val="22"/>
          <w:szCs w:val="22"/>
          <w:highlight w:val="none"/>
          <w:lang w:val="zh-CN"/>
        </w:rPr>
        <w:t>上线前为核心用户提供一次免费培训服务</w:t>
      </w:r>
      <w:r>
        <w:rPr>
          <w:rFonts w:hint="default" w:ascii="Times New Roman" w:hAnsi="Times New Roman" w:eastAsia="方正兰亭黑简体" w:cs="Times New Roman"/>
          <w:color w:val="auto"/>
          <w:sz w:val="22"/>
          <w:szCs w:val="22"/>
          <w:highlight w:val="none"/>
          <w:u w:val="none"/>
          <w:lang w:val="en-US" w:eastAsia="zh-CN"/>
        </w:rPr>
        <w:t>。</w:t>
      </w:r>
    </w:p>
    <w:p w14:paraId="590EB7B8">
      <w:pPr>
        <w:widowControl/>
        <w:shd w:val="clear" w:color="auto" w:fill="FFFFFF"/>
        <w:spacing w:line="360" w:lineRule="auto"/>
        <w:jc w:val="left"/>
        <w:rPr>
          <w:rFonts w:hint="default" w:ascii="Times New Roman" w:hAnsi="Times New Roman" w:eastAsia="方正兰亭黑简体" w:cs="Times New Roman"/>
          <w:snapToGrid w:val="0"/>
          <w:color w:val="auto"/>
          <w:kern w:val="0"/>
          <w:sz w:val="22"/>
          <w:szCs w:val="22"/>
          <w:highlight w:val="none"/>
          <w:lang w:val="en-US" w:eastAsia="zh-CN"/>
        </w:rPr>
      </w:pPr>
      <w:r>
        <w:rPr>
          <w:rFonts w:hint="default" w:ascii="Times New Roman" w:hAnsi="Times New Roman" w:eastAsia="方正兰亭黑简体" w:cs="Times New Roman"/>
          <w:color w:val="auto"/>
          <w:sz w:val="22"/>
          <w:szCs w:val="22"/>
          <w:highlight w:val="none"/>
          <w:u w:val="none"/>
          <w:lang w:val="en-US" w:eastAsia="zh-CN"/>
        </w:rPr>
        <w:t>3、履约验收：</w:t>
      </w:r>
      <w:r>
        <w:rPr>
          <w:rFonts w:hint="default" w:ascii="Times New Roman" w:hAnsi="Times New Roman" w:eastAsia="方正兰亭黑简体" w:cs="Times New Roman"/>
          <w:snapToGrid w:val="0"/>
          <w:color w:val="auto"/>
          <w:kern w:val="0"/>
          <w:sz w:val="22"/>
          <w:szCs w:val="22"/>
          <w:highlight w:val="none"/>
          <w:lang w:val="en-US" w:eastAsia="zh-CN"/>
        </w:rPr>
        <w:t>严格按照本采购文件提出的需求、质量规范和验收标准执行，验收由采购人组织相关部门及专业人员开展，验收不合格的，供应商需在规定期限内更换调试至合格，由此产生的费用及延误损失由供应商承担。</w:t>
      </w:r>
    </w:p>
    <w:p w14:paraId="4574C656">
      <w:pPr>
        <w:widowControl/>
        <w:shd w:val="clear" w:color="auto" w:fill="FFFFFF"/>
        <w:spacing w:line="360" w:lineRule="auto"/>
        <w:jc w:val="left"/>
        <w:rPr>
          <w:rFonts w:hint="eastAsia" w:ascii="Times New Roman" w:hAnsi="Times New Roman" w:eastAsia="方正兰亭黑简体" w:cs="Times New Roman"/>
          <w:color w:val="auto"/>
          <w:sz w:val="22"/>
          <w:szCs w:val="22"/>
          <w:highlight w:val="none"/>
          <w:u w:val="none"/>
          <w:lang w:val="en-US" w:eastAsia="zh-CN"/>
        </w:rPr>
      </w:pPr>
      <w:r>
        <w:rPr>
          <w:rFonts w:hint="eastAsia" w:ascii="Times New Roman" w:hAnsi="Times New Roman" w:eastAsia="方正兰亭黑简体" w:cs="Times New Roman"/>
          <w:color w:val="auto"/>
          <w:sz w:val="22"/>
          <w:szCs w:val="22"/>
          <w:highlight w:val="none"/>
          <w:u w:val="none"/>
          <w:lang w:val="en-US" w:eastAsia="zh-CN"/>
        </w:rPr>
        <w:t>4、供应商需服从学校施工现场管理，遵守学校校园管理、安全生产管理相关规定，文明施工，做好施工区域防尘降噪防护，施工垃圾自行清运出场，因施工造成的设施损坏、安全事故由供应商承担全部责任。</w:t>
      </w:r>
    </w:p>
    <w:p w14:paraId="5522F373">
      <w:pPr>
        <w:widowControl/>
        <w:shd w:val="clear" w:color="auto" w:fill="FFFFFF"/>
        <w:spacing w:line="24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p>
    <w:p w14:paraId="16FF0B65">
      <w:pPr>
        <w:widowControl/>
        <w:shd w:val="clear" w:color="auto" w:fill="FFFFFF"/>
        <w:spacing w:line="240" w:lineRule="auto"/>
        <w:jc w:val="left"/>
        <w:rPr>
          <w:rFonts w:hint="default"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四</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部分结构图</w:t>
      </w:r>
    </w:p>
    <w:p w14:paraId="6CA624D2">
      <w:pPr>
        <w:widowControl/>
        <w:shd w:val="clear" w:color="auto" w:fill="FFFFFF"/>
        <w:spacing w:line="360" w:lineRule="auto"/>
        <w:jc w:val="left"/>
        <w:rPr>
          <w:rFonts w:hint="eastAsia" w:ascii="黑体" w:hAnsi="黑体" w:eastAsia="黑体" w:cs="黑体"/>
          <w:i/>
          <w:color w:val="auto"/>
          <w:sz w:val="24"/>
          <w:szCs w:val="24"/>
          <w:highlight w:val="none"/>
          <w:lang w:eastAsia="zh-CN"/>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r>
        <w:rPr>
          <w:rFonts w:hint="eastAsia" w:ascii="黑体" w:hAnsi="黑体" w:eastAsia="黑体" w:cs="黑体"/>
          <w:i/>
          <w:color w:val="auto"/>
          <w:sz w:val="24"/>
          <w:szCs w:val="24"/>
          <w:highlight w:val="none"/>
          <w:lang w:eastAsia="zh-CN"/>
        </w:rPr>
        <w:drawing>
          <wp:inline distT="0" distB="0" distL="114300" distR="114300">
            <wp:extent cx="2467610" cy="2353310"/>
            <wp:effectExtent l="0" t="0" r="8890" b="8890"/>
            <wp:docPr id="2" name="图片 2" descr="f726f88daabbef556afa8c1bc9c5b4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726f88daabbef556afa8c1bc9c5b4b2"/>
                    <pic:cNvPicPr>
                      <a:picLocks noChangeAspect="1"/>
                    </pic:cNvPicPr>
                  </pic:nvPicPr>
                  <pic:blipFill>
                    <a:blip r:embed="rId5"/>
                    <a:stretch>
                      <a:fillRect/>
                    </a:stretch>
                  </pic:blipFill>
                  <pic:spPr>
                    <a:xfrm>
                      <a:off x="0" y="0"/>
                      <a:ext cx="2467610" cy="2353310"/>
                    </a:xfrm>
                    <a:prstGeom prst="rect">
                      <a:avLst/>
                    </a:prstGeom>
                  </pic:spPr>
                </pic:pic>
              </a:graphicData>
            </a:graphic>
          </wp:inline>
        </w:drawing>
      </w:r>
      <w:r>
        <w:rPr>
          <w:rFonts w:hint="eastAsia" w:ascii="宋体" w:hAnsi="宋体" w:eastAsia="宋体" w:cs="宋体"/>
          <w:i w:val="0"/>
          <w:iCs w:val="0"/>
          <w:color w:val="auto"/>
          <w:kern w:val="0"/>
          <w:sz w:val="21"/>
          <w:szCs w:val="21"/>
          <w:highlight w:val="none"/>
          <w:u w:val="none"/>
          <w:lang w:val="en-US" w:eastAsia="zh-CN" w:bidi="ar"/>
        </w:rPr>
        <w:drawing>
          <wp:inline distT="0" distB="0" distL="114300" distR="114300">
            <wp:extent cx="3591560" cy="2355850"/>
            <wp:effectExtent l="0" t="0" r="2540" b="6350"/>
            <wp:docPr id="3" name="图片 3" descr="be9ee05ac132d6033585c7f91a3211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e9ee05ac132d6033585c7f91a3211c2"/>
                    <pic:cNvPicPr>
                      <a:picLocks noChangeAspect="1"/>
                    </pic:cNvPicPr>
                  </pic:nvPicPr>
                  <pic:blipFill>
                    <a:blip r:embed="rId6"/>
                    <a:stretch>
                      <a:fillRect/>
                    </a:stretch>
                  </pic:blipFill>
                  <pic:spPr>
                    <a:xfrm>
                      <a:off x="0" y="0"/>
                      <a:ext cx="3591560" cy="2355850"/>
                    </a:xfrm>
                    <a:prstGeom prst="rect">
                      <a:avLst/>
                    </a:prstGeom>
                  </pic:spPr>
                </pic:pic>
              </a:graphicData>
            </a:graphic>
          </wp:inline>
        </w:drawing>
      </w:r>
    </w:p>
    <w:p w14:paraId="0E3862A7">
      <w:pPr>
        <w:widowControl/>
        <w:shd w:val="clear" w:color="auto" w:fill="FFFFFF"/>
        <w:spacing w:line="360" w:lineRule="auto"/>
        <w:jc w:val="left"/>
        <w:rPr>
          <w:rFonts w:hint="eastAsia" w:ascii="黑体" w:hAnsi="黑体" w:eastAsia="黑体" w:cs="黑体"/>
          <w:i/>
          <w:color w:val="auto"/>
          <w:sz w:val="24"/>
          <w:szCs w:val="24"/>
          <w:highlight w:val="none"/>
          <w:lang w:val="en-US" w:eastAsia="zh-CN"/>
        </w:rPr>
      </w:pPr>
    </w:p>
    <w:p w14:paraId="50E7699B">
      <w:pPr>
        <w:widowControl/>
        <w:shd w:val="clear" w:color="auto" w:fill="FFFFFF"/>
        <w:spacing w:line="360" w:lineRule="auto"/>
        <w:jc w:val="left"/>
        <w:rPr>
          <w:rFonts w:hint="eastAsia" w:ascii="宋体" w:hAnsi="宋体" w:eastAsia="宋体" w:cs="宋体"/>
          <w:i w:val="0"/>
          <w:iCs w:val="0"/>
          <w:color w:val="auto"/>
          <w:kern w:val="0"/>
          <w:sz w:val="21"/>
          <w:szCs w:val="21"/>
          <w:highlight w:val="none"/>
          <w:u w:val="none"/>
          <w:lang w:val="en-US" w:eastAsia="zh-CN" w:bidi="ar"/>
        </w:rPr>
        <w:sectPr>
          <w:type w:val="continuous"/>
          <w:pgSz w:w="11906" w:h="16838"/>
          <w:pgMar w:top="1440" w:right="1080" w:bottom="1440" w:left="1080" w:header="851" w:footer="992" w:gutter="0"/>
          <w:pgNumType w:fmt="decimal"/>
          <w:cols w:equalWidth="0" w:num="2">
            <w:col w:w="4660" w:space="425"/>
            <w:col w:w="4660"/>
          </w:cols>
          <w:docGrid w:type="lines" w:linePitch="312" w:charSpace="0"/>
        </w:sectPr>
      </w:pPr>
    </w:p>
    <w:p w14:paraId="07BEF80D">
      <w:pPr>
        <w:widowControl/>
        <w:shd w:val="clear" w:color="auto" w:fill="FFFFFF"/>
        <w:spacing w:line="360" w:lineRule="auto"/>
        <w:ind w:firstLine="1050" w:firstLineChars="500"/>
        <w:jc w:val="left"/>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图1 新增展柜                             图2 新增展柜玻璃罩</w:t>
      </w:r>
    </w:p>
    <w:p w14:paraId="3023AC78">
      <w:pPr>
        <w:widowControl/>
        <w:shd w:val="clear" w:color="auto" w:fill="FFFFFF"/>
        <w:spacing w:line="360" w:lineRule="auto"/>
        <w:jc w:val="left"/>
        <w:rPr>
          <w:rFonts w:hint="default" w:ascii="宋体" w:hAnsi="宋体" w:eastAsia="宋体" w:cs="宋体"/>
          <w:i w:val="0"/>
          <w:iCs w:val="0"/>
          <w:color w:val="auto"/>
          <w:kern w:val="0"/>
          <w:sz w:val="21"/>
          <w:szCs w:val="21"/>
          <w:highlight w:val="none"/>
          <w:u w:val="none"/>
          <w:lang w:val="en-US" w:eastAsia="zh-CN" w:bidi="ar"/>
        </w:rPr>
      </w:pP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4"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3"/>
        <w:gridCol w:w="1734"/>
        <w:gridCol w:w="713"/>
        <w:gridCol w:w="6830"/>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6"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3"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36"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3" w:type="pct"/>
            <w:noWrap w:val="0"/>
            <w:vAlign w:val="center"/>
          </w:tcPr>
          <w:p w14:paraId="4BAF216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54A2B2C">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436" w:type="pct"/>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w:t>
            </w:r>
            <w:r>
              <w:rPr>
                <w:rFonts w:hint="eastAsia" w:ascii="方正兰亭黑简体" w:hAnsi="方正兰亭黑简体" w:eastAsia="方正兰亭黑简体" w:cs="方正兰亭黑简体"/>
                <w:color w:val="auto"/>
                <w:sz w:val="20"/>
                <w:szCs w:val="20"/>
                <w:highlight w:val="none"/>
              </w:rPr>
              <w:t>近3年（合同签订日期自202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月起至今）</w:t>
            </w:r>
            <w:r>
              <w:rPr>
                <w:rFonts w:hint="eastAsia" w:ascii="方正兰亭黑简体" w:hAnsi="方正兰亭黑简体" w:eastAsia="方正兰亭黑简体" w:cs="方正兰亭黑简体"/>
                <w:color w:val="auto"/>
                <w:sz w:val="20"/>
                <w:szCs w:val="20"/>
                <w:highlight w:val="none"/>
                <w:lang w:val="en-US" w:eastAsia="zh-CN"/>
              </w:rPr>
              <w:t>业绩案例</w:t>
            </w:r>
            <w:r>
              <w:rPr>
                <w:rFonts w:hint="eastAsia" w:ascii="方正兰亭黑简体" w:hAnsi="方正兰亭黑简体" w:eastAsia="方正兰亭黑简体" w:cs="方正兰亭黑简体"/>
                <w:color w:val="auto"/>
                <w:sz w:val="20"/>
                <w:szCs w:val="20"/>
                <w:highlight w:val="none"/>
              </w:rPr>
              <w:t>。（每提供1个得</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分；最高得1</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3" w:type="pct"/>
            <w:noWrap w:val="0"/>
            <w:vAlign w:val="center"/>
          </w:tcPr>
          <w:p w14:paraId="069DEA5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技术响应程度</w:t>
            </w:r>
          </w:p>
          <w:p w14:paraId="1793C67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0332D3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3436" w:type="pct"/>
            <w:shd w:val="clear" w:color="auto" w:fill="auto"/>
            <w:noWrap w:val="0"/>
            <w:vAlign w:val="center"/>
          </w:tcPr>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针对第</w:t>
            </w:r>
            <w:r>
              <w:rPr>
                <w:rFonts w:hint="eastAsia" w:ascii="方正兰亭黑简体" w:hAnsi="方正兰亭黑简体" w:eastAsia="方正兰亭黑简体" w:cs="方正兰亭黑简体"/>
                <w:color w:val="auto"/>
                <w:sz w:val="20"/>
                <w:szCs w:val="20"/>
                <w:highlight w:val="none"/>
                <w:lang w:val="en-US" w:eastAsia="zh-CN"/>
              </w:rPr>
              <w:t>二</w:t>
            </w:r>
            <w:r>
              <w:rPr>
                <w:rFonts w:hint="eastAsia" w:ascii="方正兰亭黑简体" w:hAnsi="方正兰亭黑简体" w:eastAsia="方正兰亭黑简体" w:cs="方正兰亭黑简体"/>
                <w:color w:val="auto"/>
                <w:sz w:val="20"/>
                <w:szCs w:val="20"/>
                <w:highlight w:val="none"/>
              </w:rPr>
              <w:t>章中的</w:t>
            </w:r>
            <w:r>
              <w:rPr>
                <w:rFonts w:hint="eastAsia" w:ascii="方正兰亭黑简体" w:hAnsi="方正兰亭黑简体" w:eastAsia="方正兰亭黑简体" w:cs="方正兰亭黑简体"/>
                <w:color w:val="auto"/>
                <w:sz w:val="20"/>
                <w:szCs w:val="20"/>
                <w:highlight w:val="none"/>
                <w:lang w:val="en-US" w:eastAsia="zh-CN"/>
              </w:rPr>
              <w:t>采购需求</w:t>
            </w:r>
            <w:r>
              <w:rPr>
                <w:rFonts w:hint="eastAsia" w:ascii="方正兰亭黑简体" w:hAnsi="方正兰亭黑简体" w:eastAsia="方正兰亭黑简体" w:cs="方正兰亭黑简体"/>
                <w:color w:val="auto"/>
                <w:sz w:val="20"/>
                <w:szCs w:val="20"/>
                <w:highlight w:val="none"/>
              </w:rPr>
              <w:t>：不满足技术条款的，每项扣</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分；扣完为止。</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3" w:type="pct"/>
            <w:tcBorders>
              <w:top w:val="single" w:color="auto" w:sz="6" w:space="0"/>
              <w:left w:val="single" w:color="auto" w:sz="6" w:space="0"/>
              <w:bottom w:val="single" w:color="auto" w:sz="6" w:space="0"/>
              <w:right w:val="single" w:color="auto" w:sz="6" w:space="0"/>
            </w:tcBorders>
            <w:noWrap w:val="0"/>
            <w:vAlign w:val="center"/>
          </w:tcPr>
          <w:p w14:paraId="5083A71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产品性能介绍</w:t>
            </w:r>
          </w:p>
          <w:p w14:paraId="1A5865D0">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3662F0A0">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3436" w:type="pct"/>
            <w:noWrap w:val="0"/>
            <w:vAlign w:val="center"/>
          </w:tcPr>
          <w:p w14:paraId="37F6985E">
            <w:pPr>
              <w:spacing w:line="360" w:lineRule="auto"/>
              <w:jc w:val="both"/>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8～10</w:t>
            </w:r>
            <w:r>
              <w:rPr>
                <w:rFonts w:hint="eastAsia" w:ascii="方正兰亭黑简体" w:hAnsi="方正兰亭黑简体" w:eastAsia="方正兰亭黑简体" w:cs="方正兰亭黑简体"/>
                <w:color w:val="auto"/>
                <w:sz w:val="20"/>
                <w:szCs w:val="20"/>
                <w:highlight w:val="none"/>
              </w:rPr>
              <w:t>分）：详细介绍了产品的各项性能参数</w:t>
            </w:r>
            <w:r>
              <w:rPr>
                <w:rFonts w:hint="eastAsia" w:ascii="方正兰亭黑简体" w:hAnsi="方正兰亭黑简体" w:eastAsia="方正兰亭黑简体" w:cs="方正兰亭黑简体"/>
                <w:color w:val="auto"/>
                <w:sz w:val="20"/>
                <w:szCs w:val="20"/>
                <w:highlight w:val="none"/>
                <w:lang w:eastAsia="zh-CN"/>
              </w:rPr>
              <w:t>。</w:t>
            </w:r>
          </w:p>
          <w:p w14:paraId="62A7189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5～7</w:t>
            </w:r>
            <w:r>
              <w:rPr>
                <w:rFonts w:hint="eastAsia" w:ascii="方正兰亭黑简体" w:hAnsi="方正兰亭黑简体" w:eastAsia="方正兰亭黑简体" w:cs="方正兰亭黑简体"/>
                <w:color w:val="auto"/>
                <w:sz w:val="20"/>
                <w:szCs w:val="20"/>
                <w:highlight w:val="none"/>
              </w:rPr>
              <w:t>分）：较全面地介绍了产品的性能参数。</w:t>
            </w:r>
          </w:p>
          <w:p w14:paraId="70A493C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2～4</w:t>
            </w:r>
            <w:r>
              <w:rPr>
                <w:rFonts w:hint="eastAsia" w:ascii="方正兰亭黑简体" w:hAnsi="方正兰亭黑简体" w:eastAsia="方正兰亭黑简体" w:cs="方正兰亭黑简体"/>
                <w:color w:val="auto"/>
                <w:sz w:val="20"/>
                <w:szCs w:val="20"/>
                <w:highlight w:val="none"/>
              </w:rPr>
              <w:t>分）：介绍了部分性能参数，但不够全面或详细。</w:t>
            </w:r>
          </w:p>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分）：性能参数介绍不完整或存在明显错误。</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3" w:type="pct"/>
            <w:noWrap w:val="0"/>
            <w:vAlign w:val="center"/>
          </w:tcPr>
          <w:p w14:paraId="555CFAE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技术支持与</w:t>
            </w:r>
            <w:r>
              <w:rPr>
                <w:rFonts w:hint="eastAsia" w:ascii="方正兰亭黑简体" w:hAnsi="方正兰亭黑简体" w:eastAsia="方正兰亭黑简体" w:cs="方正兰亭黑简体"/>
                <w:color w:val="auto"/>
                <w:sz w:val="20"/>
                <w:szCs w:val="20"/>
                <w:highlight w:val="none"/>
                <w:lang w:val="en-US" w:eastAsia="zh-CN"/>
              </w:rPr>
              <w:t>售后</w:t>
            </w:r>
            <w:r>
              <w:rPr>
                <w:rFonts w:hint="eastAsia" w:ascii="方正兰亭黑简体" w:hAnsi="方正兰亭黑简体" w:eastAsia="方正兰亭黑简体" w:cs="方正兰亭黑简体"/>
                <w:color w:val="auto"/>
                <w:sz w:val="20"/>
                <w:szCs w:val="20"/>
                <w:highlight w:val="none"/>
              </w:rPr>
              <w:t>服务</w:t>
            </w:r>
          </w:p>
          <w:p w14:paraId="1F53F634">
            <w:pPr>
              <w:pStyle w:val="13"/>
              <w:spacing w:line="360" w:lineRule="auto"/>
              <w:ind w:firstLine="200" w:firstLineChars="100"/>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3436" w:type="pct"/>
            <w:noWrap w:val="0"/>
            <w:vAlign w:val="center"/>
          </w:tcPr>
          <w:p w14:paraId="566D5B29">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12～15</w:t>
            </w:r>
            <w:r>
              <w:rPr>
                <w:rFonts w:hint="eastAsia" w:ascii="方正兰亭黑简体" w:hAnsi="方正兰亭黑简体" w:eastAsia="方正兰亭黑简体" w:cs="方正兰亭黑简体"/>
                <w:color w:val="auto"/>
                <w:sz w:val="20"/>
                <w:szCs w:val="20"/>
                <w:highlight w:val="none"/>
              </w:rPr>
              <w:t>分）：提供了详尽的技术支持方案</w:t>
            </w:r>
            <w:r>
              <w:rPr>
                <w:rFonts w:hint="eastAsia" w:ascii="方正兰亭黑简体" w:hAnsi="方正兰亭黑简体" w:eastAsia="方正兰亭黑简体" w:cs="方正兰亭黑简体"/>
                <w:color w:val="auto"/>
                <w:sz w:val="20"/>
                <w:szCs w:val="20"/>
                <w:highlight w:val="none"/>
                <w:lang w:val="en-US" w:eastAsia="zh-CN"/>
              </w:rPr>
              <w:t>以及售后服务方案</w:t>
            </w:r>
            <w:r>
              <w:rPr>
                <w:rFonts w:hint="eastAsia" w:ascii="方正兰亭黑简体" w:hAnsi="方正兰亭黑简体" w:eastAsia="方正兰亭黑简体" w:cs="方正兰亭黑简体"/>
                <w:color w:val="auto"/>
                <w:sz w:val="20"/>
                <w:szCs w:val="20"/>
                <w:highlight w:val="none"/>
              </w:rPr>
              <w:t>，包括快速响应机制、服务承诺等。</w:t>
            </w:r>
          </w:p>
          <w:p w14:paraId="1B65085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8～11</w:t>
            </w:r>
            <w:r>
              <w:rPr>
                <w:rFonts w:hint="eastAsia" w:ascii="方正兰亭黑简体" w:hAnsi="方正兰亭黑简体" w:eastAsia="方正兰亭黑简体" w:cs="方正兰亭黑简体"/>
                <w:color w:val="auto"/>
                <w:sz w:val="20"/>
                <w:szCs w:val="20"/>
                <w:highlight w:val="none"/>
              </w:rPr>
              <w:t>分）：提供了较为全面的技术支持方案</w:t>
            </w:r>
            <w:r>
              <w:rPr>
                <w:rFonts w:hint="eastAsia" w:ascii="方正兰亭黑简体" w:hAnsi="方正兰亭黑简体" w:eastAsia="方正兰亭黑简体" w:cs="方正兰亭黑简体"/>
                <w:color w:val="auto"/>
                <w:sz w:val="20"/>
                <w:szCs w:val="20"/>
                <w:highlight w:val="none"/>
                <w:lang w:val="en-US" w:eastAsia="zh-CN"/>
              </w:rPr>
              <w:t>和售后服务方案</w:t>
            </w:r>
            <w:r>
              <w:rPr>
                <w:rFonts w:hint="eastAsia" w:ascii="方正兰亭黑简体" w:hAnsi="方正兰亭黑简体" w:eastAsia="方正兰亭黑简体" w:cs="方正兰亭黑简体"/>
                <w:color w:val="auto"/>
                <w:sz w:val="20"/>
                <w:szCs w:val="20"/>
                <w:highlight w:val="none"/>
              </w:rPr>
              <w:t>，但计划不够详细。</w:t>
            </w:r>
          </w:p>
          <w:p w14:paraId="2E6A021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4～7</w:t>
            </w:r>
            <w:r>
              <w:rPr>
                <w:rFonts w:hint="eastAsia" w:ascii="方正兰亭黑简体" w:hAnsi="方正兰亭黑简体" w:eastAsia="方正兰亭黑简体" w:cs="方正兰亭黑简体"/>
                <w:color w:val="auto"/>
                <w:sz w:val="20"/>
                <w:szCs w:val="20"/>
                <w:highlight w:val="none"/>
              </w:rPr>
              <w:t>分）：方案较为简单，缺乏</w:t>
            </w:r>
            <w:r>
              <w:rPr>
                <w:rFonts w:hint="eastAsia" w:ascii="方正兰亭黑简体" w:hAnsi="方正兰亭黑简体" w:eastAsia="方正兰亭黑简体" w:cs="方正兰亭黑简体"/>
                <w:color w:val="auto"/>
                <w:sz w:val="20"/>
                <w:szCs w:val="20"/>
                <w:highlight w:val="none"/>
                <w:lang w:val="en-US" w:eastAsia="zh-CN"/>
              </w:rPr>
              <w:t>具体的</w:t>
            </w:r>
            <w:r>
              <w:rPr>
                <w:rFonts w:hint="eastAsia" w:ascii="方正兰亭黑简体" w:hAnsi="方正兰亭黑简体" w:eastAsia="方正兰亭黑简体" w:cs="方正兰亭黑简体"/>
                <w:color w:val="auto"/>
                <w:sz w:val="20"/>
                <w:szCs w:val="20"/>
                <w:highlight w:val="none"/>
              </w:rPr>
              <w:t>计划。</w:t>
            </w:r>
          </w:p>
          <w:p w14:paraId="4BA2770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分）：未提供技术支持方案或售后服务承诺。</w:t>
            </w:r>
          </w:p>
        </w:tc>
      </w:tr>
    </w:tbl>
    <w:p w14:paraId="71E5B026">
      <w:pPr>
        <w:jc w:val="center"/>
        <w:rPr>
          <w:rFonts w:hint="eastAsia" w:ascii="方正兰亭黑简体" w:hAnsi="方正兰亭黑简体" w:eastAsia="方正兰亭黑简体" w:cs="方正兰亭黑简体"/>
          <w:b/>
          <w:bCs/>
          <w:color w:val="auto"/>
          <w:sz w:val="24"/>
          <w:szCs w:val="32"/>
          <w:highlight w:val="none"/>
          <w:lang w:val="en-US" w:eastAsia="zh-CN"/>
        </w:rPr>
        <w:sectPr>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项目编号：HFBX2026051</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18"/>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3"/>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7"/>
        <w:rPr>
          <w:rFonts w:hint="default" w:ascii="方正兰亭黑简体" w:hAnsi="方正兰亭黑简体" w:eastAsia="方正兰亭黑简体" w:cs="方正兰亭黑简体"/>
          <w:color w:val="auto"/>
          <w:sz w:val="22"/>
          <w:szCs w:val="28"/>
          <w:highlight w:val="none"/>
          <w:lang w:val="en-US" w:eastAsia="zh-CN"/>
        </w:rPr>
      </w:pPr>
    </w:p>
    <w:p w14:paraId="3F5F1DB4">
      <w:pPr>
        <w:pStyle w:val="7"/>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6"/>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2B8BACC-7DED-42ED-B569-FD6CD2ABA06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E78137E4-0B85-40DB-A60F-7023BECE59E0}"/>
  </w:font>
  <w:font w:name="华文楷体">
    <w:panose1 w:val="02010600040101010101"/>
    <w:charset w:val="86"/>
    <w:family w:val="auto"/>
    <w:pitch w:val="default"/>
    <w:sig w:usb0="A00002BF" w:usb1="78CF7CFB" w:usb2="00000016" w:usb3="00000000" w:csb0="6006009F" w:csb1="DFD70000"/>
    <w:embedRegular r:id="rId3" w:fontKey="{73DB1179-715C-4E8F-8D96-50ED200B476E}"/>
  </w:font>
  <w:font w:name="方正仿宋_GB2312">
    <w:panose1 w:val="02000000000000000000"/>
    <w:charset w:val="86"/>
    <w:family w:val="auto"/>
    <w:pitch w:val="default"/>
    <w:sig w:usb0="A00002BF" w:usb1="184F6CFA" w:usb2="00000012" w:usb3="00000000" w:csb0="00040001" w:csb1="00000000"/>
    <w:embedRegular r:id="rId4" w:fontKey="{9C12707B-5B6D-41FD-83BE-2A8669D450F7}"/>
  </w:font>
  <w:font w:name="仿宋">
    <w:panose1 w:val="02010609060101010101"/>
    <w:charset w:val="86"/>
    <w:family w:val="modern"/>
    <w:pitch w:val="default"/>
    <w:sig w:usb0="800002BF" w:usb1="38CF7CFA" w:usb2="00000016" w:usb3="00000000" w:csb0="00040001" w:csb1="00000000"/>
    <w:embedRegular r:id="rId5" w:fontKey="{04670C9F-2384-4D6A-97F1-64C5B93BECC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DC32A3"/>
    <w:multiLevelType w:val="singleLevel"/>
    <w:tmpl w:val="B0DC32A3"/>
    <w:lvl w:ilvl="0" w:tentative="0">
      <w:start w:val="1"/>
      <w:numFmt w:val="decimal"/>
      <w:suff w:val="nothing"/>
      <w:lvlText w:val="%1、"/>
      <w:lvlJc w:val="left"/>
    </w:lvl>
  </w:abstractNum>
  <w:abstractNum w:abstractNumId="1">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2">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875321F"/>
    <w:rsid w:val="09642E33"/>
    <w:rsid w:val="0AAB1FDD"/>
    <w:rsid w:val="0B7B6E53"/>
    <w:rsid w:val="146C6B60"/>
    <w:rsid w:val="15285D7F"/>
    <w:rsid w:val="157E6317"/>
    <w:rsid w:val="15D04D45"/>
    <w:rsid w:val="1B307278"/>
    <w:rsid w:val="1C3A58A9"/>
    <w:rsid w:val="1D2B42FB"/>
    <w:rsid w:val="1DF9272E"/>
    <w:rsid w:val="22AA0589"/>
    <w:rsid w:val="24050543"/>
    <w:rsid w:val="26C52776"/>
    <w:rsid w:val="2DAA3F84"/>
    <w:rsid w:val="2E691D1D"/>
    <w:rsid w:val="2FB07FD7"/>
    <w:rsid w:val="3A774F92"/>
    <w:rsid w:val="3CFB52B6"/>
    <w:rsid w:val="3D6469F5"/>
    <w:rsid w:val="3DBA1AA2"/>
    <w:rsid w:val="3E5C4869"/>
    <w:rsid w:val="3FCC680A"/>
    <w:rsid w:val="41007DAA"/>
    <w:rsid w:val="45DB0FAA"/>
    <w:rsid w:val="480A63EB"/>
    <w:rsid w:val="4A2362AE"/>
    <w:rsid w:val="4AFC4A60"/>
    <w:rsid w:val="4CC21E26"/>
    <w:rsid w:val="4EFD134C"/>
    <w:rsid w:val="4F391D3A"/>
    <w:rsid w:val="55CF5109"/>
    <w:rsid w:val="57117CB6"/>
    <w:rsid w:val="573107A3"/>
    <w:rsid w:val="5AEA704B"/>
    <w:rsid w:val="5CB31D19"/>
    <w:rsid w:val="5D66061F"/>
    <w:rsid w:val="5E8720EC"/>
    <w:rsid w:val="5EE9209B"/>
    <w:rsid w:val="62DD78C6"/>
    <w:rsid w:val="63DF4A20"/>
    <w:rsid w:val="684F045C"/>
    <w:rsid w:val="699E1F48"/>
    <w:rsid w:val="6C3138A4"/>
    <w:rsid w:val="6E3767B2"/>
    <w:rsid w:val="6FC06751"/>
    <w:rsid w:val="769D2894"/>
    <w:rsid w:val="794117F3"/>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5"/>
    <w:qFormat/>
    <w:uiPriority w:val="0"/>
    <w:pPr>
      <w:widowControl/>
      <w:spacing w:after="120"/>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character" w:customStyle="1" w:styleId="23">
    <w:name w:val="楷体 (中文) 楷体"/>
    <w:qFormat/>
    <w:uiPriority w:val="0"/>
    <w:rPr>
      <w:rFonts w:ascii="楷体" w:hAnsi="楷体" w:eastAsia="楷体"/>
      <w:kern w:val="1"/>
      <w:sz w:val="28"/>
    </w:rPr>
  </w:style>
  <w:style w:type="paragraph" w:customStyle="1" w:styleId="24">
    <w:name w:val="正文11"/>
    <w:basedOn w:val="1"/>
    <w:qFormat/>
    <w:uiPriority w:val="0"/>
    <w:pPr>
      <w:ind w:firstLine="560" w:firstLineChars="200"/>
    </w:pPr>
    <w:rPr>
      <w:rFonts w:ascii="宋体" w:hAnsi="宋体" w:eastAsia="宋体" w:cs="Times New Roman"/>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a470b7e8-8e3a-410f-9bbe-f2c86bdf3744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bb3c038d-42e8-44fe-b61a-b195cbbe1bf9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2a881bde-1e95-44ba-97a0-0ab107279460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300d2da1-c0a9-41c9-a55d-df099d22ea66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DD01E0A</paraID>
      <start>0</start>
      <end>2</end>
      <status>unmodified</status>
      <modifiedWord/>
      <trackRevisions>false</trackRevisions>
    </reviewItem>
    <reviewItem>
      <errorID>cf28bbb6-9d80-4be2-b37d-67a9b7a4b859</errorID>
      <errorWord>~</errorWord>
      <group>L1_Format</group>
      <groupName>格式问题</groupName>
      <ability>L2_HalfPunc_CN</ability>
      <abilityName>全半角检查</abilityName>
      <candidateList>
        <item>～</item>
      </candidateList>
      <explain>文本全半角错误。</explain>
      <paraID>6A4B75B6</paraID>
      <start>1</start>
      <end>2</end>
      <status>unmodified</status>
      <modifiedWord/>
      <trackRevisions>false</trackRevisions>
    </reviewItem>
    <reviewItem>
      <errorID>bcb3a70f-c146-41d3-b567-564db57728ee</errorID>
      <errorWord>~</errorWord>
      <group>L1_Format</group>
      <groupName>格式问题</groupName>
      <ability>L2_HalfPunc_CN</ability>
      <abilityName>全半角检查</abilityName>
      <candidateList>
        <item>～</item>
      </candidateList>
      <explain>文本全半角错误。</explain>
      <paraID>1F5322A9</paraID>
      <start>1</start>
      <end>2</end>
      <status>unmodified</status>
      <modifiedWord/>
      <trackRevisions>false</trackRevisions>
    </reviewItem>
    <reviewItem>
      <errorID>99c93b22-793c-4174-a8cd-425dfb251cc8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4BC82F22</paraID>
      <start>0</start>
      <end>2</end>
      <status>unmodified</status>
      <modifiedWord/>
      <trackRevisions>false</trackRevisions>
    </reviewItem>
    <reviewItem>
      <errorID>ff79f7df-67df-47e9-ae45-366fd6f72bf5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34F0627</paraID>
      <start>0</start>
      <end>2</end>
      <status>unmodified</status>
      <modifiedWord/>
      <trackRevisions>false</trackRevisions>
    </reviewItem>
    <reviewItem>
      <errorID>1a56b560-788b-4893-b283-281e177956f5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590EB7B8</paraID>
      <start>0</start>
      <end>2</end>
      <status>unmodified</status>
      <modifiedWord/>
      <trackRevisions>false</trackRevisions>
    </reviewItem>
    <reviewItem>
      <errorID>5ba8f3c8-4ffa-49ab-9277-d2a42e6f591a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cbc27063-ae6d-4147-88a4-f64c960e5a52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093a680e-311c-45d0-b379-793bd39be406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216e149b-d45a-41ee-9d3a-4fa93f4dae54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d5119f9c-e034-4b38-8f5a-7e4dbc35d0f3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a7fa314b-eaf5-43e7-802e-03cb4c0596c8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f9d03446-f411-48a9-947e-3500d69240ab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a3f572e9-d678-418a-b017-b6a7c42131be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e3e017-bf79-41e7-bde0-51c53d5db88b}">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1850</Words>
  <Characters>2265</Characters>
  <Lines>0</Lines>
  <Paragraphs>0</Paragraphs>
  <TotalTime>0</TotalTime>
  <ScaleCrop>false</ScaleCrop>
  <LinksUpToDate>false</LinksUpToDate>
  <CharactersWithSpaces>2334</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2026-06-11T06:54:32Z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