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7024">
      <w:pPr>
        <w:jc w:val="center"/>
        <w:rPr>
          <w:rFonts w:ascii="宋体" w:hAnsi="宋体" w:eastAsia="微软雅黑" w:cs="宋体"/>
          <w:b/>
          <w:bCs/>
          <w:color w:val="262626" w:themeColor="text1" w:themeTint="D9"/>
          <w:sz w:val="24"/>
          <w:szCs w:val="24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FFFFF"/>
        </w:rPr>
        <w:t>GPU卡采购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FFFFF"/>
        </w:rPr>
        <w:t>技术参数</w:t>
      </w:r>
    </w:p>
    <w:p w14:paraId="7A3F824B">
      <w:pPr>
        <w:pStyle w:val="2"/>
        <w:ind w:left="0" w:leftChars="0" w:right="63" w:firstLine="0" w:firstLineChars="0"/>
        <w:jc w:val="both"/>
        <w:rPr>
          <w:sz w:val="24"/>
          <w:szCs w:val="22"/>
          <w:highlight w:val="none"/>
        </w:rPr>
      </w:pPr>
    </w:p>
    <w:p w14:paraId="01BFA23F">
      <w:pPr>
        <w:pStyle w:val="4"/>
        <w:spacing w:line="360" w:lineRule="auto"/>
        <w:rPr>
          <w:rFonts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Toc16120"/>
      <w:r>
        <w:rPr>
          <w:rFonts w:hint="eastAsia"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主要用途</w:t>
      </w:r>
      <w:bookmarkEnd w:id="0"/>
      <w:r>
        <w:rPr>
          <w:rFonts w:hint="eastAsia"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及使用背景</w:t>
      </w:r>
    </w:p>
    <w:p w14:paraId="1CC9B106">
      <w:pPr>
        <w:ind w:firstLine="470" w:firstLineChars="214"/>
        <w:rPr>
          <w:rFonts w:ascii="宋体" w:hAnsi="宋体" w:eastAsia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现有集群计算节点基于Inter的第四代CPU系列搭建，GPU节点1台（CPU单颗24C，共计48C，1块PCIE A800），存储采用集中式存储1台，集群调度系统采用SLURM调度，SLURM是TOP500超级计算机中约60%的工作负载管理器，同时可控在此基础上针对性进行调优，使其在HPC平台使用上更加稳定、顺畅。</w:t>
      </w:r>
    </w:p>
    <w:p w14:paraId="4923196F">
      <w:pPr>
        <w:pStyle w:val="4"/>
        <w:spacing w:line="360" w:lineRule="auto"/>
        <w:rPr>
          <w:rFonts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Toc11143"/>
      <w:r>
        <w:rPr>
          <w:rFonts w:hint="eastAsia"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配置清单</w:t>
      </w:r>
      <w:bookmarkEnd w:id="1"/>
    </w:p>
    <w:tbl>
      <w:tblPr>
        <w:tblStyle w:val="2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692"/>
        <w:gridCol w:w="2091"/>
        <w:gridCol w:w="1482"/>
      </w:tblGrid>
      <w:tr w14:paraId="6B54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E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D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数量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A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单位</w:t>
            </w:r>
          </w:p>
        </w:tc>
      </w:tr>
      <w:tr w14:paraId="5DCED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E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45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GPU：</w:t>
            </w:r>
            <w:r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NV A800 </w:t>
            </w: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PCIE4.0双宽显卡（原厂</w:t>
            </w: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非定制版</w:t>
            </w: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），显存≥80G，Total FP32≥19.5Tflops(non-Tensor)，Total FP64≥9.7TFLOPS(non-Tensor)。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2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7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sz w:val="22"/>
                <w:szCs w:val="22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张</w:t>
            </w:r>
          </w:p>
        </w:tc>
      </w:tr>
    </w:tbl>
    <w:p w14:paraId="38F6B621">
      <w:pPr>
        <w:pStyle w:val="4"/>
        <w:spacing w:line="360" w:lineRule="auto"/>
        <w:rPr>
          <w:rFonts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2" w:name="_Toc24792"/>
      <w:r>
        <w:rPr>
          <w:rFonts w:hint="eastAsia"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商务条款要求</w:t>
      </w:r>
      <w:bookmarkEnd w:id="2"/>
    </w:p>
    <w:p w14:paraId="6273DF4E">
      <w:pPr>
        <w:pStyle w:val="5"/>
        <w:spacing w:before="0" w:beforeLines="0"/>
        <w:ind w:left="0" w:firstLine="0"/>
        <w:rPr>
          <w:rFonts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3" w:name="_Toc32332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交货地点：上海海事大学临港校区</w:t>
      </w:r>
      <w:bookmarkEnd w:id="3"/>
    </w:p>
    <w:p w14:paraId="644494E9">
      <w:pPr>
        <w:pStyle w:val="5"/>
        <w:spacing w:before="0" w:beforeLines="0"/>
        <w:ind w:left="0" w:firstLine="0"/>
        <w:rPr>
          <w:rFonts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4" w:name="_Toc15139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质保期：项目验收合格</w:t>
      </w:r>
      <w:bookmarkEnd w:id="4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提供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年原厂质保</w:t>
      </w:r>
      <w:bookmarkStart w:id="5" w:name="_Toc18741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 w14:paraId="199D22D4">
      <w:pPr>
        <w:pStyle w:val="5"/>
        <w:spacing w:before="0" w:beforeLines="0"/>
        <w:ind w:left="0" w:firstLine="0"/>
        <w:rPr>
          <w:rFonts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交货期：合同签订后天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30天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</w:t>
      </w:r>
      <w:bookmarkEnd w:id="5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安装调试完毕。</w:t>
      </w:r>
    </w:p>
    <w:p w14:paraId="20F52EA3">
      <w:pPr>
        <w:pStyle w:val="5"/>
        <w:spacing w:before="0" w:beforeLines="0"/>
        <w:ind w:left="0" w:firstLine="0"/>
        <w:rPr>
          <w:rFonts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6" w:name="_Toc1196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付款方式</w:t>
      </w:r>
      <w:bookmarkEnd w:id="6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：安装调试完毕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通过验收后支付100%</w:t>
      </w:r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 w14:paraId="2707DED4">
      <w:pPr>
        <w:pStyle w:val="5"/>
        <w:spacing w:before="0" w:beforeLines="0"/>
        <w:ind w:left="0" w:firstLine="0"/>
        <w:rPr>
          <w:rFonts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7" w:name="_Toc18159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售后服务</w:t>
      </w:r>
      <w:bookmarkEnd w:id="7"/>
      <w:r>
        <w:rPr>
          <w:rFonts w:hint="eastAsia" w:ascii="宋体" w:hAnsi="宋体" w:cs="宋体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 w14:paraId="77CBDCC0">
      <w:pPr>
        <w:rPr>
          <w:rFonts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（1）协助安装调试前的准备工作，提供相关要求并作相应的指导。</w:t>
      </w:r>
    </w:p>
    <w:p w14:paraId="51DB8E40">
      <w:pPr>
        <w:rPr>
          <w:rFonts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（2）货物到达用户指定交货地点后，厂商在接到用户通知后2周内进行安装调试，直至验收通过，并就货物的性能、原理、操作、保养和维护等对用户技术人员（至少2人）进行免费培训，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中标方需承诺本次采购的</w:t>
      </w:r>
      <w:r>
        <w:rPr>
          <w:rFonts w:ascii="宋体" w:hAnsi="宋体" w:eastAsia="宋体" w:cs="宋体"/>
          <w:b/>
          <w:bCs/>
          <w:color w:val="000000"/>
          <w:sz w:val="22"/>
          <w:szCs w:val="22"/>
          <w:highlight w:val="none"/>
        </w:rPr>
        <w:t>GPU卡</w:t>
      </w:r>
      <w:r>
        <w:rPr>
          <w:rFonts w:hint="eastAsia" w:ascii="宋体" w:hAnsi="宋体" w:cs="宋体"/>
          <w:b/>
          <w:bCs/>
          <w:color w:val="262626" w:themeColor="text1" w:themeTint="D9"/>
          <w:sz w:val="21"/>
          <w:szCs w:val="21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需与现有集群无缝兼容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。</w:t>
      </w:r>
      <w:bookmarkStart w:id="9" w:name="_GoBack"/>
      <w:bookmarkEnd w:id="9"/>
    </w:p>
    <w:p w14:paraId="16220187">
      <w:pPr>
        <w:rPr>
          <w:rFonts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（3）运输、安装、调试等费用由成交供应商负责承担。</w:t>
      </w:r>
    </w:p>
    <w:p w14:paraId="29076FE9">
      <w:pPr>
        <w:rPr>
          <w:rFonts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（4）厂商应在4小时内对用户的维修要求作出响应，2个工作日内到达现场维修。</w:t>
      </w:r>
    </w:p>
    <w:p w14:paraId="69D9FC8E">
      <w:pPr>
        <w:keepNext/>
        <w:keepLines/>
        <w:numPr>
          <w:ilvl w:val="1"/>
          <w:numId w:val="1"/>
        </w:numPr>
        <w:snapToGrid w:val="0"/>
        <w:ind w:left="0" w:firstLine="0"/>
        <w:jc w:val="left"/>
        <w:outlineLvl w:val="1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验收标准：验收以招标文件、投标文件、补充文件（若有）、合同、补充合同（若有）为依据</w:t>
      </w:r>
      <w:bookmarkStart w:id="8" w:name="_Toc29386"/>
      <w:r>
        <w:rPr>
          <w:rFonts w:hint="eastAsia"/>
          <w:sz w:val="24"/>
          <w:szCs w:val="32"/>
          <w:highlight w:val="none"/>
        </w:rPr>
        <w:t>。</w:t>
      </w:r>
    </w:p>
    <w:p w14:paraId="39CFBF2E">
      <w:pPr>
        <w:pStyle w:val="4"/>
        <w:spacing w:line="360" w:lineRule="auto"/>
        <w:rPr>
          <w:rFonts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b/>
          <w:bCs w:val="0"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采购预算（最高限价）</w:t>
      </w:r>
      <w:bookmarkEnd w:id="8"/>
    </w:p>
    <w:p w14:paraId="061718E6">
      <w:pPr>
        <w:ind w:firstLine="883" w:firstLineChars="400"/>
        <w:jc w:val="left"/>
        <w:rPr>
          <w:color w:val="262626" w:themeColor="text1" w:themeTint="D9"/>
          <w:sz w:val="24"/>
          <w:szCs w:val="3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本项目最高限价为人民币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22"/>
          <w:szCs w:val="22"/>
          <w:highlight w:val="none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15.6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22"/>
          <w:szCs w:val="22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万元。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F353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DA2830">
                          <w:pPr>
                            <w:pStyle w:val="15"/>
                            <w:rPr>
                              <w:rFonts w:ascii="宋体" w:hAnsi="宋体" w:eastAsia="宋体" w:cs="宋体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a6f2lccBAACb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A2830">
                    <w:pPr>
                      <w:pStyle w:val="15"/>
                      <w:rPr>
                        <w:rFonts w:ascii="宋体" w:hAnsi="宋体" w:eastAsia="宋体" w:cs="宋体"/>
                        <w:sz w:val="18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12B01"/>
    <w:multiLevelType w:val="multilevel"/>
    <w:tmpl w:val="71D12B01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24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ZGRjMjQ3ODg5N2MzNjE2MDQzYzljNDFhMjRhOGIifQ=="/>
  </w:docVars>
  <w:rsids>
    <w:rsidRoot w:val="73202BE4"/>
    <w:rsid w:val="000C1310"/>
    <w:rsid w:val="000E7B28"/>
    <w:rsid w:val="00107C25"/>
    <w:rsid w:val="00176E79"/>
    <w:rsid w:val="00182FF1"/>
    <w:rsid w:val="00184778"/>
    <w:rsid w:val="00184CE4"/>
    <w:rsid w:val="001F13F6"/>
    <w:rsid w:val="0023275D"/>
    <w:rsid w:val="002718BA"/>
    <w:rsid w:val="002974EF"/>
    <w:rsid w:val="002A7062"/>
    <w:rsid w:val="0031520D"/>
    <w:rsid w:val="00317A34"/>
    <w:rsid w:val="003239CC"/>
    <w:rsid w:val="00394963"/>
    <w:rsid w:val="003B70C0"/>
    <w:rsid w:val="00456A1A"/>
    <w:rsid w:val="00476069"/>
    <w:rsid w:val="004C2E22"/>
    <w:rsid w:val="004F6DE4"/>
    <w:rsid w:val="00511EEB"/>
    <w:rsid w:val="00543658"/>
    <w:rsid w:val="0054727A"/>
    <w:rsid w:val="005A3506"/>
    <w:rsid w:val="005C712F"/>
    <w:rsid w:val="006852A9"/>
    <w:rsid w:val="00690CA3"/>
    <w:rsid w:val="00690DF7"/>
    <w:rsid w:val="006D0B2F"/>
    <w:rsid w:val="00712F0E"/>
    <w:rsid w:val="00716FC4"/>
    <w:rsid w:val="00773D8D"/>
    <w:rsid w:val="007D06E1"/>
    <w:rsid w:val="00825C17"/>
    <w:rsid w:val="008F6BFC"/>
    <w:rsid w:val="0094103A"/>
    <w:rsid w:val="009556B6"/>
    <w:rsid w:val="009F3A25"/>
    <w:rsid w:val="009F556A"/>
    <w:rsid w:val="00A1225C"/>
    <w:rsid w:val="00A816D6"/>
    <w:rsid w:val="00A97303"/>
    <w:rsid w:val="00AA16A6"/>
    <w:rsid w:val="00AF23BE"/>
    <w:rsid w:val="00B30162"/>
    <w:rsid w:val="00BA603B"/>
    <w:rsid w:val="00BB00C1"/>
    <w:rsid w:val="00CB66C7"/>
    <w:rsid w:val="00CC1AE0"/>
    <w:rsid w:val="00D01D3C"/>
    <w:rsid w:val="00D74623"/>
    <w:rsid w:val="00D80FF1"/>
    <w:rsid w:val="00D912DC"/>
    <w:rsid w:val="00DB4999"/>
    <w:rsid w:val="00DC1EF6"/>
    <w:rsid w:val="00DE4808"/>
    <w:rsid w:val="00DE6AE6"/>
    <w:rsid w:val="00DE7AB5"/>
    <w:rsid w:val="00DF3FFF"/>
    <w:rsid w:val="00EA5B9E"/>
    <w:rsid w:val="00EC3FC8"/>
    <w:rsid w:val="00F25010"/>
    <w:rsid w:val="00F7748A"/>
    <w:rsid w:val="00FC6E36"/>
    <w:rsid w:val="01D156F8"/>
    <w:rsid w:val="02A50FD1"/>
    <w:rsid w:val="02B045EA"/>
    <w:rsid w:val="02C86101"/>
    <w:rsid w:val="02DA1035"/>
    <w:rsid w:val="03402939"/>
    <w:rsid w:val="03805547"/>
    <w:rsid w:val="03C410CC"/>
    <w:rsid w:val="043648A5"/>
    <w:rsid w:val="04685699"/>
    <w:rsid w:val="0488627D"/>
    <w:rsid w:val="04900117"/>
    <w:rsid w:val="04F83D02"/>
    <w:rsid w:val="05196EB8"/>
    <w:rsid w:val="05227593"/>
    <w:rsid w:val="052D36E5"/>
    <w:rsid w:val="05A633C0"/>
    <w:rsid w:val="05B747B5"/>
    <w:rsid w:val="05ED3628"/>
    <w:rsid w:val="0631796F"/>
    <w:rsid w:val="065D35C6"/>
    <w:rsid w:val="06735028"/>
    <w:rsid w:val="067D155B"/>
    <w:rsid w:val="0698763E"/>
    <w:rsid w:val="06A96065"/>
    <w:rsid w:val="06B31420"/>
    <w:rsid w:val="06B3592F"/>
    <w:rsid w:val="06C01A45"/>
    <w:rsid w:val="06EC35DA"/>
    <w:rsid w:val="06FF01C2"/>
    <w:rsid w:val="077E0924"/>
    <w:rsid w:val="07B45345"/>
    <w:rsid w:val="080556A3"/>
    <w:rsid w:val="088F7EB4"/>
    <w:rsid w:val="08D32682"/>
    <w:rsid w:val="09216B15"/>
    <w:rsid w:val="09556F00"/>
    <w:rsid w:val="098D5F59"/>
    <w:rsid w:val="09FB5043"/>
    <w:rsid w:val="09FC30DE"/>
    <w:rsid w:val="0B4E4B78"/>
    <w:rsid w:val="0B7D3DAB"/>
    <w:rsid w:val="0BAB6948"/>
    <w:rsid w:val="0BB65E0B"/>
    <w:rsid w:val="0D8F76E7"/>
    <w:rsid w:val="0DA71370"/>
    <w:rsid w:val="0DC4209A"/>
    <w:rsid w:val="0DD443C2"/>
    <w:rsid w:val="0E3071EA"/>
    <w:rsid w:val="0F176AE7"/>
    <w:rsid w:val="0F182768"/>
    <w:rsid w:val="0F2C7FC2"/>
    <w:rsid w:val="0FAD7849"/>
    <w:rsid w:val="0FCA78FF"/>
    <w:rsid w:val="10242327"/>
    <w:rsid w:val="10360C21"/>
    <w:rsid w:val="1078284D"/>
    <w:rsid w:val="108C5E19"/>
    <w:rsid w:val="109E758D"/>
    <w:rsid w:val="10A83678"/>
    <w:rsid w:val="10B352EB"/>
    <w:rsid w:val="10BC70FE"/>
    <w:rsid w:val="10CE7D9C"/>
    <w:rsid w:val="10E42EAD"/>
    <w:rsid w:val="10EE4251"/>
    <w:rsid w:val="1108503C"/>
    <w:rsid w:val="1115508A"/>
    <w:rsid w:val="11D52002"/>
    <w:rsid w:val="121675E9"/>
    <w:rsid w:val="12906AB9"/>
    <w:rsid w:val="12F64B6E"/>
    <w:rsid w:val="13667C9C"/>
    <w:rsid w:val="13AA2659"/>
    <w:rsid w:val="13D455A0"/>
    <w:rsid w:val="14BF521C"/>
    <w:rsid w:val="14C12F5A"/>
    <w:rsid w:val="14C706B6"/>
    <w:rsid w:val="1501476E"/>
    <w:rsid w:val="158B415D"/>
    <w:rsid w:val="15AC59B8"/>
    <w:rsid w:val="15AC7766"/>
    <w:rsid w:val="16520CDE"/>
    <w:rsid w:val="167376D4"/>
    <w:rsid w:val="16AB48FF"/>
    <w:rsid w:val="17426BC7"/>
    <w:rsid w:val="174618C8"/>
    <w:rsid w:val="17486A62"/>
    <w:rsid w:val="182A7068"/>
    <w:rsid w:val="18373F5A"/>
    <w:rsid w:val="184F3995"/>
    <w:rsid w:val="186A1692"/>
    <w:rsid w:val="18B50568"/>
    <w:rsid w:val="18D019BE"/>
    <w:rsid w:val="18DA4648"/>
    <w:rsid w:val="192856A8"/>
    <w:rsid w:val="193B52BC"/>
    <w:rsid w:val="19900358"/>
    <w:rsid w:val="1A530AA5"/>
    <w:rsid w:val="1A764D21"/>
    <w:rsid w:val="1A7B6C50"/>
    <w:rsid w:val="1B4620AC"/>
    <w:rsid w:val="1BC06F9C"/>
    <w:rsid w:val="1C257B02"/>
    <w:rsid w:val="1D9B76CD"/>
    <w:rsid w:val="1DF20628"/>
    <w:rsid w:val="1DF7FF22"/>
    <w:rsid w:val="1E053C26"/>
    <w:rsid w:val="1E7C5E5C"/>
    <w:rsid w:val="1EA00E89"/>
    <w:rsid w:val="1EB61656"/>
    <w:rsid w:val="1EFA6C28"/>
    <w:rsid w:val="205826F8"/>
    <w:rsid w:val="20CC6275"/>
    <w:rsid w:val="219608B9"/>
    <w:rsid w:val="219D7C7C"/>
    <w:rsid w:val="2225246B"/>
    <w:rsid w:val="22284A87"/>
    <w:rsid w:val="22951317"/>
    <w:rsid w:val="236168CD"/>
    <w:rsid w:val="237B41DC"/>
    <w:rsid w:val="246D6C5B"/>
    <w:rsid w:val="24B144F6"/>
    <w:rsid w:val="25ED0053"/>
    <w:rsid w:val="25EF1C2E"/>
    <w:rsid w:val="26247A03"/>
    <w:rsid w:val="26A362D9"/>
    <w:rsid w:val="26D2212F"/>
    <w:rsid w:val="26EB3E67"/>
    <w:rsid w:val="26F20B6C"/>
    <w:rsid w:val="27742124"/>
    <w:rsid w:val="277B343D"/>
    <w:rsid w:val="27CB3E6A"/>
    <w:rsid w:val="27EE00B2"/>
    <w:rsid w:val="289B3F5A"/>
    <w:rsid w:val="28F25389"/>
    <w:rsid w:val="296E38B7"/>
    <w:rsid w:val="29746055"/>
    <w:rsid w:val="29906643"/>
    <w:rsid w:val="29A34C3A"/>
    <w:rsid w:val="2A5854FB"/>
    <w:rsid w:val="2A6579D5"/>
    <w:rsid w:val="2A6B4D49"/>
    <w:rsid w:val="2B367DA6"/>
    <w:rsid w:val="2B56670D"/>
    <w:rsid w:val="2C525374"/>
    <w:rsid w:val="2CD20350"/>
    <w:rsid w:val="2E7605ED"/>
    <w:rsid w:val="2EF27D42"/>
    <w:rsid w:val="2F452196"/>
    <w:rsid w:val="2F971630"/>
    <w:rsid w:val="2FD22456"/>
    <w:rsid w:val="2FEF49C8"/>
    <w:rsid w:val="2FFB578E"/>
    <w:rsid w:val="30263F71"/>
    <w:rsid w:val="30B76285"/>
    <w:rsid w:val="311B02DD"/>
    <w:rsid w:val="319A591F"/>
    <w:rsid w:val="319B4E07"/>
    <w:rsid w:val="3220692E"/>
    <w:rsid w:val="32E250AE"/>
    <w:rsid w:val="332D4643"/>
    <w:rsid w:val="333F184B"/>
    <w:rsid w:val="33A06705"/>
    <w:rsid w:val="33FC4199"/>
    <w:rsid w:val="346C1DFB"/>
    <w:rsid w:val="34963417"/>
    <w:rsid w:val="34A007DF"/>
    <w:rsid w:val="35FC7AC7"/>
    <w:rsid w:val="36893A22"/>
    <w:rsid w:val="36927D93"/>
    <w:rsid w:val="36BE71BD"/>
    <w:rsid w:val="36F54AC4"/>
    <w:rsid w:val="37585548"/>
    <w:rsid w:val="37E51DBC"/>
    <w:rsid w:val="382D0819"/>
    <w:rsid w:val="38C942F7"/>
    <w:rsid w:val="38EF3F1F"/>
    <w:rsid w:val="392755EE"/>
    <w:rsid w:val="3932217B"/>
    <w:rsid w:val="39CA4AFD"/>
    <w:rsid w:val="3A3A0293"/>
    <w:rsid w:val="3ACA6308"/>
    <w:rsid w:val="3B0D1C2F"/>
    <w:rsid w:val="3B3D00EB"/>
    <w:rsid w:val="3B967B1B"/>
    <w:rsid w:val="3BEE647B"/>
    <w:rsid w:val="3C1809EF"/>
    <w:rsid w:val="3CAC611A"/>
    <w:rsid w:val="3CD16E2B"/>
    <w:rsid w:val="3DA2751D"/>
    <w:rsid w:val="3DF06995"/>
    <w:rsid w:val="3E701D54"/>
    <w:rsid w:val="3E793C4B"/>
    <w:rsid w:val="3EA352FB"/>
    <w:rsid w:val="3EAC2F26"/>
    <w:rsid w:val="3EC519B8"/>
    <w:rsid w:val="3F1E2728"/>
    <w:rsid w:val="3F2F62AB"/>
    <w:rsid w:val="3F8073EA"/>
    <w:rsid w:val="3F9C3339"/>
    <w:rsid w:val="401C2E10"/>
    <w:rsid w:val="405A5E8D"/>
    <w:rsid w:val="405A7836"/>
    <w:rsid w:val="40922CF8"/>
    <w:rsid w:val="40EB1D66"/>
    <w:rsid w:val="410C239D"/>
    <w:rsid w:val="41167B00"/>
    <w:rsid w:val="412838B7"/>
    <w:rsid w:val="41AD0F14"/>
    <w:rsid w:val="42002A64"/>
    <w:rsid w:val="42164B44"/>
    <w:rsid w:val="42D24401"/>
    <w:rsid w:val="43065E58"/>
    <w:rsid w:val="43131E82"/>
    <w:rsid w:val="43663805"/>
    <w:rsid w:val="436E01FE"/>
    <w:rsid w:val="436E4B68"/>
    <w:rsid w:val="43B77BEC"/>
    <w:rsid w:val="43B81849"/>
    <w:rsid w:val="43BA3A1D"/>
    <w:rsid w:val="43BE2B29"/>
    <w:rsid w:val="43E26F31"/>
    <w:rsid w:val="44171400"/>
    <w:rsid w:val="441822E7"/>
    <w:rsid w:val="443221BF"/>
    <w:rsid w:val="44705C7F"/>
    <w:rsid w:val="4496544D"/>
    <w:rsid w:val="45AB409A"/>
    <w:rsid w:val="45AC653A"/>
    <w:rsid w:val="45E74D31"/>
    <w:rsid w:val="45ED2255"/>
    <w:rsid w:val="461B60BF"/>
    <w:rsid w:val="462047C4"/>
    <w:rsid w:val="47CA74B4"/>
    <w:rsid w:val="48596481"/>
    <w:rsid w:val="48A66F28"/>
    <w:rsid w:val="48A709C8"/>
    <w:rsid w:val="48C26169"/>
    <w:rsid w:val="492B486B"/>
    <w:rsid w:val="49460297"/>
    <w:rsid w:val="498E5824"/>
    <w:rsid w:val="49A43E0D"/>
    <w:rsid w:val="4A4154D9"/>
    <w:rsid w:val="4A980401"/>
    <w:rsid w:val="4B1B2ECF"/>
    <w:rsid w:val="4B2E7EB5"/>
    <w:rsid w:val="4B66479D"/>
    <w:rsid w:val="4B890690"/>
    <w:rsid w:val="4CE92A73"/>
    <w:rsid w:val="4D86423E"/>
    <w:rsid w:val="4E2E2013"/>
    <w:rsid w:val="4EF123F5"/>
    <w:rsid w:val="4F1F09CE"/>
    <w:rsid w:val="4F4563CB"/>
    <w:rsid w:val="4F750152"/>
    <w:rsid w:val="50064670"/>
    <w:rsid w:val="50142188"/>
    <w:rsid w:val="50200746"/>
    <w:rsid w:val="50B24225"/>
    <w:rsid w:val="50B65A00"/>
    <w:rsid w:val="515C38A5"/>
    <w:rsid w:val="51CB348D"/>
    <w:rsid w:val="51FF785B"/>
    <w:rsid w:val="52270FA0"/>
    <w:rsid w:val="52AC0CD2"/>
    <w:rsid w:val="532C5BE1"/>
    <w:rsid w:val="53484908"/>
    <w:rsid w:val="53662D5B"/>
    <w:rsid w:val="53F8656D"/>
    <w:rsid w:val="54F11A45"/>
    <w:rsid w:val="55055F8B"/>
    <w:rsid w:val="5571446C"/>
    <w:rsid w:val="55B90397"/>
    <w:rsid w:val="55CB540B"/>
    <w:rsid w:val="55D56E60"/>
    <w:rsid w:val="563D5AB0"/>
    <w:rsid w:val="566273F2"/>
    <w:rsid w:val="56A96530"/>
    <w:rsid w:val="56D00388"/>
    <w:rsid w:val="56F9103B"/>
    <w:rsid w:val="57067A0A"/>
    <w:rsid w:val="57BE68AA"/>
    <w:rsid w:val="57D911BD"/>
    <w:rsid w:val="58205753"/>
    <w:rsid w:val="58257AD4"/>
    <w:rsid w:val="58C1620F"/>
    <w:rsid w:val="58C32221"/>
    <w:rsid w:val="58DA3BB7"/>
    <w:rsid w:val="58EB2F6E"/>
    <w:rsid w:val="59266DFD"/>
    <w:rsid w:val="597B52F1"/>
    <w:rsid w:val="599D32DD"/>
    <w:rsid w:val="59A46713"/>
    <w:rsid w:val="5A1F5548"/>
    <w:rsid w:val="5A795F81"/>
    <w:rsid w:val="5AC46799"/>
    <w:rsid w:val="5AF85610"/>
    <w:rsid w:val="5AFC4F2C"/>
    <w:rsid w:val="5BA04C44"/>
    <w:rsid w:val="5BB3037A"/>
    <w:rsid w:val="5BC349EC"/>
    <w:rsid w:val="5BCA1362"/>
    <w:rsid w:val="5BE836A4"/>
    <w:rsid w:val="5C03574D"/>
    <w:rsid w:val="5C0C3665"/>
    <w:rsid w:val="5CBB7E9B"/>
    <w:rsid w:val="5DA12EF6"/>
    <w:rsid w:val="5DCC0264"/>
    <w:rsid w:val="5DDE7CA6"/>
    <w:rsid w:val="5E1234E0"/>
    <w:rsid w:val="5EA3111F"/>
    <w:rsid w:val="5EE906B0"/>
    <w:rsid w:val="5F177F74"/>
    <w:rsid w:val="5FEF9A02"/>
    <w:rsid w:val="6005661A"/>
    <w:rsid w:val="6005776C"/>
    <w:rsid w:val="6037369D"/>
    <w:rsid w:val="6071416B"/>
    <w:rsid w:val="60BB607C"/>
    <w:rsid w:val="60CD14DA"/>
    <w:rsid w:val="61165E8B"/>
    <w:rsid w:val="6152014D"/>
    <w:rsid w:val="61794D21"/>
    <w:rsid w:val="6199429F"/>
    <w:rsid w:val="61E90079"/>
    <w:rsid w:val="628234E1"/>
    <w:rsid w:val="628F77C1"/>
    <w:rsid w:val="62BD35E4"/>
    <w:rsid w:val="62D37BD0"/>
    <w:rsid w:val="63155635"/>
    <w:rsid w:val="63317D2A"/>
    <w:rsid w:val="63502316"/>
    <w:rsid w:val="63860BC4"/>
    <w:rsid w:val="63CD6510"/>
    <w:rsid w:val="64446389"/>
    <w:rsid w:val="64586FEB"/>
    <w:rsid w:val="64840D73"/>
    <w:rsid w:val="65640A91"/>
    <w:rsid w:val="65AB2062"/>
    <w:rsid w:val="65B25C63"/>
    <w:rsid w:val="65C85E4F"/>
    <w:rsid w:val="65D85E53"/>
    <w:rsid w:val="65DC1DB3"/>
    <w:rsid w:val="661B7AB4"/>
    <w:rsid w:val="664D7777"/>
    <w:rsid w:val="665E4507"/>
    <w:rsid w:val="66687F9D"/>
    <w:rsid w:val="6751773B"/>
    <w:rsid w:val="677AF840"/>
    <w:rsid w:val="681C1AF7"/>
    <w:rsid w:val="6848469A"/>
    <w:rsid w:val="68546731"/>
    <w:rsid w:val="68BF4A05"/>
    <w:rsid w:val="68DF01D0"/>
    <w:rsid w:val="693711D2"/>
    <w:rsid w:val="69F44A3D"/>
    <w:rsid w:val="6A207A55"/>
    <w:rsid w:val="6A7B50CC"/>
    <w:rsid w:val="6A8D6A74"/>
    <w:rsid w:val="6AC41FD2"/>
    <w:rsid w:val="6BAE234B"/>
    <w:rsid w:val="6BE07F55"/>
    <w:rsid w:val="6C140E6E"/>
    <w:rsid w:val="6C215EC8"/>
    <w:rsid w:val="6C5B5141"/>
    <w:rsid w:val="6D4754B5"/>
    <w:rsid w:val="6D5D7B10"/>
    <w:rsid w:val="6D77E5EA"/>
    <w:rsid w:val="6DD53640"/>
    <w:rsid w:val="6E2B261D"/>
    <w:rsid w:val="6E927F5A"/>
    <w:rsid w:val="6F05486D"/>
    <w:rsid w:val="6F0926A9"/>
    <w:rsid w:val="6F2A1FB4"/>
    <w:rsid w:val="6F4572BA"/>
    <w:rsid w:val="6F525DFE"/>
    <w:rsid w:val="6FB3684F"/>
    <w:rsid w:val="70120732"/>
    <w:rsid w:val="702A0CE9"/>
    <w:rsid w:val="702F613F"/>
    <w:rsid w:val="70384D0E"/>
    <w:rsid w:val="704C6CF1"/>
    <w:rsid w:val="705368A8"/>
    <w:rsid w:val="709B0D8D"/>
    <w:rsid w:val="70D13822"/>
    <w:rsid w:val="70DC62C7"/>
    <w:rsid w:val="70DF8DBF"/>
    <w:rsid w:val="719613DB"/>
    <w:rsid w:val="71A40F16"/>
    <w:rsid w:val="71A7186B"/>
    <w:rsid w:val="71BD2E3D"/>
    <w:rsid w:val="71C836D8"/>
    <w:rsid w:val="71F418A2"/>
    <w:rsid w:val="72655E48"/>
    <w:rsid w:val="730D678B"/>
    <w:rsid w:val="7315786E"/>
    <w:rsid w:val="73202BE4"/>
    <w:rsid w:val="737E007D"/>
    <w:rsid w:val="74895E06"/>
    <w:rsid w:val="749842B4"/>
    <w:rsid w:val="75E126A1"/>
    <w:rsid w:val="766D5913"/>
    <w:rsid w:val="76BC7D30"/>
    <w:rsid w:val="76D61D4D"/>
    <w:rsid w:val="76FF51B9"/>
    <w:rsid w:val="773406DA"/>
    <w:rsid w:val="777B6495"/>
    <w:rsid w:val="77C55280"/>
    <w:rsid w:val="77C63C49"/>
    <w:rsid w:val="77FD1F30"/>
    <w:rsid w:val="7899347C"/>
    <w:rsid w:val="78B64C80"/>
    <w:rsid w:val="78B90C9C"/>
    <w:rsid w:val="78F85B15"/>
    <w:rsid w:val="79865B78"/>
    <w:rsid w:val="79C36276"/>
    <w:rsid w:val="79E90EE2"/>
    <w:rsid w:val="7A6D604A"/>
    <w:rsid w:val="7A862E00"/>
    <w:rsid w:val="7B664D10"/>
    <w:rsid w:val="7B942DEF"/>
    <w:rsid w:val="7BFE1DCD"/>
    <w:rsid w:val="7D0B06CB"/>
    <w:rsid w:val="7D3E4E87"/>
    <w:rsid w:val="7D722672"/>
    <w:rsid w:val="7DBF4025"/>
    <w:rsid w:val="7DD97964"/>
    <w:rsid w:val="7DE85799"/>
    <w:rsid w:val="7E6F077A"/>
    <w:rsid w:val="7E875C8F"/>
    <w:rsid w:val="7E9434BC"/>
    <w:rsid w:val="7FDB23A2"/>
    <w:rsid w:val="9BD47D75"/>
    <w:rsid w:val="C6FFBB9F"/>
    <w:rsid w:val="FDF7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jc w:val="left"/>
      <w:outlineLvl w:val="0"/>
    </w:pPr>
    <w:rPr>
      <w:rFonts w:ascii="Times New Roman" w:hAnsi="Times New Roman" w:eastAsia="宋体" w:cs="Calibri"/>
      <w:bCs/>
      <w:kern w:val="44"/>
      <w:sz w:val="24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napToGrid w:val="0"/>
      <w:spacing w:before="100" w:beforeLines="100"/>
      <w:jc w:val="left"/>
      <w:outlineLvl w:val="1"/>
    </w:pPr>
    <w:rPr>
      <w:rFonts w:eastAsia="宋体" w:asciiTheme="majorHAnsi" w:hAnsiTheme="majorHAnsi" w:cstheme="majorBidi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00" w:after="100"/>
      <w:jc w:val="left"/>
      <w:outlineLvl w:val="2"/>
    </w:pPr>
    <w:rPr>
      <w:rFonts w:eastAsia="宋体"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after="60" w:line="360" w:lineRule="atLeast"/>
      <w:ind w:left="30" w:leftChars="30" w:right="30" w:rightChars="30"/>
      <w:jc w:val="center"/>
      <w:textAlignment w:val="baseline"/>
    </w:pPr>
    <w:rPr>
      <w:rFonts w:ascii="Arial" w:hAnsi="Arial" w:eastAsia="黑体"/>
      <w:kern w:val="0"/>
      <w:szCs w:val="20"/>
      <w:lang w:val="zh-CN"/>
    </w:rPr>
  </w:style>
  <w:style w:type="paragraph" w:styleId="13">
    <w:name w:val="annotation text"/>
    <w:basedOn w:val="1"/>
    <w:qFormat/>
    <w:uiPriority w:val="99"/>
    <w:pPr>
      <w:jc w:val="left"/>
    </w:pPr>
    <w:rPr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footer"/>
    <w:basedOn w:val="1"/>
    <w:qFormat/>
    <w:uiPriority w:val="0"/>
    <w:pPr>
      <w:spacing w:line="240" w:lineRule="atLeast"/>
      <w:ind w:left="255" w:right="255"/>
      <w:jc w:val="left"/>
    </w:pPr>
  </w:style>
  <w:style w:type="paragraph" w:styleId="16">
    <w:name w:val="header"/>
    <w:basedOn w:val="1"/>
    <w:qFormat/>
    <w:uiPriority w:val="0"/>
    <w:pPr>
      <w:pBdr>
        <w:bottom w:val="double" w:color="auto" w:sz="6" w:space="2"/>
      </w:pBdr>
      <w:spacing w:line="240" w:lineRule="atLeast"/>
      <w:jc w:val="center"/>
    </w:pPr>
    <w:rPr>
      <w:b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flName"/>
    <w:basedOn w:val="24"/>
    <w:qFormat/>
    <w:uiPriority w:val="0"/>
    <w:rPr>
      <w:sz w:val="32"/>
    </w:rPr>
  </w:style>
  <w:style w:type="paragraph" w:customStyle="1" w:styleId="24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25">
    <w:name w:val="表格2"/>
    <w:basedOn w:val="1"/>
    <w:qFormat/>
    <w:uiPriority w:val="0"/>
    <w:pPr>
      <w:spacing w:after="60"/>
      <w:ind w:left="72" w:leftChars="30" w:right="72" w:rightChars="30"/>
      <w:jc w:val="center"/>
    </w:pPr>
    <w:rPr>
      <w:rFonts w:ascii="Arial" w:eastAsia="黑体"/>
    </w:rPr>
  </w:style>
  <w:style w:type="paragraph" w:customStyle="1" w:styleId="26">
    <w:name w:val="表格1"/>
    <w:basedOn w:val="1"/>
    <w:qFormat/>
    <w:uiPriority w:val="0"/>
    <w:pPr>
      <w:spacing w:after="60"/>
      <w:ind w:left="72" w:leftChars="30" w:right="72" w:rightChars="30"/>
      <w:jc w:val="center"/>
    </w:pPr>
  </w:style>
  <w:style w:type="character" w:customStyle="1" w:styleId="2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8">
    <w:name w:val="List Paragraph"/>
    <w:basedOn w:val="1"/>
    <w:link w:val="29"/>
    <w:qFormat/>
    <w:uiPriority w:val="34"/>
    <w:pPr>
      <w:ind w:firstLine="420" w:firstLineChars="200"/>
    </w:pPr>
  </w:style>
  <w:style w:type="character" w:customStyle="1" w:styleId="29">
    <w:name w:val="列表段落 字符"/>
    <w:link w:val="28"/>
    <w:qFormat/>
    <w:locked/>
    <w:uiPriority w:val="34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font41"/>
    <w:basedOn w:val="22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paragraph" w:customStyle="1" w:styleId="33">
    <w:name w:val="正文（文本）"/>
    <w:qFormat/>
    <w:uiPriority w:val="0"/>
    <w:pPr>
      <w:widowControl w:val="0"/>
      <w:snapToGrid w:val="0"/>
      <w:spacing w:before="62" w:beforeLines="20" w:line="360" w:lineRule="auto"/>
      <w:jc w:val="both"/>
    </w:pPr>
    <w:rPr>
      <w:rFonts w:ascii="Times New Roman" w:hAnsi="Times New Roman" w:eastAsia="宋体" w:cs="Times New Roman"/>
      <w:strike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538</Words>
  <Characters>655</Characters>
  <Lines>4</Lines>
  <Paragraphs>1</Paragraphs>
  <TotalTime>26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2024-03-24T02:24:00Z</dcterms:created>
  <dc:creator>dell</dc:creator>
  <cp:lastModifiedBy>仲杰</cp:lastModifiedBy>
  <dcterms:modified xsi:type="dcterms:W3CDTF">2025-03-24T00:38:36Z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239E6A3B855E7D7106FEC467141BB6DC_43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