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bookmarkStart w:id="1" w:name="_GoBack"/>
      <w:bookmarkEnd w:id="1"/>
      <w:r>
        <w:rPr>
          <w:rFonts w:hint="eastAsia" w:ascii="仿宋" w:hAnsi="仿宋" w:eastAsia="仿宋" w:cs="仿宋"/>
          <w:b/>
          <w:bCs/>
          <w:sz w:val="32"/>
          <w:szCs w:val="32"/>
        </w:rPr>
        <w:t>上海港湾学校</w:t>
      </w:r>
    </w:p>
    <w:p>
      <w:pPr>
        <w:jc w:val="center"/>
        <w:rPr>
          <w:rFonts w:ascii="仿宋" w:hAnsi="仿宋" w:eastAsia="仿宋" w:cs="仿宋"/>
          <w:b/>
          <w:bCs/>
          <w:sz w:val="32"/>
          <w:szCs w:val="32"/>
        </w:rPr>
      </w:pPr>
      <w:r>
        <w:rPr>
          <w:rFonts w:hint="eastAsia" w:ascii="仿宋" w:hAnsi="仿宋" w:eastAsia="仿宋" w:cs="仿宋"/>
          <w:b/>
          <w:bCs/>
          <w:sz w:val="32"/>
          <w:szCs w:val="32"/>
        </w:rPr>
        <w:t>教务系统升级改造（教材管理平台）</w:t>
      </w:r>
    </w:p>
    <w:p>
      <w:pPr>
        <w:pStyle w:val="4"/>
        <w:spacing w:before="0" w:after="0"/>
        <w:ind w:left="432" w:hanging="432"/>
        <w:rPr>
          <w:rFonts w:ascii="仿宋_GB2312" w:hAnsi="仿宋" w:eastAsia="仿宋_GB2312" w:cs="仿宋"/>
          <w:sz w:val="30"/>
          <w:szCs w:val="30"/>
        </w:rPr>
      </w:pPr>
      <w:r>
        <w:rPr>
          <w:rFonts w:hint="eastAsia" w:ascii="仿宋_GB2312" w:hAnsi="仿宋" w:eastAsia="仿宋_GB2312" w:cs="仿宋"/>
          <w:sz w:val="30"/>
          <w:szCs w:val="30"/>
        </w:rPr>
        <w:t>一、项目概况</w:t>
      </w:r>
    </w:p>
    <w:p>
      <w:pPr>
        <w:spacing w:line="440" w:lineRule="exact"/>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建设上海港湾学校教材管理平台项目，教材管理工作相关的业务，主要包含：</w:t>
      </w:r>
      <w:r>
        <w:rPr>
          <w:rFonts w:hint="eastAsia" w:ascii="仿宋" w:hAnsi="仿宋" w:eastAsia="仿宋" w:cs="仿宋"/>
          <w:sz w:val="24"/>
        </w:rPr>
        <w:t>教材目录、学期课程教材、教材需求量、教材订单、教材入库、教材出库、教材异动、教材追定、教材报表、提交时间设置、教材选用管理、教师用书申请单、</w:t>
      </w:r>
      <w:r>
        <w:rPr>
          <w:rFonts w:hint="eastAsia" w:ascii="仿宋" w:hAnsi="仿宋" w:eastAsia="仿宋" w:cs="仿宋"/>
          <w:kern w:val="0"/>
          <w:sz w:val="24"/>
        </w:rPr>
        <w:t>课程匹配、教辅资料申请、查询统计</w:t>
      </w:r>
      <w:r>
        <w:rPr>
          <w:rFonts w:hint="eastAsia" w:ascii="仿宋_GB2312" w:hAnsi="仿宋_GB2312" w:eastAsia="仿宋_GB2312" w:cs="仿宋_GB2312"/>
          <w:sz w:val="24"/>
        </w:rPr>
        <w:t>，满足学校的日常教管理工作且能和学校现有教务管理系统的所有基础和业务数据对接，保持全校数据的一致性和即时性。</w:t>
      </w:r>
    </w:p>
    <w:p>
      <w:pPr>
        <w:pStyle w:val="25"/>
        <w:spacing w:line="440" w:lineRule="exact"/>
        <w:ind w:firstLine="0" w:firstLineChars="0"/>
        <w:rPr>
          <w:rFonts w:ascii="仿宋" w:hAnsi="仿宋" w:eastAsia="仿宋" w:cs="仿宋"/>
          <w:bCs/>
          <w:sz w:val="24"/>
        </w:rPr>
      </w:pPr>
    </w:p>
    <w:p>
      <w:pPr>
        <w:pStyle w:val="4"/>
        <w:rPr>
          <w:rFonts w:ascii="仿宋" w:hAnsi="仿宋" w:eastAsia="仿宋" w:cs="仿宋"/>
          <w:sz w:val="30"/>
          <w:szCs w:val="30"/>
        </w:rPr>
      </w:pPr>
      <w:r>
        <w:rPr>
          <w:rFonts w:hint="eastAsia" w:ascii="仿宋" w:hAnsi="仿宋" w:eastAsia="仿宋" w:cs="仿宋"/>
          <w:sz w:val="30"/>
          <w:szCs w:val="30"/>
        </w:rPr>
        <w:t>二、项目内容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402"/>
        <w:gridCol w:w="241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38" w:type="dxa"/>
            <w:gridSpan w:val="5"/>
            <w:vAlign w:val="center"/>
          </w:tcPr>
          <w:p>
            <w:pPr>
              <w:jc w:val="center"/>
              <w:rPr>
                <w:rFonts w:ascii="仿宋_GB2312" w:hAnsi="仿宋" w:eastAsia="仿宋_GB2312"/>
                <w:b/>
                <w:kern w:val="0"/>
                <w:sz w:val="24"/>
              </w:rPr>
            </w:pPr>
            <w:r>
              <w:rPr>
                <w:rFonts w:hint="eastAsia" w:ascii="仿宋_GB2312" w:hAnsi="仿宋" w:eastAsia="仿宋_GB2312"/>
                <w:b/>
                <w:kern w:val="0"/>
                <w:sz w:val="24"/>
              </w:rPr>
              <w:t xml:space="preserve">教材管理系统改造内容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_GB2312" w:hAnsi="仿宋" w:eastAsia="仿宋_GB2312"/>
                <w:kern w:val="0"/>
                <w:sz w:val="24"/>
              </w:rPr>
            </w:pPr>
            <w:r>
              <w:rPr>
                <w:rFonts w:hint="eastAsia" w:ascii="仿宋_GB2312" w:hAnsi="仿宋" w:eastAsia="仿宋_GB2312"/>
                <w:b/>
                <w:kern w:val="0"/>
                <w:sz w:val="24"/>
              </w:rPr>
              <w:t>序号</w:t>
            </w:r>
          </w:p>
        </w:tc>
        <w:tc>
          <w:tcPr>
            <w:tcW w:w="3402" w:type="dxa"/>
            <w:vAlign w:val="center"/>
          </w:tcPr>
          <w:p>
            <w:pPr>
              <w:pStyle w:val="17"/>
              <w:ind w:left="0" w:leftChars="0" w:firstLine="0" w:firstLineChars="0"/>
            </w:pPr>
            <w:r>
              <w:rPr>
                <w:rFonts w:hint="eastAsia" w:ascii="仿宋_GB2312" w:hAnsi="仿宋" w:eastAsia="仿宋_GB2312"/>
                <w:b/>
              </w:rPr>
              <w:t>系统名称</w:t>
            </w:r>
          </w:p>
        </w:tc>
        <w:tc>
          <w:tcPr>
            <w:tcW w:w="2410" w:type="dxa"/>
            <w:vAlign w:val="center"/>
          </w:tcPr>
          <w:p>
            <w:pPr>
              <w:spacing w:line="360" w:lineRule="auto"/>
              <w:jc w:val="center"/>
              <w:rPr>
                <w:rFonts w:ascii="仿宋_GB2312" w:hAnsi="仿宋" w:eastAsia="仿宋_GB2312"/>
                <w:kern w:val="0"/>
                <w:sz w:val="24"/>
              </w:rPr>
            </w:pPr>
            <w:r>
              <w:rPr>
                <w:rFonts w:hint="eastAsia" w:ascii="仿宋_GB2312" w:hAnsi="仿宋" w:eastAsia="仿宋_GB2312"/>
                <w:b/>
                <w:kern w:val="0"/>
                <w:sz w:val="24"/>
              </w:rPr>
              <w:t>功能要求</w:t>
            </w:r>
          </w:p>
        </w:tc>
        <w:tc>
          <w:tcPr>
            <w:tcW w:w="709" w:type="dxa"/>
            <w:vAlign w:val="center"/>
          </w:tcPr>
          <w:p>
            <w:pPr>
              <w:spacing w:line="360" w:lineRule="auto"/>
              <w:jc w:val="center"/>
              <w:rPr>
                <w:rFonts w:ascii="仿宋_GB2312" w:hAnsi="仿宋" w:eastAsia="仿宋_GB2312"/>
                <w:kern w:val="0"/>
                <w:sz w:val="24"/>
              </w:rPr>
            </w:pPr>
            <w:r>
              <w:rPr>
                <w:rFonts w:hint="eastAsia" w:ascii="仿宋_GB2312" w:hAnsi="仿宋" w:eastAsia="仿宋_GB2312"/>
                <w:b/>
                <w:kern w:val="0"/>
                <w:sz w:val="24"/>
              </w:rPr>
              <w:t>数量</w:t>
            </w:r>
          </w:p>
        </w:tc>
        <w:tc>
          <w:tcPr>
            <w:tcW w:w="709" w:type="dxa"/>
            <w:vAlign w:val="center"/>
          </w:tcPr>
          <w:p>
            <w:pPr>
              <w:spacing w:line="360" w:lineRule="auto"/>
              <w:jc w:val="center"/>
              <w:rPr>
                <w:rFonts w:ascii="仿宋_GB2312" w:hAnsi="仿宋" w:eastAsia="仿宋_GB2312"/>
                <w:kern w:val="0"/>
                <w:sz w:val="24"/>
              </w:rPr>
            </w:pPr>
            <w:r>
              <w:rPr>
                <w:rFonts w:hint="eastAsia" w:ascii="仿宋_GB2312" w:hAnsi="仿宋" w:eastAsia="仿宋_GB2312"/>
                <w:b/>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8"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3402" w:type="dxa"/>
            <w:vAlign w:val="center"/>
          </w:tcPr>
          <w:p>
            <w:pPr>
              <w:pStyle w:val="17"/>
              <w:ind w:left="0" w:leftChars="0" w:firstLine="0" w:firstLineChars="0"/>
              <w:rPr>
                <w:rFonts w:ascii="仿宋" w:hAnsi="仿宋" w:eastAsia="仿宋_GB2312" w:cs="仿宋"/>
              </w:rPr>
            </w:pPr>
            <w:r>
              <w:rPr>
                <w:rFonts w:hint="eastAsia" w:ascii="仿宋_GB2312" w:hAnsi="仿宋_GB2312" w:eastAsia="仿宋_GB2312" w:cs="仿宋_GB2312"/>
              </w:rPr>
              <w:t>教材管理系统</w:t>
            </w:r>
          </w:p>
        </w:tc>
        <w:tc>
          <w:tcPr>
            <w:tcW w:w="2410" w:type="dxa"/>
            <w:vAlign w:val="center"/>
          </w:tcPr>
          <w:p>
            <w:pPr>
              <w:spacing w:line="360" w:lineRule="auto"/>
              <w:jc w:val="center"/>
              <w:rPr>
                <w:rFonts w:ascii="仿宋" w:hAnsi="仿宋" w:eastAsia="仿宋" w:cs="仿宋"/>
                <w:kern w:val="0"/>
                <w:sz w:val="24"/>
              </w:rPr>
            </w:pPr>
            <w:r>
              <w:rPr>
                <w:rFonts w:hint="eastAsia" w:ascii="仿宋_GB2312" w:hAnsi="仿宋" w:eastAsia="仿宋_GB2312"/>
                <w:kern w:val="0"/>
                <w:sz w:val="24"/>
              </w:rPr>
              <w:t>详见系统要求说明</w:t>
            </w:r>
          </w:p>
        </w:tc>
        <w:tc>
          <w:tcPr>
            <w:tcW w:w="709" w:type="dxa"/>
            <w:vAlign w:val="center"/>
          </w:tcPr>
          <w:p>
            <w:pPr>
              <w:spacing w:line="360" w:lineRule="auto"/>
              <w:jc w:val="center"/>
              <w:rPr>
                <w:rFonts w:ascii="仿宋_GB2312" w:hAnsi="仿宋" w:eastAsia="仿宋_GB2312"/>
                <w:kern w:val="0"/>
                <w:sz w:val="24"/>
              </w:rPr>
            </w:pPr>
            <w:r>
              <w:rPr>
                <w:rFonts w:hint="eastAsia" w:ascii="仿宋_GB2312" w:hAnsi="仿宋" w:eastAsia="仿宋_GB2312"/>
                <w:kern w:val="0"/>
                <w:sz w:val="24"/>
              </w:rPr>
              <w:t>1</w:t>
            </w:r>
          </w:p>
        </w:tc>
        <w:tc>
          <w:tcPr>
            <w:tcW w:w="709" w:type="dxa"/>
            <w:vAlign w:val="center"/>
          </w:tcPr>
          <w:p>
            <w:pPr>
              <w:spacing w:line="360" w:lineRule="auto"/>
              <w:jc w:val="center"/>
              <w:rPr>
                <w:rFonts w:ascii="仿宋_GB2312" w:hAnsi="仿宋" w:eastAsia="仿宋_GB2312"/>
                <w:kern w:val="0"/>
                <w:sz w:val="24"/>
              </w:rPr>
            </w:pPr>
            <w:r>
              <w:rPr>
                <w:rFonts w:hint="eastAsia" w:ascii="仿宋_GB2312" w:hAnsi="仿宋" w:eastAsia="仿宋_GB2312"/>
                <w:kern w:val="0"/>
                <w:sz w:val="24"/>
              </w:rPr>
              <w:t>套</w:t>
            </w:r>
          </w:p>
        </w:tc>
      </w:tr>
    </w:tbl>
    <w:p/>
    <w:p>
      <w:pPr>
        <w:pStyle w:val="4"/>
        <w:rPr>
          <w:rFonts w:ascii="仿宋" w:hAnsi="仿宋" w:eastAsia="仿宋" w:cs="仿宋"/>
          <w:sz w:val="30"/>
          <w:szCs w:val="30"/>
        </w:rPr>
      </w:pPr>
      <w:r>
        <w:rPr>
          <w:rFonts w:hint="eastAsia" w:ascii="仿宋" w:hAnsi="仿宋" w:eastAsia="仿宋" w:cs="仿宋"/>
          <w:sz w:val="30"/>
          <w:szCs w:val="30"/>
        </w:rPr>
        <w:t>三、招标需求</w:t>
      </w:r>
    </w:p>
    <w:p>
      <w:pPr>
        <w:spacing w:line="360" w:lineRule="auto"/>
        <w:ind w:firstLine="480" w:firstLineChars="200"/>
        <w:rPr>
          <w:rFonts w:ascii="仿宋" w:hAnsi="仿宋" w:eastAsia="仿宋" w:cs="仿宋"/>
          <w:sz w:val="24"/>
        </w:rPr>
      </w:pPr>
      <w:r>
        <w:rPr>
          <w:rFonts w:hint="eastAsia" w:ascii="仿宋" w:hAnsi="仿宋" w:eastAsia="仿宋" w:cs="仿宋"/>
          <w:sz w:val="24"/>
        </w:rPr>
        <w:t>带★项为实质性条款，投标人如有任何一条负偏离则导致投标无效。带“▲” 系指重要性能指标</w:t>
      </w:r>
    </w:p>
    <w:p>
      <w:pPr>
        <w:pStyle w:val="5"/>
        <w:numPr>
          <w:ilvl w:val="1"/>
          <w:numId w:val="2"/>
        </w:numPr>
        <w:rPr>
          <w:rFonts w:ascii="仿宋" w:hAnsi="仿宋" w:eastAsia="仿宋" w:cs="仿宋"/>
          <w:sz w:val="24"/>
        </w:rPr>
      </w:pPr>
      <w:r>
        <w:rPr>
          <w:rFonts w:hint="eastAsia" w:ascii="仿宋" w:hAnsi="仿宋" w:eastAsia="仿宋" w:cs="仿宋"/>
        </w:rPr>
        <w:t>总体技术要求</w:t>
      </w:r>
    </w:p>
    <w:p>
      <w:pPr>
        <w:numPr>
          <w:ilvl w:val="0"/>
          <w:numId w:val="3"/>
        </w:numPr>
        <w:spacing w:line="360" w:lineRule="auto"/>
        <w:ind w:firstLine="420"/>
        <w:rPr>
          <w:rFonts w:ascii="仿宋" w:hAnsi="仿宋" w:eastAsia="仿宋" w:cs="仿宋"/>
          <w:kern w:val="0"/>
          <w:sz w:val="24"/>
        </w:rPr>
      </w:pPr>
      <w:r>
        <w:rPr>
          <w:rFonts w:hint="eastAsia" w:ascii="仿宋" w:hAnsi="仿宋" w:eastAsia="仿宋" w:cs="仿宋"/>
          <w:sz w:val="24"/>
        </w:rPr>
        <w:t>▲</w:t>
      </w:r>
      <w:r>
        <w:rPr>
          <w:rFonts w:hint="eastAsia" w:ascii="仿宋" w:hAnsi="仿宋" w:eastAsia="仿宋" w:cs="仿宋"/>
          <w:kern w:val="0"/>
          <w:sz w:val="24"/>
        </w:rPr>
        <w:t xml:space="preserve">为了确保系统建设统一性和维护的方便性，本项目的建设要求：软件要基于统一的技术开发平台，教材管理系统PC端和学校现有教务管理系统对接，统一风格和操作习惯，且要求为成熟稳定的产品，以相关产品著作权证书为准，所有证书必须为开标截止日期前获取，否则视为无效证明资料。 </w:t>
      </w:r>
    </w:p>
    <w:p>
      <w:pPr>
        <w:numPr>
          <w:ilvl w:val="0"/>
          <w:numId w:val="3"/>
        </w:numPr>
        <w:spacing w:line="360" w:lineRule="auto"/>
        <w:ind w:firstLine="420"/>
        <w:rPr>
          <w:rFonts w:ascii="仿宋" w:hAnsi="仿宋" w:eastAsia="仿宋" w:cs="仿宋"/>
          <w:kern w:val="0"/>
          <w:sz w:val="24"/>
        </w:rPr>
      </w:pPr>
      <w:r>
        <w:rPr>
          <w:rFonts w:hint="eastAsia" w:ascii="仿宋" w:hAnsi="仿宋" w:eastAsia="仿宋" w:cs="仿宋"/>
          <w:kern w:val="0"/>
          <w:sz w:val="24"/>
        </w:rPr>
        <w:t>用户认证页面能实现对PC、Pad、智能终端等多终端的支持，并支持IE10+、Chrome10+、Safari5+、Firefox16+、Opera12.1+等主流浏览器。</w:t>
      </w:r>
    </w:p>
    <w:p>
      <w:pPr>
        <w:numPr>
          <w:ilvl w:val="0"/>
          <w:numId w:val="3"/>
        </w:numPr>
        <w:spacing w:line="360" w:lineRule="auto"/>
        <w:ind w:firstLine="420"/>
        <w:rPr>
          <w:rFonts w:ascii="仿宋" w:hAnsi="仿宋" w:eastAsia="仿宋" w:cs="仿宋"/>
          <w:kern w:val="0"/>
          <w:sz w:val="24"/>
        </w:rPr>
      </w:pPr>
      <w:bookmarkStart w:id="0" w:name="OLE_LINK1"/>
      <w:r>
        <w:rPr>
          <w:rFonts w:hint="eastAsia" w:ascii="仿宋" w:hAnsi="仿宋" w:eastAsia="仿宋" w:cs="仿宋"/>
          <w:kern w:val="0"/>
          <w:sz w:val="24"/>
        </w:rPr>
        <w:t>提供的统一身份认证平台与其它应用系统通过建立基于SSL的加密数据传输通道，保证系统数据安全传输，实现统一数据交换；提供xml、json等通用数据交换格式。采用新一代SOAP引擎，支持HTTP/HTTPS，SMTP，JMS</w:t>
      </w:r>
      <w:r>
        <w:fldChar w:fldCharType="begin"/>
      </w:r>
      <w:r>
        <w:instrText xml:space="preserve"> HYPERLINK "http://baike.baidu.com/view/441895.htm" </w:instrText>
      </w:r>
      <w:r>
        <w:fldChar w:fldCharType="separate"/>
      </w:r>
      <w:r>
        <w:rPr>
          <w:rFonts w:hint="eastAsia" w:ascii="仿宋" w:hAnsi="仿宋" w:eastAsia="仿宋" w:cs="仿宋"/>
          <w:kern w:val="0"/>
          <w:sz w:val="24"/>
        </w:rPr>
        <w:t>传输协议</w:t>
      </w:r>
      <w:r>
        <w:rPr>
          <w:rFonts w:hint="eastAsia" w:ascii="仿宋" w:hAnsi="仿宋" w:eastAsia="仿宋" w:cs="仿宋"/>
          <w:kern w:val="0"/>
          <w:sz w:val="24"/>
        </w:rPr>
        <w:fldChar w:fldCharType="end"/>
      </w:r>
      <w:r>
        <w:rPr>
          <w:rFonts w:hint="eastAsia" w:ascii="仿宋" w:hAnsi="仿宋" w:eastAsia="仿宋" w:cs="仿宋"/>
          <w:kern w:val="0"/>
          <w:sz w:val="24"/>
        </w:rPr>
        <w:t>，向第三方应用提供API，为第三方应用提供数据交换，实现区域内所有应用的统一数据交换。</w:t>
      </w:r>
      <w:bookmarkEnd w:id="0"/>
    </w:p>
    <w:p>
      <w:pPr>
        <w:numPr>
          <w:ilvl w:val="0"/>
          <w:numId w:val="3"/>
        </w:numPr>
        <w:spacing w:line="360" w:lineRule="auto"/>
        <w:ind w:firstLine="420"/>
        <w:rPr>
          <w:rFonts w:ascii="仿宋" w:hAnsi="仿宋" w:eastAsia="仿宋" w:cs="仿宋"/>
          <w:sz w:val="24"/>
        </w:rPr>
      </w:pPr>
      <w:r>
        <w:rPr>
          <w:rFonts w:hint="eastAsia" w:ascii="仿宋" w:hAnsi="仿宋" w:eastAsia="仿宋" w:cs="仿宋"/>
          <w:sz w:val="24"/>
        </w:rPr>
        <w:t>系统需充分考虑对各类信息标准的支持，包括国家标准、教育部相关标准。</w:t>
      </w:r>
    </w:p>
    <w:p>
      <w:pPr>
        <w:numPr>
          <w:ilvl w:val="0"/>
          <w:numId w:val="3"/>
        </w:numPr>
        <w:spacing w:line="360" w:lineRule="auto"/>
        <w:ind w:firstLine="420"/>
        <w:rPr>
          <w:rFonts w:ascii="仿宋" w:hAnsi="仿宋" w:eastAsia="仿宋" w:cs="仿宋"/>
          <w:sz w:val="24"/>
        </w:rPr>
      </w:pPr>
      <w:r>
        <w:rPr>
          <w:rFonts w:hint="eastAsia" w:ascii="仿宋" w:hAnsi="仿宋" w:eastAsia="仿宋" w:cs="仿宋"/>
          <w:sz w:val="24"/>
        </w:rPr>
        <w:t>★供应商在响应文件中须承诺所有系统的程序开发框架为.NET+HTML5，数据库支持</w:t>
      </w:r>
      <w:r>
        <w:rPr>
          <w:rFonts w:hint="eastAsia" w:ascii="仿宋" w:hAnsi="仿宋" w:eastAsia="仿宋" w:cs="仿宋"/>
          <w:kern w:val="0"/>
          <w:sz w:val="24"/>
        </w:rPr>
        <w:t>sqlserver</w:t>
      </w:r>
      <w:r>
        <w:rPr>
          <w:rFonts w:hint="eastAsia" w:ascii="仿宋" w:hAnsi="仿宋" w:eastAsia="仿宋" w:cs="仿宋"/>
          <w:sz w:val="24"/>
        </w:rPr>
        <w:t>、mysql等。</w:t>
      </w:r>
    </w:p>
    <w:p>
      <w:pPr>
        <w:spacing w:line="360" w:lineRule="auto"/>
        <w:ind w:firstLine="720" w:firstLineChars="300"/>
        <w:rPr>
          <w:rFonts w:ascii="仿宋" w:hAnsi="仿宋" w:eastAsia="仿宋" w:cs="仿宋"/>
          <w:sz w:val="24"/>
        </w:rPr>
      </w:pPr>
      <w:r>
        <w:rPr>
          <w:rFonts w:hint="eastAsia" w:ascii="仿宋" w:hAnsi="仿宋" w:eastAsia="仿宋" w:cs="仿宋"/>
          <w:sz w:val="24"/>
        </w:rPr>
        <w:t>满足平滑移植，即应用软件与硬件平台相对分离，应用软件可以自由运行在主流硬件平台的主流操作系统上。应采用开放的体系结构，标准化的开放接口，具有良好的可扩展性和可集成性，支持不同厂家业务系统的即插即用。</w:t>
      </w:r>
    </w:p>
    <w:p>
      <w:pPr>
        <w:numPr>
          <w:ilvl w:val="0"/>
          <w:numId w:val="3"/>
        </w:numPr>
        <w:spacing w:line="360" w:lineRule="auto"/>
        <w:ind w:firstLine="420"/>
        <w:rPr>
          <w:rFonts w:ascii="仿宋" w:hAnsi="仿宋" w:eastAsia="仿宋" w:cs="仿宋"/>
        </w:rPr>
      </w:pPr>
      <w:r>
        <w:rPr>
          <w:rFonts w:hint="eastAsia" w:ascii="仿宋" w:hAnsi="仿宋" w:eastAsia="仿宋" w:cs="仿宋"/>
          <w:kern w:val="0"/>
          <w:sz w:val="24"/>
        </w:rPr>
        <w:t>★安全测评要求：</w:t>
      </w:r>
      <w:r>
        <w:rPr>
          <w:rFonts w:hint="eastAsia" w:ascii="仿宋" w:hAnsi="仿宋" w:eastAsia="仿宋" w:cs="仿宋"/>
          <w:sz w:val="24"/>
        </w:rPr>
        <w:t>供应商</w:t>
      </w:r>
      <w:r>
        <w:rPr>
          <w:rFonts w:hint="eastAsia" w:ascii="仿宋" w:hAnsi="仿宋" w:eastAsia="仿宋" w:cs="仿宋"/>
          <w:kern w:val="0"/>
          <w:sz w:val="24"/>
        </w:rPr>
        <w:t xml:space="preserve">在响应文件中须承诺上述系统在第三方评测机构评测后，针对评测报告，进行相关系统的完善与整改，以达到安全等级保护二级的要求。  </w:t>
      </w:r>
      <w:r>
        <w:rPr>
          <w:rFonts w:hint="eastAsia" w:ascii="仿宋" w:hAnsi="仿宋" w:eastAsia="仿宋" w:cs="仿宋"/>
          <w:kern w:val="0"/>
          <w:szCs w:val="21"/>
        </w:rPr>
        <w:t xml:space="preserve"> </w:t>
      </w:r>
    </w:p>
    <w:p>
      <w:pPr>
        <w:pStyle w:val="5"/>
        <w:numPr>
          <w:ilvl w:val="1"/>
          <w:numId w:val="2"/>
        </w:numPr>
        <w:rPr>
          <w:rFonts w:ascii="仿宋" w:hAnsi="仿宋" w:eastAsia="仿宋" w:cs="仿宋"/>
          <w:sz w:val="28"/>
          <w:szCs w:val="28"/>
        </w:rPr>
      </w:pPr>
      <w:r>
        <w:rPr>
          <w:rFonts w:hint="eastAsia" w:ascii="仿宋" w:hAnsi="仿宋" w:eastAsia="仿宋" w:cs="仿宋"/>
          <w:sz w:val="28"/>
          <w:szCs w:val="28"/>
        </w:rPr>
        <w:t>整体架构要求</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系统软件架构需明确区分服务层和应用层，可方便地对应用单元进行新增与升级。系统实现业务逻辑与通用服务单元的松耦合，业务逻辑可灵活调用基础服务单元。</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各应用模块按照SOA架构进行设计，提供良好的服务接口。软件采用分层的模块化结构，模块之间的通信应按规定接口进行。任何一层的任何一个模块的维护和更新以及新模块的追加都不应影响其他模块。</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系统应采用多节点的建设方式，具备良好的可裂变性。采用多节点建设时，各个节点应能够按照多种灵活的策略分担总业务量，各个节点之间应具备容灾互备功能。</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应用系统可以处理由于业务功能和用户量不断增加而带来的压力，保证系统正常运行。在硬件扩容之后，仅在原系统基础上简单地增加模块和修改参数，就能完成新功能的增加或整体扩容。</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满足平滑移植，即应用软件与硬件平台相对分离，应用软件可以自由运行在主流硬件平台的主流操作系统上。应采用开放的体系结构，标准化的开放接口，具有良好的可扩展性和可集成性，支持不同厂家业务系统的即插即用。</w:t>
      </w:r>
    </w:p>
    <w:p>
      <w:pPr>
        <w:numPr>
          <w:ilvl w:val="0"/>
          <w:numId w:val="4"/>
        </w:numPr>
        <w:spacing w:line="360" w:lineRule="auto"/>
        <w:ind w:firstLine="420"/>
        <w:rPr>
          <w:rFonts w:ascii="仿宋" w:hAnsi="仿宋" w:eastAsia="仿宋" w:cs="仿宋"/>
          <w:sz w:val="24"/>
        </w:rPr>
      </w:pPr>
      <w:r>
        <w:rPr>
          <w:rFonts w:hint="eastAsia" w:ascii="仿宋" w:hAnsi="仿宋" w:eastAsia="仿宋" w:cs="仿宋"/>
          <w:sz w:val="24"/>
        </w:rPr>
        <w:t>投标方需提供本系统的整体架构方案，突出在功能扩展和性能扩展方面具有前瞻性的总体架构的设计。</w:t>
      </w:r>
    </w:p>
    <w:p>
      <w:pPr>
        <w:pStyle w:val="5"/>
        <w:numPr>
          <w:ilvl w:val="1"/>
          <w:numId w:val="2"/>
        </w:numPr>
        <w:rPr>
          <w:rFonts w:ascii="仿宋" w:hAnsi="仿宋" w:eastAsia="仿宋" w:cs="仿宋"/>
          <w:sz w:val="28"/>
          <w:szCs w:val="28"/>
        </w:rPr>
      </w:pPr>
      <w:r>
        <w:rPr>
          <w:rFonts w:hint="eastAsia" w:ascii="仿宋" w:hAnsi="仿宋" w:eastAsia="仿宋" w:cs="仿宋"/>
          <w:bCs/>
          <w:sz w:val="28"/>
          <w:szCs w:val="28"/>
        </w:rPr>
        <w:t>整体功能要求</w:t>
      </w:r>
    </w:p>
    <w:p>
      <w:pPr>
        <w:spacing w:line="440" w:lineRule="exact"/>
        <w:ind w:firstLine="480" w:firstLineChars="200"/>
        <w:rPr>
          <w:rFonts w:ascii="仿宋" w:hAnsi="仿宋" w:eastAsia="仿宋" w:cs="仿宋"/>
          <w:b/>
          <w:bCs/>
          <w:color w:val="FF0000"/>
          <w:sz w:val="24"/>
        </w:rPr>
      </w:pPr>
      <w:r>
        <w:rPr>
          <w:rFonts w:hint="eastAsia" w:ascii="仿宋" w:hAnsi="仿宋" w:eastAsia="仿宋" w:cs="仿宋"/>
          <w:sz w:val="24"/>
        </w:rPr>
        <w:t>★要求所投标的系统能与学校现有教务系统无缝对接，中标单位需自主完成对接并承担可能产生的费用，学校不再另行支付。投标人需对此项进行承诺，并提供承诺函原件加盖公章，未提供该承诺函的将被认定为投标无效。</w:t>
      </w:r>
    </w:p>
    <w:p>
      <w:pPr>
        <w:rPr>
          <w:rFonts w:ascii="仿宋" w:hAnsi="仿宋" w:eastAsia="仿宋" w:cs="仿宋"/>
        </w:rPr>
      </w:pPr>
    </w:p>
    <w:p>
      <w:pPr>
        <w:pStyle w:val="5"/>
        <w:numPr>
          <w:ilvl w:val="1"/>
          <w:numId w:val="2"/>
        </w:numPr>
        <w:rPr>
          <w:sz w:val="28"/>
          <w:szCs w:val="28"/>
        </w:rPr>
      </w:pPr>
      <w:r>
        <w:rPr>
          <w:rFonts w:hint="eastAsia"/>
          <w:sz w:val="28"/>
          <w:szCs w:val="28"/>
        </w:rPr>
        <w:t>项目总体要求</w:t>
      </w:r>
    </w:p>
    <w:p>
      <w:pPr>
        <w:pStyle w:val="6"/>
        <w:numPr>
          <w:ilvl w:val="2"/>
          <w:numId w:val="5"/>
        </w:numPr>
        <w:rPr>
          <w:rFonts w:ascii="仿宋" w:hAnsi="仿宋" w:eastAsia="仿宋" w:cs="仿宋"/>
          <w:sz w:val="28"/>
          <w:szCs w:val="28"/>
        </w:rPr>
      </w:pPr>
      <w:r>
        <w:rPr>
          <w:rFonts w:hint="eastAsia" w:ascii="仿宋" w:hAnsi="仿宋" w:eastAsia="仿宋" w:cs="仿宋"/>
          <w:sz w:val="28"/>
          <w:szCs w:val="28"/>
        </w:rPr>
        <w:t>培训要求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根据采购需求制定培训计划，使用户熟练掌握使用方法；</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针对项目特点提供详细的培训计划，包括安装培训、维护培训、使用操作培训等。投标方应向用户管理人员、技术人员、普通教师等应用使用对象提供相关培训，保证用户能够进行软件的运行管理、操作、维护，故障分析处理等工作，并提供培训教材。 </w:t>
      </w:r>
    </w:p>
    <w:p>
      <w:pPr>
        <w:pStyle w:val="6"/>
        <w:numPr>
          <w:ilvl w:val="2"/>
          <w:numId w:val="5"/>
        </w:numPr>
        <w:rPr>
          <w:rFonts w:ascii="仿宋" w:hAnsi="仿宋" w:eastAsia="仿宋" w:cs="仿宋"/>
          <w:sz w:val="28"/>
          <w:szCs w:val="28"/>
        </w:rPr>
      </w:pPr>
      <w:r>
        <w:rPr>
          <w:rFonts w:hint="eastAsia" w:ascii="仿宋" w:hAnsi="仿宋" w:eastAsia="仿宋" w:cs="仿宋"/>
          <w:sz w:val="28"/>
          <w:szCs w:val="28"/>
        </w:rPr>
        <w:t>售后服务</w:t>
      </w:r>
    </w:p>
    <w:p>
      <w:pPr>
        <w:spacing w:line="440" w:lineRule="exact"/>
        <w:ind w:firstLine="480" w:firstLineChars="200"/>
        <w:rPr>
          <w:rFonts w:ascii="仿宋" w:hAnsi="仿宋" w:eastAsia="仿宋" w:cs="仿宋"/>
          <w:sz w:val="24"/>
        </w:rPr>
      </w:pPr>
      <w:r>
        <w:rPr>
          <w:rFonts w:hint="eastAsia" w:ascii="仿宋" w:hAnsi="仿宋" w:eastAsia="仿宋" w:cs="仿宋"/>
          <w:sz w:val="24"/>
        </w:rPr>
        <w:t>自软件系统验收合格之日起，中标方免费提供一年售后服务，售后服务到期后的费用由中标人与招标人另行商议决定。</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方需提供全年5×8小时的售后服务。提供包括但不限于免费升级、故障排除、性能调优、功能适应性修改、完善性修改、技术咨询等服务内容；并处理和协调好与各相关系统软件、硬件等供应商的关系。中标方必须提供详细的技术支持和服务方案。</w:t>
      </w:r>
    </w:p>
    <w:p>
      <w:pPr>
        <w:spacing w:line="440" w:lineRule="exact"/>
        <w:ind w:firstLine="480" w:firstLineChars="200"/>
        <w:rPr>
          <w:rFonts w:ascii="仿宋" w:hAnsi="仿宋" w:eastAsia="仿宋" w:cs="仿宋"/>
          <w:sz w:val="24"/>
        </w:rPr>
      </w:pPr>
      <w:r>
        <w:rPr>
          <w:rFonts w:hint="eastAsia" w:ascii="仿宋" w:hAnsi="仿宋" w:eastAsia="仿宋" w:cs="仿宋"/>
          <w:sz w:val="24"/>
        </w:rPr>
        <w:t>新学期入学期间账户增减较为频繁且数量巨大，因此在服务期内提供学期开学前的系统现场保证服务，保障此期间的系统运行及相关必要测试。</w:t>
      </w:r>
    </w:p>
    <w:p>
      <w:pPr>
        <w:spacing w:line="440" w:lineRule="exact"/>
        <w:ind w:firstLine="480" w:firstLineChars="200"/>
        <w:rPr>
          <w:rFonts w:ascii="仿宋" w:hAnsi="仿宋" w:eastAsia="仿宋" w:cs="仿宋"/>
          <w:sz w:val="24"/>
        </w:rPr>
      </w:pPr>
      <w:r>
        <w:rPr>
          <w:rFonts w:hint="eastAsia" w:ascii="仿宋" w:hAnsi="仿宋" w:eastAsia="仿宋" w:cs="仿宋"/>
          <w:sz w:val="24"/>
        </w:rPr>
        <w:t>系统安全要求：双方针对学校数据及供货方产品知识产权相关内容签订保密协议；制作方负责代码安全工作；制作方在服务期内配合用户方进行免费软件漏洞修复。</w:t>
      </w:r>
    </w:p>
    <w:p>
      <w:pPr>
        <w:spacing w:line="440" w:lineRule="exact"/>
        <w:ind w:firstLine="562" w:firstLineChars="200"/>
        <w:rPr>
          <w:rFonts w:ascii="仿宋" w:hAnsi="仿宋" w:eastAsia="仿宋" w:cs="仿宋"/>
          <w:sz w:val="24"/>
        </w:rPr>
      </w:pPr>
      <w:r>
        <w:rPr>
          <w:rFonts w:hint="eastAsia" w:ascii="仿宋" w:hAnsi="仿宋" w:eastAsia="仿宋" w:cs="仿宋"/>
          <w:b/>
          <w:bCs/>
          <w:sz w:val="28"/>
        </w:rPr>
        <w:t>★</w:t>
      </w:r>
      <w:r>
        <w:rPr>
          <w:rFonts w:hint="eastAsia" w:ascii="仿宋" w:hAnsi="仿宋" w:eastAsia="仿宋" w:cs="仿宋"/>
          <w:sz w:val="24"/>
        </w:rPr>
        <w:t>投标供应商需提供在开标日期前三年内未收到任何买卖合同纠纷的司法裁定书的声明函，未提供该声明函的将被认定为投标无效。</w:t>
      </w:r>
    </w:p>
    <w:p>
      <w:pPr>
        <w:spacing w:line="440" w:lineRule="exact"/>
        <w:ind w:firstLine="480" w:firstLineChars="200"/>
        <w:rPr>
          <w:rFonts w:ascii="仿宋" w:hAnsi="仿宋" w:eastAsia="仿宋" w:cs="仿宋"/>
        </w:rPr>
      </w:pPr>
      <w:r>
        <w:rPr>
          <w:rFonts w:hint="eastAsia" w:ascii="仿宋" w:hAnsi="仿宋" w:eastAsia="仿宋" w:cs="仿宋"/>
          <w:sz w:val="24"/>
        </w:rPr>
        <w:t>在项目进入维护期后，提供包括但不限于常驻、电话、远程、定期巡查等方式的系统支持服务，以保证系统正常、稳定运行。</w:t>
      </w:r>
    </w:p>
    <w:p>
      <w:pPr>
        <w:pStyle w:val="6"/>
        <w:numPr>
          <w:ilvl w:val="2"/>
          <w:numId w:val="5"/>
        </w:numPr>
        <w:rPr>
          <w:rFonts w:ascii="仿宋" w:hAnsi="仿宋" w:eastAsia="仿宋" w:cs="仿宋"/>
          <w:sz w:val="28"/>
          <w:szCs w:val="28"/>
        </w:rPr>
      </w:pPr>
      <w:r>
        <w:rPr>
          <w:rFonts w:hint="eastAsia" w:ascii="仿宋" w:hAnsi="仿宋" w:eastAsia="仿宋" w:cs="仿宋"/>
          <w:sz w:val="28"/>
          <w:szCs w:val="28"/>
        </w:rPr>
        <w:t>项目管理要求</w:t>
      </w:r>
    </w:p>
    <w:p>
      <w:pPr>
        <w:spacing w:line="440" w:lineRule="exact"/>
        <w:rPr>
          <w:rFonts w:ascii="仿宋" w:hAnsi="仿宋" w:eastAsia="仿宋" w:cs="仿宋"/>
          <w:sz w:val="24"/>
        </w:rPr>
      </w:pPr>
      <w:r>
        <w:rPr>
          <w:rFonts w:hint="eastAsia" w:ascii="仿宋" w:hAnsi="仿宋" w:eastAsia="仿宋" w:cs="仿宋"/>
          <w:sz w:val="24"/>
        </w:rPr>
        <w:t>（一）组织实施要求。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进度要求：合同签订后3个日历日内，中标人需完成采购人业务需求梳理；完成需求梳理后2个日历日内完成用户需求书的编写与确认；完成需求确认后15日历日内完成系统试运行并交付。项目各分系统的完成时间由中标方进场后与采购人各业务部门在需求梳理阶段明确。</w:t>
      </w:r>
    </w:p>
    <w:p>
      <w:pPr>
        <w:spacing w:line="440" w:lineRule="exact"/>
        <w:ind w:firstLine="480" w:firstLineChars="200"/>
        <w:rPr>
          <w:rFonts w:ascii="仿宋" w:hAnsi="仿宋" w:eastAsia="仿宋" w:cs="仿宋"/>
          <w:sz w:val="24"/>
        </w:rPr>
      </w:pPr>
      <w:r>
        <w:rPr>
          <w:rFonts w:hint="eastAsia" w:ascii="仿宋" w:hAnsi="仿宋" w:eastAsia="仿宋" w:cs="仿宋"/>
          <w:sz w:val="24"/>
        </w:rPr>
        <w:t>需求梳理审查：合同签订后3个工作日内，中标人完成采购人业务需求梳理，根据梳理结果完成系统详细建设方案，由采购人依据招标需求、中标人投标文件对建设方案进行评审，评审不通过的中标人须在2个工作日内重新提交建设方案，如第二次仍不通过，则采购人有权</w:t>
      </w:r>
      <w:r>
        <w:rPr>
          <w:rFonts w:hint="eastAsia" w:ascii="仿宋" w:hAnsi="仿宋" w:eastAsia="仿宋" w:cs="仿宋"/>
          <w:sz w:val="24"/>
          <w:lang w:eastAsia="zh-CN"/>
        </w:rPr>
        <w:t>终止</w:t>
      </w:r>
      <w:r>
        <w:rPr>
          <w:rFonts w:hint="eastAsia" w:ascii="仿宋" w:hAnsi="仿宋" w:eastAsia="仿宋" w:cs="仿宋"/>
          <w:sz w:val="24"/>
        </w:rPr>
        <w:t>合同，并保留向中标人</w:t>
      </w:r>
      <w:r>
        <w:rPr>
          <w:rFonts w:hint="eastAsia" w:ascii="仿宋" w:hAnsi="仿宋" w:eastAsia="仿宋" w:cs="仿宋"/>
          <w:sz w:val="24"/>
          <w:lang w:eastAsia="zh-CN"/>
        </w:rPr>
        <w:t>索赔权利</w:t>
      </w:r>
      <w:r>
        <w:rPr>
          <w:rFonts w:hint="eastAsia" w:ascii="仿宋" w:hAnsi="仿宋" w:eastAsia="仿宋" w:cs="仿宋"/>
          <w:sz w:val="24"/>
        </w:rPr>
        <w:t>。对建设内容有未详细之处，需按照学校的实际需求定制开发。</w:t>
      </w:r>
    </w:p>
    <w:p>
      <w:pPr>
        <w:spacing w:line="440" w:lineRule="exact"/>
        <w:ind w:firstLine="480" w:firstLineChars="200"/>
        <w:rPr>
          <w:rFonts w:ascii="仿宋" w:hAnsi="仿宋" w:eastAsia="仿宋" w:cs="仿宋"/>
          <w:sz w:val="24"/>
        </w:rPr>
      </w:pPr>
      <w:r>
        <w:rPr>
          <w:rFonts w:hint="eastAsia" w:ascii="仿宋" w:hAnsi="仿宋" w:eastAsia="仿宋" w:cs="仿宋"/>
          <w:sz w:val="24"/>
        </w:rPr>
        <w:t>说明：因采购人或第三方系统原因导致的项目延期不在此限制之列。</w:t>
      </w:r>
    </w:p>
    <w:p>
      <w:pPr>
        <w:spacing w:line="440" w:lineRule="exact"/>
        <w:rPr>
          <w:rFonts w:ascii="仿宋" w:hAnsi="仿宋" w:eastAsia="仿宋" w:cs="仿宋"/>
          <w:sz w:val="24"/>
        </w:rPr>
      </w:pPr>
      <w:r>
        <w:rPr>
          <w:rFonts w:hint="eastAsia" w:ascii="仿宋" w:hAnsi="仿宋" w:eastAsia="仿宋" w:cs="仿宋"/>
          <w:sz w:val="24"/>
        </w:rPr>
        <w:t>（二）项目人员安排要求。</w:t>
      </w:r>
    </w:p>
    <w:p>
      <w:pPr>
        <w:spacing w:line="440" w:lineRule="exact"/>
        <w:ind w:firstLine="480" w:firstLineChars="200"/>
        <w:rPr>
          <w:rFonts w:ascii="仿宋" w:hAnsi="仿宋" w:eastAsia="仿宋" w:cs="仿宋"/>
        </w:rPr>
      </w:pPr>
      <w:r>
        <w:rPr>
          <w:rFonts w:hint="eastAsia" w:ascii="仿宋" w:hAnsi="仿宋" w:eastAsia="仿宋" w:cs="仿宋"/>
          <w:sz w:val="24"/>
        </w:rPr>
        <w:t>需提供参与项目建设的主要人员的详细信息及在本项目中所担任的角色，并提供合同证明或者甲方证明材料。</w:t>
      </w:r>
    </w:p>
    <w:p>
      <w:pPr>
        <w:pStyle w:val="6"/>
        <w:numPr>
          <w:ilvl w:val="2"/>
          <w:numId w:val="5"/>
        </w:numPr>
        <w:rPr>
          <w:rFonts w:ascii="仿宋" w:hAnsi="仿宋" w:eastAsia="仿宋" w:cs="仿宋"/>
          <w:sz w:val="28"/>
          <w:szCs w:val="28"/>
        </w:rPr>
      </w:pPr>
      <w:r>
        <w:rPr>
          <w:rFonts w:hint="eastAsia" w:ascii="仿宋" w:hAnsi="仿宋" w:eastAsia="仿宋" w:cs="仿宋"/>
          <w:sz w:val="28"/>
          <w:szCs w:val="28"/>
        </w:rPr>
        <w:t>项目验收</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项目总体完成以后，须向招标方提交项目验收申请，招标方根据合同要求并按照学校信息化建设管理办法确定是否对项目进行验收。</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中标方必须提供完整的项目验收方案。</w:t>
      </w:r>
    </w:p>
    <w:p>
      <w:pPr>
        <w:pStyle w:val="6"/>
        <w:numPr>
          <w:ilvl w:val="2"/>
          <w:numId w:val="5"/>
        </w:numPr>
        <w:rPr>
          <w:rFonts w:ascii="仿宋" w:hAnsi="仿宋" w:eastAsia="仿宋" w:cs="仿宋"/>
          <w:sz w:val="28"/>
          <w:szCs w:val="28"/>
        </w:rPr>
      </w:pPr>
      <w:r>
        <w:rPr>
          <w:rFonts w:hint="eastAsia" w:ascii="仿宋" w:hAnsi="仿宋" w:eastAsia="仿宋" w:cs="仿宋"/>
          <w:sz w:val="28"/>
          <w:szCs w:val="28"/>
        </w:rPr>
        <w:t>项目交付要求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方需提供项目实施计划、软件运行环境、项目人员配置表、客户服务报告、项目阶段性总结报告、安装手册、用户手册、测试报告、系统维护说明、系统培训资料、系统接口的技术说明以及项目实施中的工作文档，如计划、报告、会议记录等（一套）给采购人，文档方面以电子版为主。</w:t>
      </w:r>
    </w:p>
    <w:p>
      <w:pPr>
        <w:spacing w:line="440" w:lineRule="exact"/>
        <w:ind w:firstLine="480" w:firstLineChars="200"/>
        <w:rPr>
          <w:rFonts w:ascii="仿宋" w:hAnsi="仿宋" w:eastAsia="仿宋" w:cs="仿宋"/>
          <w:sz w:val="24"/>
        </w:rPr>
      </w:pPr>
      <w:r>
        <w:rPr>
          <w:rFonts w:hint="eastAsia" w:ascii="仿宋" w:hAnsi="仿宋" w:eastAsia="仿宋" w:cs="仿宋"/>
          <w:sz w:val="24"/>
        </w:rPr>
        <w:t>中标方应协调主要部件对应的原厂工程师进行现场安装调试，直至竣工交付。</w:t>
      </w:r>
    </w:p>
    <w:p>
      <w:pPr>
        <w:spacing w:line="440" w:lineRule="exact"/>
        <w:ind w:firstLine="480" w:firstLineChars="200"/>
        <w:rPr>
          <w:rFonts w:ascii="仿宋" w:hAnsi="仿宋" w:eastAsia="仿宋" w:cs="仿宋"/>
          <w:sz w:val="24"/>
        </w:rPr>
      </w:pPr>
      <w:r>
        <w:rPr>
          <w:rFonts w:hint="eastAsia" w:ascii="仿宋" w:hAnsi="仿宋" w:eastAsia="仿宋" w:cs="仿宋"/>
          <w:sz w:val="24"/>
        </w:rPr>
        <w:t>合同签订后  20 日历日内，如因中标方原因造成项目无法验收通过，中标方须依法退还本项目所有预付款。</w:t>
      </w:r>
    </w:p>
    <w:p>
      <w:pPr>
        <w:rPr>
          <w:rFonts w:ascii="仿宋" w:hAnsi="仿宋" w:eastAsia="仿宋" w:cs="仿宋"/>
        </w:rPr>
      </w:pPr>
    </w:p>
    <w:p>
      <w:pPr>
        <w:pStyle w:val="5"/>
        <w:numPr>
          <w:ilvl w:val="1"/>
          <w:numId w:val="2"/>
        </w:numPr>
        <w:rPr>
          <w:rFonts w:ascii="仿宋" w:hAnsi="仿宋" w:eastAsia="仿宋" w:cs="仿宋"/>
          <w:sz w:val="28"/>
          <w:szCs w:val="28"/>
        </w:rPr>
      </w:pPr>
      <w:r>
        <w:rPr>
          <w:rFonts w:hint="eastAsia" w:ascii="仿宋" w:hAnsi="仿宋" w:eastAsia="仿宋" w:cs="仿宋"/>
          <w:sz w:val="28"/>
          <w:szCs w:val="28"/>
        </w:rPr>
        <w:t>系统功能要求</w:t>
      </w:r>
    </w:p>
    <w:p>
      <w:pPr>
        <w:spacing w:line="360" w:lineRule="auto"/>
        <w:ind w:firstLine="480" w:firstLineChars="200"/>
        <w:rPr>
          <w:rFonts w:ascii="仿宋" w:hAnsi="仿宋" w:eastAsia="仿宋" w:cs="仿宋"/>
          <w:sz w:val="24"/>
        </w:rPr>
      </w:pPr>
      <w:r>
        <w:rPr>
          <w:rFonts w:hint="eastAsia" w:ascii="仿宋" w:hAnsi="仿宋" w:eastAsia="仿宋" w:cs="仿宋"/>
          <w:sz w:val="24"/>
        </w:rPr>
        <w:t>教材管理是完成学校对教材库存、教材计划、教材预定、教材采购等进行有效管理。用户若设置好了教学计划和学期课程安排，教材计划数据可以直接由该模块获取。系统投入正常运行前必须录入教材书目及现有库存情况，然后根据某学期开设课程情况形成教材需求，最终形成教材计划，根据教材计划及教材库存情况形成教材采购统计表及定单，并实现教材入库及出库操作。</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教材目录：</w:t>
      </w:r>
      <w:r>
        <w:rPr>
          <w:rFonts w:hint="eastAsia" w:ascii="仿宋" w:hAnsi="仿宋" w:eastAsia="仿宋" w:cs="仿宋"/>
          <w:sz w:val="24"/>
        </w:rPr>
        <w:t>能够批量登记管理各门课程使用的各种教材，并且提供作废教材功能。</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学期课程教材：</w:t>
      </w:r>
      <w:r>
        <w:rPr>
          <w:rFonts w:hint="eastAsia" w:ascii="仿宋" w:hAnsi="仿宋" w:eastAsia="仿宋" w:cs="仿宋"/>
          <w:sz w:val="24"/>
        </w:rPr>
        <w:t>能够自动读取当前学期课程信息，并设置当前学期各门课程所要使用教材，可以根据教师申请信息自动获取，也可以手动设置，提供撤销课程教材、修改课程教材、继承教材功能。</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教材需求量：</w:t>
      </w:r>
      <w:r>
        <w:rPr>
          <w:rFonts w:hint="eastAsia" w:ascii="仿宋" w:hAnsi="仿宋" w:eastAsia="仿宋" w:cs="仿宋"/>
          <w:sz w:val="24"/>
        </w:rPr>
        <w:t>根据学期课程中各门课程设定的使用的教材，按每个教学班的学生人数自动统计每本教材所需要购买的数量，支持手动设置教材的备用数量以及样本量。</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教材订单：</w:t>
      </w:r>
      <w:r>
        <w:rPr>
          <w:rFonts w:hint="eastAsia" w:ascii="仿宋" w:hAnsi="仿宋" w:eastAsia="仿宋" w:cs="仿宋"/>
          <w:sz w:val="24"/>
        </w:rPr>
        <w:t>根据设定的教材需求量自动生成教材的订单信息，或手动设置教材的订单信息。</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教材入库：</w:t>
      </w:r>
      <w:r>
        <w:rPr>
          <w:rFonts w:hint="eastAsia" w:ascii="仿宋" w:hAnsi="仿宋" w:eastAsia="仿宋" w:cs="仿宋"/>
          <w:sz w:val="24"/>
        </w:rPr>
        <w:t>教材订单审批通过并订购完成后，对送达的教材可以按订单自动入库，也可以直接导入教材入库信息。</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教材报表：</w:t>
      </w:r>
      <w:r>
        <w:rPr>
          <w:rFonts w:hint="eastAsia" w:ascii="仿宋" w:hAnsi="仿宋" w:eastAsia="仿宋" w:cs="仿宋"/>
          <w:sz w:val="24"/>
        </w:rPr>
        <w:t>提供出库汇总表、库存表、班级确认单、学生确认单、教学班教材报表、班级教材费用报表、教材征订统计表等报表。</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提交时间设置：</w:t>
      </w:r>
      <w:r>
        <w:rPr>
          <w:rFonts w:hint="eastAsia" w:ascii="仿宋" w:hAnsi="仿宋" w:eastAsia="仿宋" w:cs="仿宋"/>
          <w:sz w:val="24"/>
        </w:rPr>
        <w:t>能够自定义设置课程教材以及教师用书的提交时间段。</w:t>
      </w:r>
    </w:p>
    <w:p>
      <w:pPr>
        <w:pStyle w:val="17"/>
        <w:spacing w:line="360" w:lineRule="auto"/>
        <w:ind w:left="479" w:leftChars="228" w:firstLine="0" w:firstLineChars="0"/>
        <w:jc w:val="left"/>
        <w:rPr>
          <w:rFonts w:ascii="仿宋" w:hAnsi="仿宋" w:eastAsia="仿宋" w:cs="仿宋"/>
        </w:rPr>
      </w:pPr>
      <w:r>
        <w:rPr>
          <w:rFonts w:hint="eastAsia" w:ascii="仿宋" w:hAnsi="仿宋" w:eastAsia="仿宋" w:cs="仿宋"/>
          <w:b/>
          <w:bCs/>
        </w:rPr>
        <w:t>课程匹配：</w:t>
      </w:r>
      <w:r>
        <w:rPr>
          <w:rFonts w:hint="eastAsia" w:ascii="仿宋" w:hAnsi="仿宋" w:eastAsia="仿宋" w:cs="仿宋"/>
        </w:rPr>
        <w:t xml:space="preserve">能够导入和修改与课程匹配的教材基本信息。                                 </w:t>
      </w:r>
      <w:r>
        <w:rPr>
          <w:rFonts w:hint="eastAsia" w:ascii="仿宋" w:hAnsi="仿宋" w:eastAsia="仿宋" w:cs="仿宋"/>
          <w:b/>
          <w:bCs/>
        </w:rPr>
        <w:t>教辅资料申请：</w:t>
      </w:r>
      <w:r>
        <w:rPr>
          <w:rFonts w:hint="eastAsia" w:ascii="仿宋" w:hAnsi="仿宋" w:eastAsia="仿宋" w:cs="仿宋"/>
        </w:rPr>
        <w:t xml:space="preserve">教师可通过系统根据教学需要申请购买教辅资料，申请时录入教辅资料信息，对所需教辅资料进行申请，相关专业主任、负责人、教务和分管校领导进行审批，可以按学期、学年或部门进行数据统计。                                                      </w:t>
      </w:r>
      <w:r>
        <w:rPr>
          <w:rFonts w:hint="eastAsia" w:ascii="仿宋" w:hAnsi="仿宋" w:eastAsia="仿宋" w:cs="仿宋"/>
          <w:b/>
          <w:bCs/>
        </w:rPr>
        <w:t>查询统计：</w:t>
      </w:r>
      <w:r>
        <w:rPr>
          <w:rFonts w:hint="eastAsia" w:ascii="仿宋" w:hAnsi="仿宋" w:eastAsia="仿宋" w:cs="仿宋"/>
        </w:rPr>
        <w:t xml:space="preserve">能够根据学期课程自动生成教材征订单，支持教材信息统计功能，以备学校上报数据使用。 </w:t>
      </w:r>
    </w:p>
    <w:p>
      <w:pPr>
        <w:pStyle w:val="17"/>
        <w:spacing w:line="360" w:lineRule="auto"/>
        <w:ind w:left="479" w:leftChars="228" w:firstLine="0" w:firstLineChars="0"/>
        <w:jc w:val="left"/>
        <w:rPr>
          <w:rFonts w:ascii="仿宋" w:hAnsi="仿宋" w:eastAsia="仿宋" w:cs="仿宋"/>
        </w:rPr>
      </w:pPr>
      <w:r>
        <w:rPr>
          <w:rFonts w:hint="eastAsia" w:ascii="仿宋" w:hAnsi="仿宋" w:eastAsia="仿宋" w:cs="仿宋"/>
          <w:b/>
          <w:bCs/>
        </w:rPr>
        <w:t>教材课程导入及报表生成：</w:t>
      </w:r>
      <w:r>
        <w:rPr>
          <w:rFonts w:hint="eastAsia" w:ascii="仿宋" w:hAnsi="仿宋" w:eastAsia="仿宋" w:cs="仿宋"/>
        </w:rPr>
        <w:t>根据全国库数据导入要求及时调整教材和课程信息项目，并生成相关可直接导入的报表</w:t>
      </w:r>
    </w:p>
    <w:p>
      <w:pPr>
        <w:pStyle w:val="17"/>
        <w:ind w:firstLine="480"/>
        <w:rPr>
          <w:rFonts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58A3C"/>
    <w:multiLevelType w:val="singleLevel"/>
    <w:tmpl w:val="85358A3C"/>
    <w:lvl w:ilvl="0" w:tentative="0">
      <w:start w:val="1"/>
      <w:numFmt w:val="decimal"/>
      <w:suff w:val="nothing"/>
      <w:lvlText w:val="%1、"/>
      <w:lvlJc w:val="left"/>
    </w:lvl>
  </w:abstractNum>
  <w:abstractNum w:abstractNumId="1">
    <w:nsid w:val="AA0A7004"/>
    <w:multiLevelType w:val="singleLevel"/>
    <w:tmpl w:val="AA0A7004"/>
    <w:lvl w:ilvl="0" w:tentative="0">
      <w:start w:val="1"/>
      <w:numFmt w:val="decimal"/>
      <w:suff w:val="nothing"/>
      <w:lvlText w:val="%1、"/>
      <w:lvlJc w:val="left"/>
    </w:lvl>
  </w:abstractNum>
  <w:abstractNum w:abstractNumId="2">
    <w:nsid w:val="B78AC670"/>
    <w:multiLevelType w:val="multilevel"/>
    <w:tmpl w:val="B78AC670"/>
    <w:lvl w:ilvl="0" w:tentative="0">
      <w:start w:val="2"/>
      <w:numFmt w:val="decimal"/>
      <w:lvlText w:val="%1."/>
      <w:lvlJc w:val="left"/>
      <w:pPr>
        <w:ind w:left="709" w:hanging="425"/>
      </w:pPr>
      <w:rPr>
        <w:rFonts w:hint="default" w:ascii="宋体" w:hAnsi="宋体" w:eastAsia="宋体" w:cs="宋体"/>
      </w:rPr>
    </w:lvl>
    <w:lvl w:ilvl="1" w:tentative="0">
      <w:start w:val="3"/>
      <w:numFmt w:val="decimal"/>
      <w:lvlText w:val="%1.%2."/>
      <w:lvlJc w:val="left"/>
      <w:pPr>
        <w:ind w:left="851" w:hanging="567"/>
      </w:pPr>
      <w:rPr>
        <w:rFonts w:hint="default" w:ascii="宋体" w:hAnsi="宋体" w:eastAsia="宋体" w:cs="宋体"/>
      </w:rPr>
    </w:lvl>
    <w:lvl w:ilvl="2" w:tentative="0">
      <w:start w:val="1"/>
      <w:numFmt w:val="decimal"/>
      <w:lvlText w:val="3.4.%3."/>
      <w:lvlJc w:val="left"/>
      <w:pPr>
        <w:ind w:left="993" w:hanging="709"/>
      </w:pPr>
      <w:rPr>
        <w:rFonts w:hint="default" w:ascii="宋体" w:hAnsi="宋体" w:eastAsia="宋体" w:cs="宋体"/>
      </w:rPr>
    </w:lvl>
    <w:lvl w:ilvl="3" w:tentative="0">
      <w:start w:val="1"/>
      <w:numFmt w:val="decimal"/>
      <w:lvlText w:val="%1.%2.%3.%4."/>
      <w:lvlJc w:val="left"/>
      <w:pPr>
        <w:ind w:left="1134" w:hanging="850"/>
      </w:pPr>
      <w:rPr>
        <w:rFonts w:hint="default"/>
      </w:rPr>
    </w:lvl>
    <w:lvl w:ilvl="4" w:tentative="0">
      <w:start w:val="1"/>
      <w:numFmt w:val="decimal"/>
      <w:lvlText w:val="%1.%2.%3.%4.%5."/>
      <w:lvlJc w:val="left"/>
      <w:pPr>
        <w:ind w:left="1275" w:hanging="991"/>
      </w:pPr>
      <w:rPr>
        <w:rFonts w:hint="default"/>
      </w:rPr>
    </w:lvl>
    <w:lvl w:ilvl="5" w:tentative="0">
      <w:start w:val="1"/>
      <w:numFmt w:val="decimal"/>
      <w:lvlText w:val="%1.%2.%3.%4.%5.%6."/>
      <w:lvlJc w:val="left"/>
      <w:pPr>
        <w:ind w:left="1418" w:hanging="1134"/>
      </w:pPr>
      <w:rPr>
        <w:rFonts w:hint="default"/>
      </w:rPr>
    </w:lvl>
    <w:lvl w:ilvl="6" w:tentative="0">
      <w:start w:val="1"/>
      <w:numFmt w:val="decimal"/>
      <w:lvlText w:val="%1.%2.%3.%4.%5.%6.%7."/>
      <w:lvlJc w:val="left"/>
      <w:pPr>
        <w:ind w:left="1559" w:hanging="1275"/>
      </w:pPr>
      <w:rPr>
        <w:rFonts w:hint="default"/>
      </w:rPr>
    </w:lvl>
    <w:lvl w:ilvl="7" w:tentative="0">
      <w:start w:val="1"/>
      <w:numFmt w:val="decimal"/>
      <w:lvlText w:val="%1.%2.%3.%4.%5.%6.%7.%8."/>
      <w:lvlJc w:val="left"/>
      <w:pPr>
        <w:ind w:left="1702" w:hanging="1418"/>
      </w:pPr>
      <w:rPr>
        <w:rFonts w:hint="default"/>
      </w:rPr>
    </w:lvl>
    <w:lvl w:ilvl="8" w:tentative="0">
      <w:start w:val="1"/>
      <w:numFmt w:val="decimal"/>
      <w:lvlText w:val="%1.%2.%3.%4.%5.%6.%7.%8.%9."/>
      <w:lvlJc w:val="left"/>
      <w:pPr>
        <w:ind w:left="1842" w:hanging="1558"/>
      </w:pPr>
      <w:rPr>
        <w:rFonts w:hint="default"/>
      </w:rPr>
    </w:lvl>
  </w:abstractNum>
  <w:abstractNum w:abstractNumId="3">
    <w:nsid w:val="00000025"/>
    <w:multiLevelType w:val="multilevel"/>
    <w:tmpl w:val="00000025"/>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3.%2.%3"/>
      <w:lvlJc w:val="left"/>
      <w:pPr>
        <w:tabs>
          <w:tab w:val="left" w:pos="862"/>
        </w:tabs>
        <w:ind w:left="862" w:hanging="720"/>
      </w:pPr>
      <w:rPr>
        <w:rFonts w:hint="default" w:ascii="宋体" w:hAnsi="宋体" w:eastAsia="宋体" w:cs="宋体"/>
      </w:rPr>
    </w:lvl>
    <w:lvl w:ilvl="3" w:tentative="0">
      <w:start w:val="1"/>
      <w:numFmt w:val="decimal"/>
      <w:pStyle w:val="7"/>
      <w:lvlText w:val="3.%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7C245393"/>
    <w:multiLevelType w:val="multilevel"/>
    <w:tmpl w:val="7C245393"/>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3.%2."/>
      <w:lvlJc w:val="left"/>
      <w:pPr>
        <w:ind w:left="567" w:hanging="567"/>
      </w:pPr>
      <w:rPr>
        <w:rFonts w:hint="default" w:ascii="宋体" w:hAnsi="宋体" w:eastAsia="宋体" w:cs="宋体"/>
        <w:sz w:val="28"/>
        <w:szCs w:val="28"/>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OGU5NWZiMGQzODkwNDY0MmE1NzhiODMxMWM4N2EifQ=="/>
  </w:docVars>
  <w:rsids>
    <w:rsidRoot w:val="1ADA0E22"/>
    <w:rsid w:val="00006352"/>
    <w:rsid w:val="000451A6"/>
    <w:rsid w:val="000567BB"/>
    <w:rsid w:val="000776A3"/>
    <w:rsid w:val="00097103"/>
    <w:rsid w:val="00110105"/>
    <w:rsid w:val="00114C92"/>
    <w:rsid w:val="00135DD6"/>
    <w:rsid w:val="00137B8E"/>
    <w:rsid w:val="001B236E"/>
    <w:rsid w:val="001F2DA1"/>
    <w:rsid w:val="0023348A"/>
    <w:rsid w:val="002474A4"/>
    <w:rsid w:val="00296533"/>
    <w:rsid w:val="002D3E26"/>
    <w:rsid w:val="002D684F"/>
    <w:rsid w:val="00312A52"/>
    <w:rsid w:val="0031754C"/>
    <w:rsid w:val="00347929"/>
    <w:rsid w:val="00347F24"/>
    <w:rsid w:val="003540C8"/>
    <w:rsid w:val="00355AE5"/>
    <w:rsid w:val="003B5D55"/>
    <w:rsid w:val="003C68B4"/>
    <w:rsid w:val="003D1A17"/>
    <w:rsid w:val="00425D5D"/>
    <w:rsid w:val="004659AF"/>
    <w:rsid w:val="004B0ECE"/>
    <w:rsid w:val="00533E27"/>
    <w:rsid w:val="00534982"/>
    <w:rsid w:val="0055112D"/>
    <w:rsid w:val="005E044F"/>
    <w:rsid w:val="00660E4F"/>
    <w:rsid w:val="00667242"/>
    <w:rsid w:val="006D0F1E"/>
    <w:rsid w:val="006F6196"/>
    <w:rsid w:val="00710E85"/>
    <w:rsid w:val="00744D5E"/>
    <w:rsid w:val="00761E66"/>
    <w:rsid w:val="007F2A0C"/>
    <w:rsid w:val="00822021"/>
    <w:rsid w:val="00854509"/>
    <w:rsid w:val="00876025"/>
    <w:rsid w:val="00885FDC"/>
    <w:rsid w:val="008D6F56"/>
    <w:rsid w:val="00906045"/>
    <w:rsid w:val="00916AEA"/>
    <w:rsid w:val="00970BCF"/>
    <w:rsid w:val="00980278"/>
    <w:rsid w:val="009A3A08"/>
    <w:rsid w:val="009D0690"/>
    <w:rsid w:val="00A52550"/>
    <w:rsid w:val="00AB4C0A"/>
    <w:rsid w:val="00AE1AB5"/>
    <w:rsid w:val="00B24B39"/>
    <w:rsid w:val="00B7561E"/>
    <w:rsid w:val="00BA642D"/>
    <w:rsid w:val="00BA6D5C"/>
    <w:rsid w:val="00C86250"/>
    <w:rsid w:val="00CB3E09"/>
    <w:rsid w:val="00CF1A12"/>
    <w:rsid w:val="00D1355D"/>
    <w:rsid w:val="00DB7D3C"/>
    <w:rsid w:val="00E40BB2"/>
    <w:rsid w:val="00E60068"/>
    <w:rsid w:val="00EC5C6E"/>
    <w:rsid w:val="00EF1809"/>
    <w:rsid w:val="00EF645A"/>
    <w:rsid w:val="00EF7FDD"/>
    <w:rsid w:val="00F43607"/>
    <w:rsid w:val="00FA4174"/>
    <w:rsid w:val="00FC6182"/>
    <w:rsid w:val="00FE76E4"/>
    <w:rsid w:val="00FF0DD0"/>
    <w:rsid w:val="01D97FFC"/>
    <w:rsid w:val="0239374D"/>
    <w:rsid w:val="03B511ED"/>
    <w:rsid w:val="043F1CF6"/>
    <w:rsid w:val="053C0081"/>
    <w:rsid w:val="08240DE2"/>
    <w:rsid w:val="08D00FFA"/>
    <w:rsid w:val="0914582F"/>
    <w:rsid w:val="0A216696"/>
    <w:rsid w:val="0A395A51"/>
    <w:rsid w:val="0C965DB3"/>
    <w:rsid w:val="0D8708ED"/>
    <w:rsid w:val="0E830885"/>
    <w:rsid w:val="10FC3879"/>
    <w:rsid w:val="111307B3"/>
    <w:rsid w:val="114B5286"/>
    <w:rsid w:val="11CD69AD"/>
    <w:rsid w:val="12D878E5"/>
    <w:rsid w:val="133D507F"/>
    <w:rsid w:val="13CF6A06"/>
    <w:rsid w:val="14C353D7"/>
    <w:rsid w:val="160D285F"/>
    <w:rsid w:val="16E63AB7"/>
    <w:rsid w:val="19341F4D"/>
    <w:rsid w:val="194B6966"/>
    <w:rsid w:val="1ADA0E22"/>
    <w:rsid w:val="1B025B91"/>
    <w:rsid w:val="1B8A33F4"/>
    <w:rsid w:val="1D3C0612"/>
    <w:rsid w:val="1E3D5118"/>
    <w:rsid w:val="1EA0684E"/>
    <w:rsid w:val="1ED16490"/>
    <w:rsid w:val="1F4D58EF"/>
    <w:rsid w:val="1FAB4F33"/>
    <w:rsid w:val="20E911DA"/>
    <w:rsid w:val="20FE37EE"/>
    <w:rsid w:val="21B17B10"/>
    <w:rsid w:val="21F726B1"/>
    <w:rsid w:val="2314115E"/>
    <w:rsid w:val="25532C3C"/>
    <w:rsid w:val="271F175F"/>
    <w:rsid w:val="28B409B4"/>
    <w:rsid w:val="2A247DBB"/>
    <w:rsid w:val="2B0442EC"/>
    <w:rsid w:val="2B99527A"/>
    <w:rsid w:val="2E9A7E4C"/>
    <w:rsid w:val="2FC11C09"/>
    <w:rsid w:val="30054B71"/>
    <w:rsid w:val="30407063"/>
    <w:rsid w:val="33581237"/>
    <w:rsid w:val="336A2CE3"/>
    <w:rsid w:val="337228CA"/>
    <w:rsid w:val="34434721"/>
    <w:rsid w:val="34CE54F3"/>
    <w:rsid w:val="35A50558"/>
    <w:rsid w:val="35FE5964"/>
    <w:rsid w:val="3898505A"/>
    <w:rsid w:val="38DE28D8"/>
    <w:rsid w:val="395C2617"/>
    <w:rsid w:val="3C8B7A8B"/>
    <w:rsid w:val="3C9429DD"/>
    <w:rsid w:val="3D424389"/>
    <w:rsid w:val="3D6A0B80"/>
    <w:rsid w:val="3FFD0420"/>
    <w:rsid w:val="40B35B5D"/>
    <w:rsid w:val="429A0A6D"/>
    <w:rsid w:val="43E433A9"/>
    <w:rsid w:val="44E13EF3"/>
    <w:rsid w:val="451A3E3D"/>
    <w:rsid w:val="453B4B9F"/>
    <w:rsid w:val="45B03EEA"/>
    <w:rsid w:val="47FD1B42"/>
    <w:rsid w:val="487D199C"/>
    <w:rsid w:val="48982CA1"/>
    <w:rsid w:val="49FE5AE1"/>
    <w:rsid w:val="4A282519"/>
    <w:rsid w:val="4C19436A"/>
    <w:rsid w:val="4D734E2D"/>
    <w:rsid w:val="4ECF5003"/>
    <w:rsid w:val="4F9B0603"/>
    <w:rsid w:val="506A51BF"/>
    <w:rsid w:val="510B3A53"/>
    <w:rsid w:val="51316796"/>
    <w:rsid w:val="521127CE"/>
    <w:rsid w:val="525629FB"/>
    <w:rsid w:val="54BA588C"/>
    <w:rsid w:val="54EC06A6"/>
    <w:rsid w:val="55871263"/>
    <w:rsid w:val="56807499"/>
    <w:rsid w:val="56D079BA"/>
    <w:rsid w:val="595A560F"/>
    <w:rsid w:val="59CC52AE"/>
    <w:rsid w:val="5B3D3F8A"/>
    <w:rsid w:val="5D7731DF"/>
    <w:rsid w:val="5EDA0F44"/>
    <w:rsid w:val="5FBB13D4"/>
    <w:rsid w:val="60192A16"/>
    <w:rsid w:val="60732A90"/>
    <w:rsid w:val="646634F5"/>
    <w:rsid w:val="64E504A9"/>
    <w:rsid w:val="65424FBE"/>
    <w:rsid w:val="65534AD5"/>
    <w:rsid w:val="662A224B"/>
    <w:rsid w:val="66451947"/>
    <w:rsid w:val="67411243"/>
    <w:rsid w:val="67853AD2"/>
    <w:rsid w:val="685139D3"/>
    <w:rsid w:val="686A1194"/>
    <w:rsid w:val="69E80502"/>
    <w:rsid w:val="6A465D3B"/>
    <w:rsid w:val="6AAD27DE"/>
    <w:rsid w:val="6C194F4F"/>
    <w:rsid w:val="6CD62394"/>
    <w:rsid w:val="6D942F59"/>
    <w:rsid w:val="6E0C32F0"/>
    <w:rsid w:val="6F5A2C18"/>
    <w:rsid w:val="71772376"/>
    <w:rsid w:val="72987259"/>
    <w:rsid w:val="72C320CA"/>
    <w:rsid w:val="748C0004"/>
    <w:rsid w:val="752A4C21"/>
    <w:rsid w:val="7592676F"/>
    <w:rsid w:val="75BC56EF"/>
    <w:rsid w:val="77360310"/>
    <w:rsid w:val="7A9E0A92"/>
    <w:rsid w:val="7B5F374C"/>
    <w:rsid w:val="7C397B62"/>
    <w:rsid w:val="7C865339"/>
    <w:rsid w:val="7DD27D72"/>
    <w:rsid w:val="7FA0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9"/>
    <w:pPr>
      <w:keepNext/>
      <w:keepLines/>
      <w:numPr>
        <w:ilvl w:val="3"/>
        <w:numId w:val="1"/>
      </w:numPr>
      <w:tabs>
        <w:tab w:val="left" w:pos="432"/>
      </w:tabs>
      <w:spacing w:before="100" w:beforeAutospacing="1" w:after="100" w:afterAutospacing="1" w:line="377" w:lineRule="auto"/>
      <w:outlineLvl w:val="3"/>
    </w:pPr>
    <w:rPr>
      <w:rFonts w:ascii="Times New Roman" w:hAnsi="Times New Roman" w:cs="Times New Roman"/>
      <w:b/>
      <w:bCs/>
      <w:sz w:val="30"/>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line="300" w:lineRule="auto"/>
      <w:ind w:firstLine="602"/>
      <w:jc w:val="left"/>
    </w:pPr>
  </w:style>
  <w:style w:type="paragraph" w:styleId="3">
    <w:name w:val="Body Text"/>
    <w:basedOn w:val="1"/>
    <w:next w:val="1"/>
    <w:qFormat/>
    <w:uiPriority w:val="99"/>
    <w:pPr>
      <w:jc w:val="center"/>
    </w:pPr>
    <w:rPr>
      <w:rFonts w:ascii="华文行楷" w:hAnsi="华文行楷"/>
      <w:szCs w:val="72"/>
    </w:rPr>
  </w:style>
  <w:style w:type="paragraph" w:styleId="8">
    <w:name w:val="Document Map"/>
    <w:basedOn w:val="1"/>
    <w:next w:val="1"/>
    <w:semiHidden/>
    <w:qFormat/>
    <w:uiPriority w:val="0"/>
    <w:pPr>
      <w:widowControl/>
      <w:shd w:val="clear" w:color="auto" w:fill="000080"/>
    </w:pPr>
    <w:rPr>
      <w:rFonts w:ascii="Times New Roman" w:hAnsi="Times New Roman" w:cs="Times New Roman"/>
      <w:kern w:val="0"/>
      <w:szCs w:val="20"/>
    </w:rPr>
  </w:style>
  <w:style w:type="paragraph" w:styleId="9">
    <w:name w:val="annotation text"/>
    <w:basedOn w:val="1"/>
    <w:qFormat/>
    <w:uiPriority w:val="0"/>
    <w:pPr>
      <w:jc w:val="left"/>
    </w:pPr>
  </w:style>
  <w:style w:type="paragraph" w:styleId="10">
    <w:name w:val="Body Text Indent"/>
    <w:basedOn w:val="1"/>
    <w:next w:val="11"/>
    <w:qFormat/>
    <w:uiPriority w:val="99"/>
    <w:pPr>
      <w:spacing w:after="120"/>
      <w:ind w:left="420" w:leftChars="200"/>
    </w:pPr>
    <w:rPr>
      <w:kern w:val="0"/>
      <w:sz w:val="24"/>
    </w:rPr>
  </w:style>
  <w:style w:type="paragraph" w:styleId="11">
    <w:name w:val="envelope return"/>
    <w:basedOn w:val="1"/>
    <w:qFormat/>
    <w:uiPriority w:val="99"/>
    <w:pPr>
      <w:snapToGrid w:val="0"/>
    </w:pPr>
    <w:rPr>
      <w:rFonts w:ascii="Arial" w:hAnsi="Arial" w:cs="Arial"/>
    </w:rPr>
  </w:style>
  <w:style w:type="paragraph" w:styleId="12">
    <w:name w:val="Plain Text"/>
    <w:basedOn w:val="1"/>
    <w:qFormat/>
    <w:uiPriority w:val="0"/>
    <w:pPr>
      <w:spacing w:beforeLines="50" w:afterLines="50" w:line="400" w:lineRule="atLeast"/>
    </w:pPr>
    <w:rPr>
      <w:rFonts w:ascii="宋体" w:hAnsi="Courier New" w:cs="Times New Roman"/>
      <w:sz w:val="24"/>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10"/>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paragraph" w:customStyle="1" w:styleId="22">
    <w:name w:val="标准段落"/>
    <w:basedOn w:val="1"/>
    <w:qFormat/>
    <w:uiPriority w:val="0"/>
    <w:pPr>
      <w:adjustRightInd w:val="0"/>
      <w:spacing w:beforeLines="50" w:afterLines="50" w:line="300" w:lineRule="auto"/>
      <w:ind w:firstLine="454"/>
      <w:jc w:val="left"/>
    </w:pPr>
    <w:rPr>
      <w:sz w:val="24"/>
    </w:rPr>
  </w:style>
  <w:style w:type="paragraph" w:customStyle="1" w:styleId="23">
    <w:name w:val="DAS正文"/>
    <w:basedOn w:val="1"/>
    <w:qFormat/>
    <w:uiPriority w:val="0"/>
    <w:pPr>
      <w:ind w:right="181" w:firstLine="480" w:firstLineChars="200"/>
    </w:pPr>
    <w:rPr>
      <w:rFonts w:ascii="Verdana" w:hAnsi="Verdana"/>
    </w:rPr>
  </w:style>
  <w:style w:type="paragraph" w:customStyle="1" w:styleId="24">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5">
    <w:name w:val="List Paragraph"/>
    <w:basedOn w:val="1"/>
    <w:qFormat/>
    <w:uiPriority w:val="34"/>
    <w:pPr>
      <w:ind w:firstLine="420" w:firstLineChars="200"/>
    </w:pPr>
  </w:style>
  <w:style w:type="paragraph" w:customStyle="1" w:styleId="26">
    <w:name w:val="默认 A"/>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出段落1"/>
    <w:basedOn w:val="1"/>
    <w:qFormat/>
    <w:uiPriority w:val="34"/>
    <w:pPr>
      <w:ind w:firstLine="420" w:firstLineChars="200"/>
    </w:pPr>
  </w:style>
  <w:style w:type="character" w:customStyle="1" w:styleId="28">
    <w:name w:val="页眉 Char"/>
    <w:basedOn w:val="20"/>
    <w:link w:val="14"/>
    <w:qFormat/>
    <w:uiPriority w:val="0"/>
    <w:rPr>
      <w:rFonts w:ascii="Calibri" w:hAnsi="Calibri" w:eastAsia="宋体" w:cs="宋体"/>
      <w:kern w:val="2"/>
      <w:sz w:val="18"/>
      <w:szCs w:val="18"/>
    </w:rPr>
  </w:style>
  <w:style w:type="character" w:customStyle="1" w:styleId="29">
    <w:name w:val="页脚 Char"/>
    <w:basedOn w:val="20"/>
    <w:link w:val="13"/>
    <w:qFormat/>
    <w:uiPriority w:val="0"/>
    <w:rPr>
      <w:rFonts w:ascii="Calibri" w:hAnsi="Calibri" w:eastAsia="宋体" w:cs="宋体"/>
      <w:kern w:val="2"/>
      <w:sz w:val="18"/>
      <w:szCs w:val="18"/>
    </w:rPr>
  </w:style>
  <w:style w:type="paragraph" w:customStyle="1" w:styleId="30">
    <w:name w:val="标准文本"/>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F27D-9786-46A1-90D3-B06B64C781BB}">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5862</Words>
  <Characters>5986</Characters>
  <Lines>45</Lines>
  <Paragraphs>12</Paragraphs>
  <TotalTime>16</TotalTime>
  <ScaleCrop>false</ScaleCrop>
  <LinksUpToDate>false</LinksUpToDate>
  <CharactersWithSpaces>6159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2021-11-09T15:23:00Z</dcterms:created>
  <dc:creator>姚</dc:creator>
  <cp:lastModifiedBy>仲杰</cp:lastModifiedBy>
  <dcterms:modified xsi:type="dcterms:W3CDTF">2022-10-25T04:26:55Z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6FFFD73798184E8AA066694462FDA11C</vt:lpwstr>
  </property>
</Properties>
</file>