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2744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</w:rPr>
      </w:pPr>
    </w:p>
    <w:p w14:paraId="51216D7B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</w:rPr>
      </w:pPr>
    </w:p>
    <w:p w14:paraId="34F0D16C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</w:rPr>
      </w:pPr>
    </w:p>
    <w:p w14:paraId="128A54C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  <w:t>多媒体教室设备维修服务</w:t>
      </w:r>
    </w:p>
    <w:p w14:paraId="6505143C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  <w:t>比选文件</w:t>
      </w:r>
    </w:p>
    <w:p w14:paraId="7537766F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</w:pPr>
    </w:p>
    <w:p w14:paraId="0E0B8CDC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</w:pPr>
    </w:p>
    <w:p w14:paraId="7C2C66F4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</w:rPr>
        <w:t>HFBX2025064</w:t>
      </w:r>
    </w:p>
    <w:p w14:paraId="7847E4C0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04A9AF49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072C381A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5FF5EC6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329AAC3B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5537D82F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2030E4D2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</w:p>
    <w:p w14:paraId="51D61EC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采购人：上海海事大学</w:t>
      </w:r>
    </w:p>
    <w:p w14:paraId="55DAF2FE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二○二五年六月</w:t>
      </w:r>
    </w:p>
    <w:p w14:paraId="6440B1D7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br w:type="page"/>
      </w:r>
    </w:p>
    <w:p w14:paraId="790C2F19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第一章 比选公告</w:t>
      </w:r>
    </w:p>
    <w:p w14:paraId="6F8526F6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6DD7213A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0BF68C8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HFBX2025064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；</w:t>
      </w:r>
    </w:p>
    <w:p w14:paraId="67D63B9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多媒体教室设备维修服务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；</w:t>
      </w:r>
    </w:p>
    <w:p w14:paraId="1DF37F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3、采购方式：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学校比选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；</w:t>
      </w:r>
    </w:p>
    <w:p w14:paraId="2C8896B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4、预算金额（亦是最高限价）：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/；</w:t>
      </w:r>
    </w:p>
    <w:p w14:paraId="25C7E66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5、采购需求：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本项目包含上海海事大学临港校区89间公共教室所有多媒体软硬件设备的维修服务，包含2020年建设的4间多媒体教室，2022年建设的77间多媒体教室，2017年-2019年建设的7间智慧教室及1间报告厅。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拟采取比选方式实施采购。（具体要求详见比选文件—第二章节采购需求）。</w:t>
      </w:r>
    </w:p>
    <w:p w14:paraId="79E296A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6、服务地址：上海海事大学临港校区（上海市海港大道1550号）；</w:t>
      </w:r>
    </w:p>
    <w:p w14:paraId="22325C8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7、服务周期：本项目采用一次比选三年有效，分年度签订合同，每次签约有效期一年，每年度合同有效期终止前2个月，由采购人对中标单位进行年度考核和验收，如通过则可续签下一年合同，合同价格及服务内容不变。如遇特殊情况，则以当年度法定程序批准的预算执行或者学校有权重新比选。</w:t>
      </w:r>
    </w:p>
    <w:p w14:paraId="034170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8、付款方式：维修费用按月结算，中标单位于次月的10日前提出申请，附上工作量清单，校方于七个工作日内审核确认后通知中标单位开具发票，并于收到发票后七个工作日内支付维保费用。</w:t>
      </w:r>
    </w:p>
    <w:p w14:paraId="19BBC5C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二、报价人的资格要求</w:t>
      </w:r>
    </w:p>
    <w:p w14:paraId="29AD7A0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1、符合《中华人民共和国政府采购法》第二十二条之供应商资格规定。</w:t>
      </w:r>
    </w:p>
    <w:p w14:paraId="29B0B92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5143F07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3、经营范围及拟投标货物（服务）符合本次比选要求，具有与本次投标货物（服务）相应的经营、代理（经销）资质，能全程参与并完成本项目，且具有较强的服务能力，以及畅通的问题响应机制和渠道等。</w:t>
      </w:r>
    </w:p>
    <w:p w14:paraId="5AD14A0F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三、报名要求</w:t>
      </w:r>
    </w:p>
    <w:p w14:paraId="460A50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0D8D05D0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62C7ABA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获取方式：公告页面下方自行下载</w:t>
      </w:r>
    </w:p>
    <w:p w14:paraId="20CE7B2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300FB5B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D2B0CE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六、响应文件提交</w:t>
      </w:r>
    </w:p>
    <w:p w14:paraId="2312855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时间：2025年6月30日（周一）上午11时00分</w:t>
      </w:r>
    </w:p>
    <w:p w14:paraId="7122E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2、提交方式：发送盖章扫描版PDF到指定邮箱，邮件名称：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项目编号+公司名称</w:t>
      </w:r>
    </w:p>
    <w:p w14:paraId="151B4F8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3、邮箱地址：quotation@shmtu.edu.cn</w:t>
      </w:r>
    </w:p>
    <w:p w14:paraId="0EA8AA9C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七、其他补充事宜</w:t>
      </w:r>
    </w:p>
    <w:p w14:paraId="736B62D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1、中标结果将通过发布比选公告的媒介进行公示，公示期为1个工作日，公示期内如对中标结果有异议可向校方提出书面质疑。</w:t>
      </w:r>
      <w:bookmarkStart w:id="3" w:name="_Toc35393627"/>
    </w:p>
    <w:p w14:paraId="00D057F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、凡对本次采购提出询问，请按以下方式联系：</w:t>
      </w:r>
    </w:p>
    <w:p w14:paraId="27D86AD7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商务信息：仲老师021-38284707</w:t>
      </w:r>
    </w:p>
    <w:p w14:paraId="343B70C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张老师021-3828489</w:t>
      </w:r>
      <w:bookmarkStart w:id="9" w:name="_GoBack"/>
      <w:bookmarkEnd w:id="9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0</w:t>
      </w:r>
    </w:p>
    <w:p w14:paraId="47D218E2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br w:type="page"/>
      </w:r>
    </w:p>
    <w:p w14:paraId="208E6E8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第二章 采购需求</w:t>
      </w:r>
    </w:p>
    <w:p w14:paraId="5223172C">
      <w:pPr>
        <w:pStyle w:val="6"/>
        <w:spacing w:before="157" w:beforeLines="50" w:after="157" w:afterLines="50" w:line="360" w:lineRule="auto"/>
        <w:outlineLvl w:val="0"/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  <w:t>一、服务内容</w:t>
      </w:r>
    </w:p>
    <w:p w14:paraId="5F7F613D">
      <w:pPr>
        <w:pStyle w:val="23"/>
        <w:widowControl/>
        <w:spacing w:line="360" w:lineRule="auto"/>
        <w:ind w:left="0" w:firstLine="440" w:firstLineChars="200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本次招标包含上海海事大学临港校区89间公共教室所有多媒体软硬件设备的维修服务，包含2020年建设的4间多媒体教室，2022年建设的77间多媒体教室，2017年-2019年建设的7间智慧教室及1间报告厅，具体设备如下：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3712"/>
        <w:gridCol w:w="1905"/>
        <w:gridCol w:w="2491"/>
      </w:tblGrid>
      <w:tr w14:paraId="6C2A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000000" w:fill="BFBFBF"/>
            <w:vAlign w:val="center"/>
          </w:tcPr>
          <w:p w14:paraId="471ABC6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863" w:type="pct"/>
            <w:shd w:val="clear" w:color="000000" w:fill="BFBFBF"/>
            <w:vAlign w:val="center"/>
          </w:tcPr>
          <w:p w14:paraId="487F3BD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设备名称</w:t>
            </w:r>
          </w:p>
        </w:tc>
        <w:tc>
          <w:tcPr>
            <w:tcW w:w="956" w:type="pct"/>
            <w:shd w:val="clear" w:color="000000" w:fill="BFBFBF"/>
            <w:vAlign w:val="center"/>
          </w:tcPr>
          <w:p w14:paraId="54646EE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250" w:type="pct"/>
            <w:shd w:val="clear" w:color="000000" w:fill="BFBFBF"/>
            <w:vAlign w:val="center"/>
          </w:tcPr>
          <w:p w14:paraId="40B0239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</w:tr>
      <w:tr w14:paraId="7092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D990E8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354569C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多媒体集中管理平台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5E9E1D1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A745F5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5237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54CC88C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3050415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IPBX网络电话平台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7EE5F0B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D5D0A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3594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62193DC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65D41D3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功放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72142E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87E2B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43FA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4AADF71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C414E3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桌面集成暗藏式拔线盒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814022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503BE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只</w:t>
            </w:r>
          </w:p>
        </w:tc>
      </w:tr>
      <w:tr w14:paraId="5B7F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3D83BDA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269288F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电动投影幕（商船）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06D789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7C76FF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74F4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2EED88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61A0D5E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同轴吸顶音箱（商船）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ADBD3A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E0AE55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对</w:t>
            </w:r>
          </w:p>
        </w:tc>
      </w:tr>
      <w:tr w14:paraId="420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2EF86B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65DB7D2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中控主机（商船-东微）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652482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54884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0B4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301453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562D19D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嵌桌式触摸屏（商船东微）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25D8696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7F231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2C1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09165B0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12C989A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16口交换机（商船）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229A94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9151C8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2B84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593D782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36EC47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IPBX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0D2533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713A9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4E28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152FB83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42359AB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32路（或以上）硬盘录像机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04F2967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510823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B44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51D440A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60B222F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电视机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252C51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985F8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0F8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2D2DFE4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E4E72B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大屏数字矩阵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8E4749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FB3D3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6F3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69D8DAE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4C109E8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电动投影幕（阶梯）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AB7E1B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E0154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6E46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1F667EA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0AE90AB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有线鹅颈话筒（阶梯）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8EA112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8C11F0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55BA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75E5D46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E411F7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无线话筒（阶梯）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9635F0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DD57CE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253B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3C2A86E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58C6EB5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中控主机（阶梯-东微）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8AC0FC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0208ED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082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72BADD1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0C7D7DC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电动投影幕（普通）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5E8FAB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0926AD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12C7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34F5057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D735E0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有线鹅颈话筒（普通）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383A8AC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61BFF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0EA2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29757BF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460C2B5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无线话筒（普通）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269F17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62152D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7219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6A8EC09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4A0131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中控主机（普通-台电）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24D1BE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B13C57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3F0A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11261E9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1DE0B82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嵌桌式触摸屏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6AB567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44AF8C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77C6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154B539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F319DF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8口交换机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94B99F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46C7DF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6787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4202187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863" w:type="pct"/>
            <w:shd w:val="clear" w:color="auto" w:fill="auto"/>
            <w:noWrap/>
            <w:vAlign w:val="center"/>
          </w:tcPr>
          <w:p w14:paraId="636F9EF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拾音器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62147A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23BE04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54A2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5DE3D79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198416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彩色摄像头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DAD35E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927629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503A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75AD201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84B357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IP电话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77F8CA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324B05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71AC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40318D1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C9D9D3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无线投屏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D094EB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3654B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2A03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5699A91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84FACC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讲台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C1B398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C18F5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只</w:t>
            </w:r>
          </w:p>
        </w:tc>
      </w:tr>
      <w:tr w14:paraId="699E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noWrap/>
            <w:vAlign w:val="center"/>
          </w:tcPr>
          <w:p w14:paraId="467A275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37CD04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音箱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DAB551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146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DD7E8A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只</w:t>
            </w:r>
          </w:p>
        </w:tc>
      </w:tr>
      <w:tr w14:paraId="1AD7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7EF180E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6F36977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D类功放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1B2E368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54C53F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5418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65C7D9F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F24F66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同轴吸顶音箱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9F844F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F6AFF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358E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320E788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F38855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数字音频处理器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60B398C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BBDF110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58D7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313EE48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0AB2A36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无线领夹麦克风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E735A1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BB8F46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2E40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22E1A58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0E5B88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监控系统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6AD5C0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A0CA98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222E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52E3A29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0F7D4BC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智慧教室主机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3FA83C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10A105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5688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4E75D121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B0609E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嵌桌式触摸屏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0115E4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C1C6BA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7389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22B7718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419633A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HDMI输入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539DF1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FF9AE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5C43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6EC077E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FFD6DD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SDI输入卡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0C402EC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64E14E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325A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ED7BF3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506EDA7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分布式输入卡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ED8699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7AB5EC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12C2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626FCCE2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B5425A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电子班牌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77DABB6B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7BCE8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07CB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5D04C5A8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7C3D77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分布式输出卡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C6866B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57596A6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5D4A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6A105D8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266C38D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HDMI输出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3644B4E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5A18B9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0160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A7FF173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4AB3DDB5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导轨强电控制器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7B1750E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927BB0A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2E79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578FC55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4D886D1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互动交互式激光投射系统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268FDFC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EA67E89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2777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039E259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54E6BF7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7英寸无线触摸屏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6011144F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6B5F1D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2F49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9" w:type="pct"/>
            <w:shd w:val="clear" w:color="auto" w:fill="auto"/>
            <w:vAlign w:val="center"/>
          </w:tcPr>
          <w:p w14:paraId="1DC16754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7015863C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互动显示系统含移动支架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789E988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DCB640E">
            <w:pPr>
              <w:widowControl/>
              <w:spacing w:line="360" w:lineRule="auto"/>
              <w:jc w:val="center"/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兰亭黑简体" w:cs="Times New Roman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</w:tbl>
    <w:p w14:paraId="6CC9BFFA">
      <w:pPr>
        <w:pStyle w:val="6"/>
        <w:spacing w:before="157" w:beforeLines="50" w:after="157" w:afterLines="50" w:line="360" w:lineRule="auto"/>
        <w:outlineLvl w:val="0"/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  <w:t>二、维修服务要求：</w:t>
      </w:r>
    </w:p>
    <w:p w14:paraId="6668A6A9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1、维修要求</w:t>
      </w:r>
    </w:p>
    <w:p w14:paraId="25D49839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（1）</w:t>
      </w: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服务期内所有多媒体软、硬件设备发生故障，除维修配件和配件辅材外，只收取维修人工费，费用按照上门维修次数收取，单次上门维修费用按照投标报价执行。</w:t>
      </w:r>
    </w:p>
    <w:p w14:paraId="29EE2330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（2）</w:t>
      </w:r>
      <w:bookmarkStart w:id="4" w:name="_Hlk201062235"/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服务商需提供设备及主要配件的明确报价，后续维修及更换按照报价执行。辅材及非主要配件维修产生的费用应据实报价。原则上非主要配件维修产生的费用不应超过主要配件报价。</w:t>
      </w:r>
    </w:p>
    <w:bookmarkEnd w:id="4"/>
    <w:p w14:paraId="5C8F2A41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（3）</w:t>
      </w: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故障报修后，必须有专业技术人员在1小时内响应，3小时内到现场解决问题，换下的故障设备交校方确认，对于不能及时解决的故障需外送检修，厂家</w:t>
      </w:r>
      <w:r>
        <w:rPr>
          <w:rFonts w:hint="eastAsia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必须</w:t>
      </w: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免费提供备用件，且设备维修周期不得超过10天。</w:t>
      </w:r>
    </w:p>
    <w:p w14:paraId="7A99A886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（4）最终验收应在维修、安装、调试到位后进行，并填写《设备维修记录表》，做好故障设备地点、设备编号、维修时间等相关记录。</w:t>
      </w:r>
    </w:p>
    <w:p w14:paraId="4010D55B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（5）在维保期内，提供现场及远程24小时技术支持服务，解决各类多媒体设备的疑难问题；在校方有重大考试及活动期间，提前安排调试设备，并提供现场技术支持保障。</w:t>
      </w:r>
    </w:p>
    <w:p w14:paraId="5C070A35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（6）所有更换的零配件必须为全新原厂正品配件。</w:t>
      </w:r>
    </w:p>
    <w:p w14:paraId="53B24256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7）在提供维保服务期间，学校对公司所派人员进行考察，如果学校认为其不能胜任，则通知公司更换人员，公司应在一周内更换人员。正常服务期间，公司不随意撤换人员，如需更换须事先经过学校同意，且新进人员的学历、能力应在被更换人员之上。</w:t>
      </w:r>
    </w:p>
    <w:p w14:paraId="3DF68C6D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2、维修安全要求</w:t>
      </w:r>
    </w:p>
    <w:p w14:paraId="208FF6E2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（1）遵守和严格执行学校各项规章制度和安保规定；不应因维保人员责任出现失窃或其他安全事故。</w:t>
      </w:r>
    </w:p>
    <w:p w14:paraId="2BAA622E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（2）若遇突发事件必须第一时间按照流程上报，并派人员协助校方职能部门进行相关工作。</w:t>
      </w:r>
    </w:p>
    <w:p w14:paraId="720468C9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（3）制定各类风险工作预备方案，人员、物资准备、突发事件处置都必须有强</w:t>
      </w:r>
      <w:r>
        <w:rPr>
          <w:rFonts w:hint="eastAsia" w:hAnsi="Times New Roman" w:eastAsia="方正兰亭黑简体" w:cs="Times New Roman"/>
          <w:color w:val="auto"/>
          <w:sz w:val="22"/>
          <w:szCs w:val="22"/>
          <w:highlight w:val="none"/>
        </w:rPr>
        <w:t>大的</w:t>
      </w: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技术支持和应付能力。</w:t>
      </w:r>
    </w:p>
    <w:p w14:paraId="5AD5BA0B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（4）多媒体集中控制系统中有涉及学校重要信息的必须遵守保密协定，不得泄露学校保密信息。</w:t>
      </w:r>
    </w:p>
    <w:p w14:paraId="2DAB99BC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（5）多媒体维保人员必须规范服务，有严格的服务规程和详细的服务记录。</w:t>
      </w:r>
    </w:p>
    <w:p w14:paraId="30A6E9B1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（6）以高超的技术能力、热情文明的服务为广大师生员工提供优质的技术服务，将服务人性化、科学化。</w:t>
      </w:r>
    </w:p>
    <w:p w14:paraId="0D5037FA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3、其他要求</w:t>
      </w:r>
    </w:p>
    <w:p w14:paraId="48DD5698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（1）</w:t>
      </w:r>
      <w:bookmarkStart w:id="5" w:name="OLE_LINK2"/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投标单位应充分了解本项目需求，提供完整的响应方案。</w:t>
      </w:r>
    </w:p>
    <w:p w14:paraId="7C29C59D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（2）提供多媒体中控设备（台电）原厂售后服务承诺书</w:t>
      </w:r>
      <w:bookmarkEnd w:id="5"/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7E5E68A6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（3）维保人员具有三年以上工作经验，且对目前校方使用的多媒体系统及中控有一定的了解，能够熟练完成维修工作。</w:t>
      </w:r>
    </w:p>
    <w:p w14:paraId="0714D51C">
      <w:pPr>
        <w:pStyle w:val="2"/>
        <w:adjustRightInd w:val="0"/>
        <w:snapToGrid w:val="0"/>
        <w:spacing w:line="360" w:lineRule="auto"/>
        <w:ind w:left="0" w:leftChars="0" w:firstLine="0" w:firstLineChars="0"/>
        <w:rPr>
          <w:rFonts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Ansi="Times New Roman" w:eastAsia="方正兰亭黑简体" w:cs="Times New Roman"/>
          <w:color w:val="auto"/>
          <w:sz w:val="22"/>
          <w:szCs w:val="22"/>
          <w:highlight w:val="none"/>
        </w:rPr>
        <w:t>（4）中标单位所提供的货物或服务质量标准按照国家标准、行业标准或采购人指定标准确定，上述标准不一致的，以严格或最新的标准为准。没有国家标准、行业标准的，按照通常标准或者符合合同目的的特定标准确定。</w:t>
      </w:r>
    </w:p>
    <w:p w14:paraId="0D1D3BC5">
      <w:pPr>
        <w:pStyle w:val="6"/>
        <w:spacing w:before="157" w:beforeLines="50" w:after="157" w:afterLines="50" w:line="360" w:lineRule="auto"/>
        <w:outlineLvl w:val="0"/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  <w:t>三、项目说明：</w:t>
      </w:r>
    </w:p>
    <w:p w14:paraId="58F38584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1、服务期限：自合同签订起一年。</w:t>
      </w:r>
    </w:p>
    <w:p w14:paraId="058D0102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本项目采用一次招标三年有效，分年度签订合同，每次签约有效期一年，每年度合同有效期终止前2个月，由采购人对中标单位进行年度考核和验收，如通过则可续签第二年合同，第二年合同价为第一年的原合同价，如遇特殊情况，则以当年度法定程序批准的预算执行或者甲方有权重新招标。</w:t>
      </w:r>
    </w:p>
    <w:p w14:paraId="31A9723B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2、若发现投标单位之间存在关联，则取消相关单位中标资格，并保留追究法律责任的权利。服务期内中标单位若出现未能完全履行合同义务、或转包等情况，校方有权解除合同。</w:t>
      </w:r>
    </w:p>
    <w:p w14:paraId="24689408">
      <w:pPr>
        <w:pStyle w:val="6"/>
        <w:spacing w:line="360" w:lineRule="auto"/>
        <w:rPr>
          <w:rFonts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3、本项目设备维修及更换根据实际发生明细结算，年度预计总维修费用不超过18万元。</w:t>
      </w:r>
    </w:p>
    <w:p w14:paraId="4F5D2512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4、付款流程：维修费用按月结算，中标单位于次月的10日前提出申请，附上工作量清单，校方于七个工作日内审核确认后通知中标单位开具发票，并于收到发票后七个工作日内支付维保费用。</w:t>
      </w:r>
    </w:p>
    <w:p w14:paraId="05C5482B">
      <w:pPr>
        <w:pStyle w:val="6"/>
        <w:spacing w:before="157" w:beforeLines="50" w:after="157" w:afterLines="50" w:line="360" w:lineRule="auto"/>
        <w:outlineLvl w:val="0"/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b/>
          <w:color w:val="auto"/>
          <w:sz w:val="22"/>
          <w:szCs w:val="22"/>
          <w:highlight w:val="none"/>
        </w:rPr>
        <w:t>四、违约责任及处罚措施</w:t>
      </w:r>
    </w:p>
    <w:p w14:paraId="728DC94A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1、</w:t>
      </w:r>
      <w:bookmarkStart w:id="6" w:name="OLE_LINK1"/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中标单位</w:t>
      </w:r>
      <w:bookmarkEnd w:id="6"/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驻场人员或工作情况与投标文件内容不相符，采购方有权单方面解除合同，一切损失由中标单位承担。</w:t>
      </w:r>
    </w:p>
    <w:p w14:paraId="74B3E0CC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2、中标单位提供的耗材和零配件以次充好，使用劣质零配件导致多媒体设备损坏，由此造成的损失均由中标单位承担。</w:t>
      </w:r>
    </w:p>
    <w:p w14:paraId="2C9BCA60">
      <w:pPr>
        <w:pStyle w:val="6"/>
        <w:spacing w:line="360" w:lineRule="auto"/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兰亭黑简体" w:cs="Times New Roman"/>
          <w:color w:val="auto"/>
          <w:sz w:val="22"/>
          <w:szCs w:val="22"/>
          <w:highlight w:val="none"/>
        </w:rPr>
        <w:t>3、中标单位未能达到采购方规定的服务内容及要求五项（次）或以上，或者有设备一周内不能修理好并投入使用，且不能证明为正常修理状态的，采购方有权单方面解除合同，一切损失由中标单位承担。</w:t>
      </w:r>
    </w:p>
    <w:p w14:paraId="585A5299">
      <w:pPr>
        <w:pStyle w:val="6"/>
        <w:spacing w:before="157" w:beforeLines="50" w:after="157" w:afterLines="50" w:line="360" w:lineRule="auto"/>
        <w:outlineLvl w:val="0"/>
        <w:rPr>
          <w:rFonts w:ascii="Times New Roman" w:hAnsi="Times New Roman" w:eastAsia="方正兰亭黑简体" w:cs="Times New Roman"/>
          <w:b/>
          <w:color w:val="auto"/>
          <w:sz w:val="24"/>
          <w:highlight w:val="none"/>
        </w:rPr>
      </w:pPr>
    </w:p>
    <w:p w14:paraId="4FDE200F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7437EA6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br w:type="page"/>
      </w:r>
    </w:p>
    <w:p w14:paraId="4C914CAC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第三章 评审办法</w:t>
      </w:r>
    </w:p>
    <w:p w14:paraId="2E5F7A9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综合本项目的特点，根据相关法律法规的规定，本着保护竞争，维护采购工作公开、公平、公正原则，特制定本评审办法，作为选定本次采购中标人的依据。</w:t>
      </w:r>
    </w:p>
    <w:p w14:paraId="5104DA33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1、成立比选评审小组</w:t>
      </w:r>
    </w:p>
    <w:p w14:paraId="0F53517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采购人将根据货物与服务的特点，依规组建比选小组，比选小组由3人或以上的单数组成。</w:t>
      </w:r>
    </w:p>
    <w:p w14:paraId="1905AE35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5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63"/>
        <w:gridCol w:w="795"/>
        <w:gridCol w:w="6921"/>
      </w:tblGrid>
      <w:tr w14:paraId="3D3B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29" w:type="pct"/>
            <w:vAlign w:val="center"/>
          </w:tcPr>
          <w:p w14:paraId="3733D3CE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787" w:type="pct"/>
            <w:vAlign w:val="center"/>
          </w:tcPr>
          <w:p w14:paraId="470E8FBC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400" w:type="pct"/>
            <w:vAlign w:val="center"/>
          </w:tcPr>
          <w:p w14:paraId="441CD0FB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82" w:type="pct"/>
            <w:vAlign w:val="center"/>
          </w:tcPr>
          <w:p w14:paraId="2F9AC18E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0995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vAlign w:val="center"/>
          </w:tcPr>
          <w:p w14:paraId="74D12E72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2BCA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04823792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787" w:type="pct"/>
            <w:vAlign w:val="center"/>
          </w:tcPr>
          <w:p w14:paraId="79FBD2ED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4313555C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（客观分</w:t>
            </w:r>
            <w:r>
              <w:rPr>
                <w:rFonts w:hint="eastAsia" w:ascii="微软雅黑" w:hAnsi="微软雅黑" w:eastAsia="微软雅黑" w:cs="方正兰亭黑简体"/>
                <w:color w:val="auto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400" w:type="pct"/>
            <w:vAlign w:val="center"/>
          </w:tcPr>
          <w:p w14:paraId="6A86744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方正兰亭黑简体"/>
                <w:color w:val="auto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3482" w:type="pct"/>
            <w:vAlign w:val="center"/>
          </w:tcPr>
          <w:p w14:paraId="25816A8C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满足采购文件要求且价格最低的最终报价为评审基准价</w:t>
            </w:r>
          </w:p>
          <w:p w14:paraId="529ABC63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供应商的价格分统一按照下列公式计算:</w:t>
            </w:r>
          </w:p>
          <w:p w14:paraId="55D6664D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报价得分（人工）=Σ20×【评审基准价（最低报价）／最终报价】</w:t>
            </w:r>
          </w:p>
          <w:p w14:paraId="62A7B973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报价得分（设备维修）=Σ10×【评审基准价（最低报价）／最终报价】</w:t>
            </w:r>
          </w:p>
          <w:p w14:paraId="70475DF0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报价得分（设备更换）=Σ10×【评审基准价（最低报价）／最终报价】</w:t>
            </w:r>
          </w:p>
          <w:p w14:paraId="160A8C07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注：报价包括人工费用（单次）20分、多媒体设备主要零部件维修报价满分10分、多媒体设备更换报价满分10分。</w:t>
            </w:r>
          </w:p>
        </w:tc>
      </w:tr>
      <w:tr w14:paraId="2BA3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vAlign w:val="center"/>
          </w:tcPr>
          <w:p w14:paraId="4C20CA84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二、商务、技术部分</w:t>
            </w:r>
          </w:p>
        </w:tc>
      </w:tr>
      <w:tr w14:paraId="7FDA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329" w:type="pct"/>
            <w:vAlign w:val="center"/>
          </w:tcPr>
          <w:p w14:paraId="7DCE2143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787" w:type="pct"/>
            <w:vAlign w:val="center"/>
          </w:tcPr>
          <w:p w14:paraId="4711DF63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公司资质和经验业绩</w:t>
            </w:r>
          </w:p>
          <w:p w14:paraId="535C1607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（客观分）</w:t>
            </w:r>
          </w:p>
        </w:tc>
        <w:tc>
          <w:tcPr>
            <w:tcW w:w="400" w:type="pct"/>
            <w:vAlign w:val="center"/>
          </w:tcPr>
          <w:p w14:paraId="685E3FE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方正兰亭黑简体"/>
                <w:color w:val="auto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3482" w:type="pct"/>
            <w:vAlign w:val="center"/>
          </w:tcPr>
          <w:p w14:paraId="28B4E141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1、提供近3年（合同签订日期自2022年6月1日起至今）维保服务案例。（每提供1个得2分；最高得6分） 注：需提供相关业绩的合同复印件，否则将不予认可。</w:t>
            </w:r>
          </w:p>
          <w:p w14:paraId="4A73D897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2、投标单位上年度的财务情况表（复印件加盖单位公章）（2分）。</w:t>
            </w:r>
          </w:p>
          <w:p w14:paraId="0E828271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3、营业执照（复印件加盖单位公章）（2分）。</w:t>
            </w:r>
          </w:p>
          <w:p w14:paraId="1B168387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4、多媒体中控设备（台电）原厂售后服务承诺书（加盖单位公章）（5分）。</w:t>
            </w:r>
          </w:p>
        </w:tc>
      </w:tr>
      <w:tr w14:paraId="14EA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329" w:type="pct"/>
            <w:vAlign w:val="center"/>
          </w:tcPr>
          <w:p w14:paraId="61376297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787" w:type="pct"/>
            <w:vAlign w:val="center"/>
          </w:tcPr>
          <w:p w14:paraId="1F5ABF70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服务响应程度</w:t>
            </w:r>
          </w:p>
          <w:p w14:paraId="3A1E14C7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（客观分）</w:t>
            </w:r>
          </w:p>
        </w:tc>
        <w:tc>
          <w:tcPr>
            <w:tcW w:w="400" w:type="pct"/>
            <w:vAlign w:val="center"/>
          </w:tcPr>
          <w:p w14:paraId="7F32F9B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方正兰亭黑简体"/>
                <w:color w:val="auto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3482" w:type="pct"/>
            <w:vAlign w:val="center"/>
          </w:tcPr>
          <w:p w14:paraId="3F21D411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针对采购需求：不满足技术条款的，每项扣3分，扣完为止。</w:t>
            </w:r>
          </w:p>
        </w:tc>
      </w:tr>
      <w:tr w14:paraId="4291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329" w:type="pct"/>
            <w:vAlign w:val="center"/>
          </w:tcPr>
          <w:p w14:paraId="5B4B5BF5">
            <w:pPr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7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8CCE0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1F8648C9">
            <w:pPr>
              <w:pStyle w:val="14"/>
              <w:ind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（主观分）</w:t>
            </w:r>
          </w:p>
        </w:tc>
        <w:tc>
          <w:tcPr>
            <w:tcW w:w="400" w:type="pct"/>
            <w:vAlign w:val="center"/>
          </w:tcPr>
          <w:p w14:paraId="496AEA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82" w:type="pct"/>
            <w:vAlign w:val="center"/>
          </w:tcPr>
          <w:p w14:paraId="6B5511EF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优秀（21～30分）：方案整体质量高，方案合理可行性强，响应措施及时高效，项目进度安排紧凑合理。</w:t>
            </w:r>
          </w:p>
          <w:p w14:paraId="2EB8FC53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良好（11～20分）：方案整体质量较好，响应措施尚可，方案个别细节有待进一步完善。</w:t>
            </w:r>
          </w:p>
          <w:p w14:paraId="0D1F31A1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一般（6～10分）：方案整体质量一般，合理性与可行性一般，存在风险但总体可控的。</w:t>
            </w:r>
          </w:p>
          <w:p w14:paraId="4CFDB183">
            <w:pPr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较差（0～5分）：方案整体质量较差，与项目实际契合度低的。</w:t>
            </w:r>
          </w:p>
        </w:tc>
      </w:tr>
    </w:tbl>
    <w:p w14:paraId="0455CF32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br w:type="page"/>
      </w:r>
    </w:p>
    <w:p w14:paraId="4403B3E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</w:rPr>
        <w:t>第四章 格式附件</w:t>
      </w:r>
    </w:p>
    <w:p w14:paraId="780CA8A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附件1：报价单</w:t>
      </w:r>
    </w:p>
    <w:p w14:paraId="3F8247E0">
      <w:pPr>
        <w:spacing w:line="440" w:lineRule="exact"/>
        <w:jc w:val="center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6C39FC98">
      <w:pPr>
        <w:spacing w:line="440" w:lineRule="exact"/>
        <w:jc w:val="lef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</w:t>
      </w:r>
      <w:r>
        <w:rPr>
          <w:rFonts w:hint="eastAsia" w:ascii="黑体" w:hAnsi="华文楷体" w:eastAsia="黑体"/>
          <w:color w:val="auto"/>
          <w:sz w:val="24"/>
          <w:highlight w:val="none"/>
        </w:rPr>
        <w:t>项目编号：HFBX2025064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      </w:t>
      </w:r>
    </w:p>
    <w:p w14:paraId="7195E8B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"mailto:quotation@shmtu.edu.cn" </w:instrText>
      </w:r>
      <w:r>
        <w:rPr>
          <w:color w:val="auto"/>
          <w:highlight w:val="none"/>
        </w:rPr>
        <w:fldChar w:fldCharType="separate"/>
      </w:r>
      <w:r>
        <w:rPr>
          <w:rStyle w:val="19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Style w:val="19"/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3A5ABCE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711CBBE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22056F36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1F95FB61">
      <w:pPr>
        <w:pStyle w:val="2"/>
        <w:ind w:left="0" w:leftChars="0" w:firstLine="0" w:firstLineChars="0"/>
        <w:rPr>
          <w:rFonts w:hint="eastAsia" w:ascii="黑体" w:hAnsi="华文楷体" w:eastAsia="黑体"/>
          <w:b/>
          <w:color w:val="auto"/>
          <w:highlight w:val="none"/>
        </w:rPr>
      </w:pPr>
    </w:p>
    <w:p w14:paraId="7F08B6B8">
      <w:pPr>
        <w:pStyle w:val="2"/>
        <w:ind w:left="0" w:leftChars="0" w:firstLine="0" w:firstLineChars="0"/>
        <w:rPr>
          <w:color w:val="auto"/>
          <w:sz w:val="24"/>
          <w:szCs w:val="32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szCs w:val="32"/>
          <w:highlight w:val="none"/>
        </w:rPr>
        <w:t>表1：</w:t>
      </w:r>
    </w:p>
    <w:tbl>
      <w:tblPr>
        <w:tblStyle w:val="1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5"/>
        <w:gridCol w:w="4095"/>
        <w:gridCol w:w="3237"/>
        <w:gridCol w:w="1945"/>
      </w:tblGrid>
      <w:tr w14:paraId="4C241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exact"/>
        </w:trPr>
        <w:tc>
          <w:tcPr>
            <w:tcW w:w="26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606386"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089" w:type="pct"/>
            <w:tcBorders>
              <w:top w:val="single" w:color="auto" w:sz="12" w:space="0"/>
            </w:tcBorders>
            <w:vAlign w:val="center"/>
          </w:tcPr>
          <w:p w14:paraId="07EDC551"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服务项目</w:t>
            </w:r>
          </w:p>
        </w:tc>
        <w:tc>
          <w:tcPr>
            <w:tcW w:w="1651" w:type="pct"/>
            <w:tcBorders>
              <w:top w:val="single" w:color="auto" w:sz="12" w:space="0"/>
            </w:tcBorders>
            <w:vAlign w:val="center"/>
          </w:tcPr>
          <w:p w14:paraId="11F450C9"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上门服务费</w:t>
            </w:r>
          </w:p>
        </w:tc>
        <w:tc>
          <w:tcPr>
            <w:tcW w:w="992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0AE526"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359E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2" w:hRule="exact"/>
        </w:trPr>
        <w:tc>
          <w:tcPr>
            <w:tcW w:w="268" w:type="pct"/>
            <w:tcBorders>
              <w:left w:val="single" w:color="auto" w:sz="12" w:space="0"/>
            </w:tcBorders>
            <w:vAlign w:val="center"/>
          </w:tcPr>
          <w:p w14:paraId="4100A86A">
            <w:pPr>
              <w:spacing w:before="120"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089" w:type="pct"/>
            <w:vAlign w:val="center"/>
          </w:tcPr>
          <w:p w14:paraId="6F5DDECF">
            <w:pPr>
              <w:tabs>
                <w:tab w:val="left" w:pos="7020"/>
              </w:tabs>
              <w:spacing w:before="120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上海海事大学多媒体教室设备维修服务</w:t>
            </w:r>
          </w:p>
        </w:tc>
        <w:tc>
          <w:tcPr>
            <w:tcW w:w="1651" w:type="pct"/>
            <w:vAlign w:val="center"/>
          </w:tcPr>
          <w:p w14:paraId="01306D33">
            <w:pPr>
              <w:tabs>
                <w:tab w:val="left" w:pos="7020"/>
              </w:tabs>
              <w:spacing w:before="120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 xml:space="preserve"> ____元/单次</w:t>
            </w:r>
          </w:p>
        </w:tc>
        <w:tc>
          <w:tcPr>
            <w:tcW w:w="992" w:type="pct"/>
            <w:tcBorders>
              <w:right w:val="single" w:color="auto" w:sz="12" w:space="0"/>
            </w:tcBorders>
            <w:vAlign w:val="center"/>
          </w:tcPr>
          <w:p w14:paraId="25095EF8">
            <w:pPr>
              <w:tabs>
                <w:tab w:val="left" w:pos="7020"/>
              </w:tabs>
              <w:spacing w:before="120" w:line="360" w:lineRule="auto"/>
              <w:jc w:val="center"/>
              <w:rPr>
                <w:rFonts w:hint="eastAsia" w:ascii="黑体" w:hAnsi="黑体" w:eastAsia="黑体" w:cs="宋体"/>
                <w:b/>
                <w:color w:val="auto"/>
                <w:szCs w:val="21"/>
                <w:highlight w:val="none"/>
              </w:rPr>
            </w:pPr>
          </w:p>
        </w:tc>
      </w:tr>
      <w:tr w14:paraId="2FF91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exact"/>
        </w:trPr>
        <w:tc>
          <w:tcPr>
            <w:tcW w:w="2356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84BDE2">
            <w:pPr>
              <w:spacing w:before="120"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644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7F276E">
            <w:pPr>
              <w:spacing w:before="120" w:line="360" w:lineRule="atLeast"/>
              <w:ind w:left="647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782C2339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75F91019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7525B5F8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BC4799D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31B58D1D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122833F8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3110EF60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5B4C1151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</w:p>
    <w:p w14:paraId="3E8C9B78">
      <w:pPr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br w:type="page"/>
      </w:r>
    </w:p>
    <w:p w14:paraId="2EFF807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表2：多媒体教室 2020年建设批次设备</w:t>
      </w:r>
    </w:p>
    <w:p w14:paraId="758E5A73">
      <w:pPr>
        <w:spacing w:line="440" w:lineRule="exact"/>
        <w:ind w:firstLine="420" w:firstLineChars="200"/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  <w:t xml:space="preserve">应根据以下报价单，对不同设备列出常用配件的价格清单，作为中标单位更换配件的参考。此项内容也将作为评标的重要组成部分。（所列价格清单应包括且不限于：各类设备主板、控制板、电源等硬件） </w:t>
      </w:r>
    </w:p>
    <w:tbl>
      <w:tblPr>
        <w:tblStyle w:val="15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2"/>
        <w:gridCol w:w="1701"/>
        <w:gridCol w:w="1289"/>
        <w:gridCol w:w="1269"/>
        <w:gridCol w:w="1841"/>
      </w:tblGrid>
      <w:tr w14:paraId="1D20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3366BE2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bookmarkStart w:id="7" w:name="_Hlk129789182"/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91AE62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设备名称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1E198E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主要零部件名称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3A8CA9D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维修报价（元/件）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9BF4B03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更换报价（元/件）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B449C85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61AA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7169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84224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多媒体集中管理平台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DB035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软件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14B6E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bottom"/>
          </w:tcPr>
          <w:p w14:paraId="2D49516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5293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6A4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DFE2E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6E2C1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IPBX网络电话平台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B6A02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软件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3E91E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bottom"/>
          </w:tcPr>
          <w:p w14:paraId="7C355E2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B4BD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0D8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246E8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13047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功放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D34F1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功放主板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E4FBF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ECDCE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39E33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8B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F8A9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067FA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桌面集成暗藏式拔线盒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B2A87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跳线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82338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4B6F3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E8B58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8E1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8E5C8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8385A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电动投影幕（商船）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61AE7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电机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03879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E5DC7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0E888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86D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70CE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85971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同轴吸顶音箱（商船）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21F4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喇叭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E9360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545F8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8207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E11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0708D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A8C5F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中控主机（阶梯-东微）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9C8D6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中控主板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CC56A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B660A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BF4C4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7E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72C3C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D7AD4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嵌桌式触摸屏（商船东微）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49F89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液晶面板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D17E7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B0161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E64B6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BD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8A36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22D4B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16口交换机（商船）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47EA1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交换机主板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EB69B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44504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96F3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42E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C3B5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</w:pPr>
            <w:bookmarkStart w:id="8" w:name="_Hlk201304328"/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序号</w:t>
            </w: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1-9合计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4D2FA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2B041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48FD6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bookmarkEnd w:id="7"/>
      <w:bookmarkEnd w:id="8"/>
    </w:tbl>
    <w:p w14:paraId="1D40ED62">
      <w:pPr>
        <w:spacing w:line="480" w:lineRule="auto"/>
        <w:rPr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备注：设备及主要零部件清单不限于以上部分，可补充（补充部分请单列表格，且不计算在价格得分内）。请报含税后的价格。</w:t>
      </w:r>
    </w:p>
    <w:p w14:paraId="36D2843F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             委托代理人（签字）：</w:t>
      </w:r>
    </w:p>
    <w:p w14:paraId="1D8987BE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C17A608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报价日期：      年    月   日</w:t>
      </w:r>
    </w:p>
    <w:p w14:paraId="581D8E3D">
      <w:pPr>
        <w:widowControl/>
        <w:jc w:val="lef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br w:type="page"/>
      </w:r>
    </w:p>
    <w:p w14:paraId="7EDCB763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表3：多媒体教室 2022年建设批次设备</w:t>
      </w:r>
    </w:p>
    <w:p w14:paraId="260A483F">
      <w:pPr>
        <w:spacing w:line="440" w:lineRule="exact"/>
        <w:ind w:firstLine="420" w:firstLineChars="200"/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  <w:t xml:space="preserve">应根据以下报价单，对不同设备列出常用配件的价格清单，作为中标单位更换配件的参考。此项内容也将作为评标的重要组成部分。（所列价格清单应包括且不限于：各类设备主板、控制板、电源等硬件） </w:t>
      </w:r>
    </w:p>
    <w:tbl>
      <w:tblPr>
        <w:tblStyle w:val="15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0"/>
        <w:gridCol w:w="2197"/>
        <w:gridCol w:w="1277"/>
        <w:gridCol w:w="1298"/>
        <w:gridCol w:w="1470"/>
      </w:tblGrid>
      <w:tr w14:paraId="0674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4E9F991D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3CD5A9F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设备名称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4DB60ED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主要零部件名称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9732EA1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维修报价（元/件）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D59128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更换报价（元/件）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29036F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2553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7E4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E9339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IPBX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EA137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9F016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F96E9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B07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87D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A38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405C9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32路（或以上）硬盘录像机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66A27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09485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557AC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1D8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  <w:tr w14:paraId="7623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472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0E59C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电视机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4B2AE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液晶面板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AEC54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F49EB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03D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DD1BCB"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B9F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95D00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大屏数字矩阵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6F276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2882B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0B9A5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0B03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9C8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8E86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5A4AC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电动投影幕（阶梯）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34A5A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电机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86FB2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4E4C3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DD4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D8B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DCC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CC2AA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有线鹅颈话筒（阶梯）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7E27D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话筒杆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C21E7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F4877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D79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D37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4A5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F4D44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无线话筒（阶梯）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FFE08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发射器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D57FC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BF8DB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11E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F76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232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3199F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中控主机（阶梯-东微）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5E7FA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A0E92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97EDE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6C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C3C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90CE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097154">
            <w:pPr>
              <w:widowControl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电动投影幕（普通）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BB37F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电机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2905E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00B34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0DD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309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063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38E57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有线鹅颈话筒（普通）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1EFBB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话筒底座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4C5BE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90374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1A6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B79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D42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D4A45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无线话筒（普通）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AC6D4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发射器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0F968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BF46B8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BF7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60C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585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1AAD2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中控主机（普通-台电）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1320F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中控主板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49BA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95FBF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755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DDA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F48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84DA7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嵌桌式触摸屏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509A3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液晶面板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FC690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5CF88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B77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4D1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56C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4B053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8口交换机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8D4B4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交换机主板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A8CB7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25579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8C2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336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2DF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E9B110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拾音器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A2FBF3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拾音头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8E57EA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5EFE2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EFDEE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700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E69F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CC2F17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彩色摄像头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5EB7C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镜头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79B4E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12639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2F48D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5D6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49A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4BA37F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IP电话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005A6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电话机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7EB41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7DF825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C68F1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C7E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C650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893926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无线投屏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7222D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主板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3E9645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6CE6D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7C07EC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6ED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077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19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D3E3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讲台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557E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拉锁开关，台面面板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408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4D68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682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  <w:tr w14:paraId="31DF4EB5">
        <w:trPr>
          <w:trHeight w:val="45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0193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highlight w:val="none"/>
              </w:rPr>
              <w:t>20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BDFC5B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音箱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3A289EA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喇叭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543AD2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B50624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BC89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7FE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76A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序号</w:t>
            </w:r>
            <w:r>
              <w:rPr>
                <w:rFonts w:hint="eastAsia" w:ascii="微软雅黑" w:hAnsi="微软雅黑" w:eastAsia="微软雅黑"/>
                <w:color w:val="auto"/>
                <w:sz w:val="22"/>
                <w:highlight w:val="none"/>
              </w:rPr>
              <w:t>1-20合计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B043EC1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E84F67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3ADB5D">
            <w:pPr>
              <w:widowControl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A2D6F47">
      <w:pPr>
        <w:adjustRightInd w:val="0"/>
        <w:snapToGrid w:val="0"/>
        <w:spacing w:line="480" w:lineRule="auto"/>
        <w:rPr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备注：设备及主要零部件清单不限于以上部分，可补充（补充部分请单列表格，且不计算在价格得分内）。请报含税后的价格。</w:t>
      </w:r>
    </w:p>
    <w:p w14:paraId="6C8D1E6B">
      <w:pPr>
        <w:adjustRightInd w:val="0"/>
        <w:snapToGrid w:val="0"/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             委托代理人（签字）：</w:t>
      </w:r>
    </w:p>
    <w:p w14:paraId="7FEA5E65">
      <w:pPr>
        <w:adjustRightInd w:val="0"/>
        <w:snapToGrid w:val="0"/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报价日期：      年    月   日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br w:type="page"/>
      </w:r>
    </w:p>
    <w:p w14:paraId="726418DF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表4：智慧教室（含报告厅） 2017-2019年建设批次设备</w:t>
      </w:r>
    </w:p>
    <w:p w14:paraId="20872187">
      <w:pPr>
        <w:spacing w:line="440" w:lineRule="exact"/>
        <w:ind w:firstLine="420" w:firstLineChars="200"/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  <w:t>应根据以下报价单，对不同设备列出常用配件的价格清单，作为中标单位更换配件的参考。此项内容也将作为评标的重要组成部分。（所列价格清单应包括且不限于：各类设备主板、控制板、电源等硬件）</w:t>
      </w:r>
    </w:p>
    <w:tbl>
      <w:tblPr>
        <w:tblStyle w:val="15"/>
        <w:tblW w:w="977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33"/>
        <w:gridCol w:w="1945"/>
        <w:gridCol w:w="1286"/>
        <w:gridCol w:w="1276"/>
        <w:gridCol w:w="1832"/>
      </w:tblGrid>
      <w:tr w14:paraId="402B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99" w:type="dxa"/>
            <w:shd w:val="clear" w:color="000000" w:fill="BFBFBF"/>
            <w:vAlign w:val="center"/>
          </w:tcPr>
          <w:p w14:paraId="01F0A354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733" w:type="dxa"/>
            <w:shd w:val="clear" w:color="000000" w:fill="BFBFBF"/>
            <w:vAlign w:val="center"/>
          </w:tcPr>
          <w:p w14:paraId="2B2DFD0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设备名称</w:t>
            </w:r>
          </w:p>
        </w:tc>
        <w:tc>
          <w:tcPr>
            <w:tcW w:w="1945" w:type="dxa"/>
            <w:shd w:val="clear" w:color="000000" w:fill="BFBFBF"/>
            <w:vAlign w:val="center"/>
          </w:tcPr>
          <w:p w14:paraId="3F9E30C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主要零部件名称</w:t>
            </w:r>
          </w:p>
        </w:tc>
        <w:tc>
          <w:tcPr>
            <w:tcW w:w="1286" w:type="dxa"/>
            <w:shd w:val="clear" w:color="000000" w:fill="BFBFBF"/>
            <w:vAlign w:val="center"/>
          </w:tcPr>
          <w:p w14:paraId="47BD6A0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维修报价（元/件）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14:paraId="2AFF977C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更换报价（元/件）</w:t>
            </w:r>
          </w:p>
        </w:tc>
        <w:tc>
          <w:tcPr>
            <w:tcW w:w="1832" w:type="dxa"/>
            <w:shd w:val="clear" w:color="000000" w:fill="BFBFBF"/>
            <w:vAlign w:val="center"/>
          </w:tcPr>
          <w:p w14:paraId="656A77DF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楷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1F41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103B111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33" w:type="dxa"/>
            <w:vAlign w:val="center"/>
          </w:tcPr>
          <w:p w14:paraId="4B7CE09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D类功放（智慧教室）</w:t>
            </w:r>
          </w:p>
        </w:tc>
        <w:tc>
          <w:tcPr>
            <w:tcW w:w="1945" w:type="dxa"/>
            <w:vAlign w:val="center"/>
          </w:tcPr>
          <w:p w14:paraId="5D13907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功放主板</w:t>
            </w:r>
          </w:p>
        </w:tc>
        <w:tc>
          <w:tcPr>
            <w:tcW w:w="1286" w:type="dxa"/>
            <w:vAlign w:val="center"/>
          </w:tcPr>
          <w:p w14:paraId="22BA43F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68DA54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E49C10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58B4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04261CA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733" w:type="dxa"/>
            <w:vAlign w:val="center"/>
          </w:tcPr>
          <w:p w14:paraId="5AA95D1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同轴吸顶音箱</w:t>
            </w:r>
          </w:p>
        </w:tc>
        <w:tc>
          <w:tcPr>
            <w:tcW w:w="1945" w:type="dxa"/>
            <w:vAlign w:val="center"/>
          </w:tcPr>
          <w:p w14:paraId="3EBA3EE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喇叭</w:t>
            </w:r>
          </w:p>
        </w:tc>
        <w:tc>
          <w:tcPr>
            <w:tcW w:w="1286" w:type="dxa"/>
            <w:vAlign w:val="center"/>
          </w:tcPr>
          <w:p w14:paraId="3E80710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1CEDC8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7DBAD1E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0524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64E4FAD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733" w:type="dxa"/>
            <w:vAlign w:val="center"/>
          </w:tcPr>
          <w:p w14:paraId="3F243E0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数字音频处理器</w:t>
            </w:r>
          </w:p>
        </w:tc>
        <w:tc>
          <w:tcPr>
            <w:tcW w:w="1945" w:type="dxa"/>
            <w:vAlign w:val="center"/>
          </w:tcPr>
          <w:p w14:paraId="6B5DA233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处理器主板</w:t>
            </w:r>
          </w:p>
        </w:tc>
        <w:tc>
          <w:tcPr>
            <w:tcW w:w="1286" w:type="dxa"/>
            <w:vAlign w:val="center"/>
          </w:tcPr>
          <w:p w14:paraId="4484573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C973A2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64AC709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55B8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4E5C815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733" w:type="dxa"/>
            <w:vAlign w:val="center"/>
          </w:tcPr>
          <w:p w14:paraId="596B3C7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无线领夹麦克风</w:t>
            </w:r>
          </w:p>
        </w:tc>
        <w:tc>
          <w:tcPr>
            <w:tcW w:w="1945" w:type="dxa"/>
            <w:vAlign w:val="center"/>
          </w:tcPr>
          <w:p w14:paraId="7BCEEF1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咪头</w:t>
            </w:r>
          </w:p>
        </w:tc>
        <w:tc>
          <w:tcPr>
            <w:tcW w:w="1286" w:type="dxa"/>
            <w:vAlign w:val="center"/>
          </w:tcPr>
          <w:p w14:paraId="5B7AC1A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A6F770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0F90777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6630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4965252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733" w:type="dxa"/>
            <w:vAlign w:val="center"/>
          </w:tcPr>
          <w:p w14:paraId="09F3119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监控系统</w:t>
            </w:r>
          </w:p>
        </w:tc>
        <w:tc>
          <w:tcPr>
            <w:tcW w:w="1945" w:type="dxa"/>
            <w:vAlign w:val="center"/>
          </w:tcPr>
          <w:p w14:paraId="215E3C2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摄像机镜头</w:t>
            </w:r>
          </w:p>
        </w:tc>
        <w:tc>
          <w:tcPr>
            <w:tcW w:w="1286" w:type="dxa"/>
            <w:vAlign w:val="center"/>
          </w:tcPr>
          <w:p w14:paraId="240A3BD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981CF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951B94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1539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61B906B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733" w:type="dxa"/>
            <w:vAlign w:val="center"/>
          </w:tcPr>
          <w:p w14:paraId="553C0B7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智慧教室主机</w:t>
            </w:r>
          </w:p>
        </w:tc>
        <w:tc>
          <w:tcPr>
            <w:tcW w:w="1945" w:type="dxa"/>
            <w:vAlign w:val="center"/>
          </w:tcPr>
          <w:p w14:paraId="0D5E9BE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主机主板</w:t>
            </w:r>
          </w:p>
        </w:tc>
        <w:tc>
          <w:tcPr>
            <w:tcW w:w="1286" w:type="dxa"/>
            <w:vAlign w:val="center"/>
          </w:tcPr>
          <w:p w14:paraId="4E2A5B5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8C983F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0C61DFE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5A70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652F96C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733" w:type="dxa"/>
            <w:vAlign w:val="center"/>
          </w:tcPr>
          <w:p w14:paraId="4EB42A1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嵌桌式触摸屏</w:t>
            </w:r>
          </w:p>
        </w:tc>
        <w:tc>
          <w:tcPr>
            <w:tcW w:w="1945" w:type="dxa"/>
            <w:vAlign w:val="center"/>
          </w:tcPr>
          <w:p w14:paraId="41603A9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液晶版</w:t>
            </w:r>
          </w:p>
        </w:tc>
        <w:tc>
          <w:tcPr>
            <w:tcW w:w="1286" w:type="dxa"/>
            <w:vAlign w:val="center"/>
          </w:tcPr>
          <w:p w14:paraId="6A0BA4D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A56767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07414E8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38C6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7781493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733" w:type="dxa"/>
            <w:vAlign w:val="center"/>
          </w:tcPr>
          <w:p w14:paraId="04185C2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HDMI输入</w:t>
            </w:r>
          </w:p>
        </w:tc>
        <w:tc>
          <w:tcPr>
            <w:tcW w:w="1945" w:type="dxa"/>
            <w:vAlign w:val="center"/>
          </w:tcPr>
          <w:p w14:paraId="21EE8CD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板卡</w:t>
            </w:r>
          </w:p>
        </w:tc>
        <w:tc>
          <w:tcPr>
            <w:tcW w:w="1286" w:type="dxa"/>
            <w:vAlign w:val="center"/>
          </w:tcPr>
          <w:p w14:paraId="62AE1D8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E23020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0F4072B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0262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5C2FB8C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2733" w:type="dxa"/>
            <w:vAlign w:val="center"/>
          </w:tcPr>
          <w:p w14:paraId="3741265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SDI输入卡</w:t>
            </w:r>
          </w:p>
        </w:tc>
        <w:tc>
          <w:tcPr>
            <w:tcW w:w="1945" w:type="dxa"/>
            <w:vAlign w:val="center"/>
          </w:tcPr>
          <w:p w14:paraId="1BF31E7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板卡</w:t>
            </w:r>
          </w:p>
        </w:tc>
        <w:tc>
          <w:tcPr>
            <w:tcW w:w="1286" w:type="dxa"/>
            <w:vAlign w:val="center"/>
          </w:tcPr>
          <w:p w14:paraId="528CDA0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B8D77C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36DA2A3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5D66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1A17593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2733" w:type="dxa"/>
            <w:vAlign w:val="center"/>
          </w:tcPr>
          <w:p w14:paraId="73254D3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分布式输入卡</w:t>
            </w:r>
          </w:p>
        </w:tc>
        <w:tc>
          <w:tcPr>
            <w:tcW w:w="1945" w:type="dxa"/>
            <w:vAlign w:val="center"/>
          </w:tcPr>
          <w:p w14:paraId="61C28400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板卡</w:t>
            </w:r>
          </w:p>
        </w:tc>
        <w:tc>
          <w:tcPr>
            <w:tcW w:w="1286" w:type="dxa"/>
            <w:vAlign w:val="center"/>
          </w:tcPr>
          <w:p w14:paraId="3015E2E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23E3BD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76FB3EB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784F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4D8CF0C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2733" w:type="dxa"/>
            <w:vAlign w:val="center"/>
          </w:tcPr>
          <w:p w14:paraId="46A04B8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电子班牌</w:t>
            </w:r>
          </w:p>
        </w:tc>
        <w:tc>
          <w:tcPr>
            <w:tcW w:w="1945" w:type="dxa"/>
            <w:vAlign w:val="center"/>
          </w:tcPr>
          <w:p w14:paraId="7292DA6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液晶面板</w:t>
            </w:r>
          </w:p>
        </w:tc>
        <w:tc>
          <w:tcPr>
            <w:tcW w:w="1286" w:type="dxa"/>
            <w:vAlign w:val="center"/>
          </w:tcPr>
          <w:p w14:paraId="3E3C80D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71EB12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CD82A4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22B8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2D00365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2733" w:type="dxa"/>
            <w:vAlign w:val="center"/>
          </w:tcPr>
          <w:p w14:paraId="47D4AC9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分布式输出卡</w:t>
            </w:r>
          </w:p>
        </w:tc>
        <w:tc>
          <w:tcPr>
            <w:tcW w:w="1945" w:type="dxa"/>
            <w:vAlign w:val="center"/>
          </w:tcPr>
          <w:p w14:paraId="646996E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板卡</w:t>
            </w:r>
          </w:p>
        </w:tc>
        <w:tc>
          <w:tcPr>
            <w:tcW w:w="1286" w:type="dxa"/>
            <w:vAlign w:val="center"/>
          </w:tcPr>
          <w:p w14:paraId="565B570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AD11E63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2454E67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4404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6926569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2733" w:type="dxa"/>
            <w:vAlign w:val="center"/>
          </w:tcPr>
          <w:p w14:paraId="4AE191F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HDMI输出</w:t>
            </w:r>
          </w:p>
        </w:tc>
        <w:tc>
          <w:tcPr>
            <w:tcW w:w="1945" w:type="dxa"/>
            <w:vAlign w:val="center"/>
          </w:tcPr>
          <w:p w14:paraId="45780EC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主板</w:t>
            </w:r>
          </w:p>
        </w:tc>
        <w:tc>
          <w:tcPr>
            <w:tcW w:w="1286" w:type="dxa"/>
            <w:vAlign w:val="center"/>
          </w:tcPr>
          <w:p w14:paraId="37DA9E5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B24479A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57C2F47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1157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5B65637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2733" w:type="dxa"/>
            <w:vAlign w:val="center"/>
          </w:tcPr>
          <w:p w14:paraId="5843589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导轨强电控制器</w:t>
            </w:r>
          </w:p>
        </w:tc>
        <w:tc>
          <w:tcPr>
            <w:tcW w:w="1945" w:type="dxa"/>
            <w:vAlign w:val="center"/>
          </w:tcPr>
          <w:p w14:paraId="60F03FA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控制装置</w:t>
            </w:r>
          </w:p>
        </w:tc>
        <w:tc>
          <w:tcPr>
            <w:tcW w:w="1286" w:type="dxa"/>
            <w:vAlign w:val="center"/>
          </w:tcPr>
          <w:p w14:paraId="44FBCF5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05F054E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0D7D8E4E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  <w:tr w14:paraId="0B35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01FBCED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2733" w:type="dxa"/>
            <w:vAlign w:val="center"/>
          </w:tcPr>
          <w:p w14:paraId="1B787B6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互动交互式激光投射系统</w:t>
            </w:r>
          </w:p>
        </w:tc>
        <w:tc>
          <w:tcPr>
            <w:tcW w:w="1945" w:type="dxa"/>
            <w:vAlign w:val="center"/>
          </w:tcPr>
          <w:p w14:paraId="7B5D5423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激光投影镜头</w:t>
            </w:r>
          </w:p>
        </w:tc>
        <w:tc>
          <w:tcPr>
            <w:tcW w:w="1286" w:type="dxa"/>
            <w:vAlign w:val="center"/>
          </w:tcPr>
          <w:p w14:paraId="01394ED5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4601268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3C4DB273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  <w:tr w14:paraId="12AC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03F706B2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733" w:type="dxa"/>
            <w:vAlign w:val="center"/>
          </w:tcPr>
          <w:p w14:paraId="0EC5291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7英寸无线触摸屏</w:t>
            </w:r>
          </w:p>
        </w:tc>
        <w:tc>
          <w:tcPr>
            <w:tcW w:w="1945" w:type="dxa"/>
            <w:vAlign w:val="center"/>
          </w:tcPr>
          <w:p w14:paraId="20D5735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触摸屏幕</w:t>
            </w:r>
          </w:p>
        </w:tc>
        <w:tc>
          <w:tcPr>
            <w:tcW w:w="1286" w:type="dxa"/>
            <w:vAlign w:val="center"/>
          </w:tcPr>
          <w:p w14:paraId="4DE58F2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587F59B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01E4EF6F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  <w:tr w14:paraId="4446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9" w:type="dxa"/>
            <w:vAlign w:val="center"/>
          </w:tcPr>
          <w:p w14:paraId="6412AB6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2733" w:type="dxa"/>
            <w:vAlign w:val="center"/>
          </w:tcPr>
          <w:p w14:paraId="29C056DC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互动显示系统含移动支架</w:t>
            </w:r>
          </w:p>
        </w:tc>
        <w:tc>
          <w:tcPr>
            <w:tcW w:w="1945" w:type="dxa"/>
            <w:vAlign w:val="center"/>
          </w:tcPr>
          <w:p w14:paraId="371FDD73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显示触摸屏幕</w:t>
            </w:r>
          </w:p>
        </w:tc>
        <w:tc>
          <w:tcPr>
            <w:tcW w:w="1286" w:type="dxa"/>
            <w:vAlign w:val="center"/>
          </w:tcPr>
          <w:p w14:paraId="10912A04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EC643F1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6E5F215E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　</w:t>
            </w:r>
          </w:p>
        </w:tc>
      </w:tr>
      <w:tr w14:paraId="5434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77" w:type="dxa"/>
            <w:gridSpan w:val="3"/>
            <w:vAlign w:val="center"/>
          </w:tcPr>
          <w:p w14:paraId="0334ED69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  <w:t>序号1-17合计</w:t>
            </w:r>
          </w:p>
        </w:tc>
        <w:tc>
          <w:tcPr>
            <w:tcW w:w="1286" w:type="dxa"/>
            <w:vAlign w:val="center"/>
          </w:tcPr>
          <w:p w14:paraId="20847896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512E91D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  <w:tc>
          <w:tcPr>
            <w:tcW w:w="1832" w:type="dxa"/>
            <w:vAlign w:val="center"/>
          </w:tcPr>
          <w:p w14:paraId="1185C71E">
            <w:pPr>
              <w:widowControl/>
              <w:jc w:val="center"/>
              <w:rPr>
                <w:rFonts w:hint="eastAsia" w:ascii="微软雅黑" w:hAnsi="微软雅黑" w:eastAsia="微软雅黑"/>
                <w:color w:val="auto"/>
                <w:szCs w:val="21"/>
                <w:highlight w:val="none"/>
              </w:rPr>
            </w:pPr>
          </w:p>
        </w:tc>
      </w:tr>
    </w:tbl>
    <w:p w14:paraId="210C72E6">
      <w:pPr>
        <w:spacing w:line="480" w:lineRule="auto"/>
        <w:rPr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备注：设备及主要零部件清单不限于以上部分，可补充（补充部分请单列表格，且不计算在价格得分内）。请报含税后的价格。</w:t>
      </w:r>
    </w:p>
    <w:p w14:paraId="3BC1A9AA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             委托代理人（签字）：</w:t>
      </w:r>
    </w:p>
    <w:p w14:paraId="0A96DEC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221DA6AE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报价日期：      年    月   日</w:t>
      </w:r>
    </w:p>
    <w:p w14:paraId="2F7B3D06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3C75FE1D">
      <w:pPr>
        <w:pStyle w:val="2"/>
        <w:ind w:left="0" w:leftChars="0" w:firstLine="0" w:firstLineChars="0"/>
        <w:rPr>
          <w:color w:val="auto"/>
          <w:highlight w:val="none"/>
        </w:rPr>
      </w:pPr>
    </w:p>
    <w:p w14:paraId="09ED3200">
      <w:pPr>
        <w:spacing w:after="157" w:afterLines="50"/>
        <w:jc w:val="center"/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报价承诺函</w:t>
      </w:r>
    </w:p>
    <w:p w14:paraId="6E7D2C27">
      <w:pPr>
        <w:spacing w:after="157" w:afterLines="5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上海海事大学</w:t>
      </w:r>
    </w:p>
    <w:p w14:paraId="112EBD6D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比选采购</w:t>
      </w:r>
      <w:r>
        <w:rPr>
          <w:rFonts w:ascii="仿宋" w:hAnsi="仿宋" w:eastAsia="仿宋" w:cs="宋体"/>
          <w:color w:val="auto"/>
          <w:sz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highlight w:val="none"/>
          <w:lang w:val="zh-CN"/>
        </w:rPr>
        <w:t>承诺：</w:t>
      </w:r>
    </w:p>
    <w:p w14:paraId="0BFE1B86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一、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具备独立法人资格，能够独立承担民事责任。</w:t>
      </w:r>
    </w:p>
    <w:p w14:paraId="0D8B8D86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二、我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财务状况良好，具备履行合同所需资金实力。</w:t>
      </w:r>
    </w:p>
    <w:p w14:paraId="765AF868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三、我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拥有履行项目所需的专业技术人员和先进的生产设备。</w:t>
      </w:r>
    </w:p>
    <w:p w14:paraId="1BDE3FBE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四、我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依法纳税，并按时缴纳社会保险费。</w:t>
      </w:r>
    </w:p>
    <w:p w14:paraId="6548B26B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五、我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在最近三年内无任何违法违规行为，信誉良好。</w:t>
      </w:r>
    </w:p>
    <w:p w14:paraId="6FB8C14F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六、我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完全符合政府采购法及其他相关法律法规的规定。</w:t>
      </w:r>
    </w:p>
    <w:p w14:paraId="1972EB6F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七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、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公司提供的相关文件均真实、有效。</w:t>
      </w:r>
    </w:p>
    <w:p w14:paraId="4790BD91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八、我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公司未挂靠、借用资质进行投标等违法违规行为。</w:t>
      </w:r>
    </w:p>
    <w:p w14:paraId="7C12DBEE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九、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次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，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不存在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损害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校方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报价单位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利益的行为。</w:t>
      </w:r>
    </w:p>
    <w:p w14:paraId="4C10069F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十、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我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贵校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highlight w:val="none"/>
        </w:rPr>
        <w:t>贵校</w:t>
      </w:r>
      <w:r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  <w:t>离职或退休3年以内的人员。</w:t>
      </w:r>
    </w:p>
    <w:p w14:paraId="306C8ABA">
      <w:pPr>
        <w:spacing w:after="157" w:afterLines="50"/>
        <w:ind w:firstLine="480" w:firstLineChars="20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highlight w:val="none"/>
        </w:rPr>
        <w:t>我公司保证上述声明真实无误，如有不实，愿承担相应法律责任。</w:t>
      </w:r>
    </w:p>
    <w:p w14:paraId="78A2FE99">
      <w:pPr>
        <w:spacing w:after="157" w:afterLines="50"/>
        <w:rPr>
          <w:rFonts w:hint="eastAsia" w:ascii="仿宋" w:hAnsi="仿宋" w:eastAsia="仿宋" w:cs="宋体"/>
          <w:color w:val="auto"/>
          <w:sz w:val="24"/>
          <w:highlight w:val="none"/>
          <w:lang w:val="zh-CN"/>
        </w:rPr>
      </w:pPr>
    </w:p>
    <w:p w14:paraId="471FB664">
      <w:pPr>
        <w:spacing w:after="157" w:afterLines="50"/>
        <w:rPr>
          <w:rFonts w:hint="eastAsia"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                   委托代理人（签字）：</w:t>
      </w:r>
    </w:p>
    <w:p w14:paraId="33831C83">
      <w:pPr>
        <w:pStyle w:val="6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1100FF90">
      <w:pPr>
        <w:widowControl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br w:type="page"/>
      </w:r>
    </w:p>
    <w:p w14:paraId="2C633143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附件2：其他材料</w:t>
      </w:r>
    </w:p>
    <w:p w14:paraId="7546E407">
      <w:pPr>
        <w:pStyle w:val="3"/>
        <w:ind w:left="0" w:leftChars="0"/>
        <w:rPr>
          <w:color w:val="auto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包括但不限于：</w:t>
      </w:r>
    </w:p>
    <w:p w14:paraId="1560305E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1、公司营业执照（扫描件）；</w:t>
      </w:r>
    </w:p>
    <w:p w14:paraId="006D8EA1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2、报价单（盖章扫描件）；</w:t>
      </w:r>
    </w:p>
    <w:p w14:paraId="70BBF7DB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3、维保相关资质文件（扫描件）；</w:t>
      </w:r>
    </w:p>
    <w:p w14:paraId="0CE5AD4B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4、维修服务实施方案（含维修人员简介、维修流程、维修记录等）（盖章扫描件）；</w:t>
      </w:r>
    </w:p>
    <w:p w14:paraId="454B879B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5、类似的维保服务案例（合同扫描件）；</w:t>
      </w:r>
    </w:p>
    <w:p w14:paraId="76974E51">
      <w:pPr>
        <w:pStyle w:val="3"/>
        <w:ind w:left="0" w:left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6、★提供多媒体中控设备原厂售后服务承诺书（必须提供，如未提供按废标处理）；</w:t>
      </w:r>
    </w:p>
    <w:p w14:paraId="7F9634F8">
      <w:pPr>
        <w:rPr>
          <w:color w:val="auto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7、其他所必需的相关材料。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080" w:bottom="1440" w:left="1080" w:header="851" w:footer="992" w:gutter="0"/>
      <w:pgNumType w:fmt="decimal" w:start="1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3EA900-DE50-4CDD-9A69-1A00DCB92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6C2C8F-D0FA-4056-B2C3-BC96FC53F6CD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92A9B4-B924-44AF-B9E9-0C691DA20C9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CF5ED85-300D-4858-B741-FE16076FB81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4A36619-D099-430A-8A27-93E1761217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8228065-3283-48E6-9A64-C5A968C29A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CF97251-3F73-4206-BD9F-A82F67194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723A">
    <w:pPr>
      <w:pStyle w:val="8"/>
      <w:jc w:val="center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DEC789D">
                <w:pPr>
                  <w:pStyle w:val="8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2E950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FC4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B538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CA9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Q0YTY0ODRhMmFjYjIwYmI0ZDA5NjA3MTQyZDk1ZWYifQ=="/>
  </w:docVars>
  <w:rsids>
    <w:rsidRoot w:val="00350F30"/>
    <w:rsid w:val="00016994"/>
    <w:rsid w:val="00041834"/>
    <w:rsid w:val="00071CDF"/>
    <w:rsid w:val="000F2F0D"/>
    <w:rsid w:val="001D0F04"/>
    <w:rsid w:val="002D0DC9"/>
    <w:rsid w:val="00350F30"/>
    <w:rsid w:val="004622D1"/>
    <w:rsid w:val="006E2315"/>
    <w:rsid w:val="00726671"/>
    <w:rsid w:val="00776405"/>
    <w:rsid w:val="00792580"/>
    <w:rsid w:val="007D2A95"/>
    <w:rsid w:val="00A61F73"/>
    <w:rsid w:val="00B71A4A"/>
    <w:rsid w:val="00CC0221"/>
    <w:rsid w:val="00EF0BCC"/>
    <w:rsid w:val="00F47744"/>
    <w:rsid w:val="02675436"/>
    <w:rsid w:val="029C08D4"/>
    <w:rsid w:val="13353790"/>
    <w:rsid w:val="157E6317"/>
    <w:rsid w:val="1CE45836"/>
    <w:rsid w:val="24050543"/>
    <w:rsid w:val="269F2B16"/>
    <w:rsid w:val="2FB07FD7"/>
    <w:rsid w:val="33AD3BBC"/>
    <w:rsid w:val="33B3033B"/>
    <w:rsid w:val="35906085"/>
    <w:rsid w:val="3A9852E0"/>
    <w:rsid w:val="3D6469F5"/>
    <w:rsid w:val="3D7462FE"/>
    <w:rsid w:val="3FCC680A"/>
    <w:rsid w:val="3FDF48A5"/>
    <w:rsid w:val="40134FEB"/>
    <w:rsid w:val="41007DAA"/>
    <w:rsid w:val="41C56DDC"/>
    <w:rsid w:val="45652C74"/>
    <w:rsid w:val="480A63EB"/>
    <w:rsid w:val="487158D1"/>
    <w:rsid w:val="4C8B1573"/>
    <w:rsid w:val="4CCA439B"/>
    <w:rsid w:val="4EFD134C"/>
    <w:rsid w:val="543D6D6A"/>
    <w:rsid w:val="58C4549A"/>
    <w:rsid w:val="5AEA704B"/>
    <w:rsid w:val="5DF2219B"/>
    <w:rsid w:val="5E8720EC"/>
    <w:rsid w:val="5EE9209B"/>
    <w:rsid w:val="66E533C4"/>
    <w:rsid w:val="681A51E0"/>
    <w:rsid w:val="695E3370"/>
    <w:rsid w:val="699D5EE7"/>
    <w:rsid w:val="6B7A31F8"/>
    <w:rsid w:val="6F4A085A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280"/>
      </w:tabs>
      <w:spacing w:after="120"/>
      <w:ind w:left="200" w:firstLine="200" w:firstLineChars="20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"/>
    <w:basedOn w:val="5"/>
    <w:qFormat/>
    <w:uiPriority w:val="0"/>
    <w:pPr>
      <w:widowControl/>
      <w:ind w:firstLine="420" w:firstLineChars="100"/>
      <w:jc w:val="left"/>
    </w:pPr>
    <w:rPr>
      <w:rFonts w:ascii="Times New Roman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7"/>
    <w:qFormat/>
    <w:uiPriority w:val="0"/>
    <w:rPr>
      <w:rFonts w:hint="default" w:ascii="Calibri" w:hAnsi="Calibri" w:cs="Calibri"/>
      <w:b/>
      <w:bCs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页脚 字符"/>
    <w:basedOn w:val="17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3435</Words>
  <Characters>3646</Characters>
  <Lines>491</Lines>
  <Paragraphs>590</Paragraphs>
  <TotalTime>37</TotalTime>
  <ScaleCrop>false</ScaleCrop>
  <LinksUpToDate>false</LinksUpToDate>
  <CharactersWithSpaces>3649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2025-06-24T01:09:37Z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