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6A561">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05F143FD">
      <w:pPr>
        <w:jc w:val="center"/>
        <w:rPr>
          <w:rFonts w:hint="eastAsia" w:ascii="方正兰亭黑简体" w:hAnsi="方正兰亭黑简体" w:eastAsia="方正兰亭黑简体" w:cs="方正兰亭黑简体"/>
          <w:b/>
          <w:bCs/>
          <w:color w:val="auto"/>
          <w:sz w:val="28"/>
          <w:szCs w:val="36"/>
          <w:highlight w:val="none"/>
          <w:lang w:val="en-US" w:eastAsia="zh-CN"/>
        </w:rPr>
      </w:pPr>
      <w:bookmarkStart w:id="4" w:name="_GoBack"/>
      <w:bookmarkEnd w:id="4"/>
    </w:p>
    <w:p w14:paraId="7C29A4C3">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5D3CC17">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船舶混合动力能量管理实验平台</w:t>
      </w:r>
    </w:p>
    <w:p w14:paraId="3A6F3C59">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比选文件</w:t>
      </w:r>
    </w:p>
    <w:p w14:paraId="746E0DD5">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7F5B1C2D">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0B84232F">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项目编号：</w:t>
      </w:r>
      <w:r>
        <w:rPr>
          <w:rFonts w:hint="eastAsia" w:ascii="方正兰亭黑简体" w:hAnsi="方正兰亭黑简体" w:eastAsia="方正兰亭黑简体" w:cs="方正兰亭黑简体"/>
          <w:color w:val="auto"/>
          <w:sz w:val="28"/>
          <w:szCs w:val="28"/>
          <w:highlight w:val="none"/>
          <w:lang w:val="en-US" w:eastAsia="zh-CN"/>
        </w:rPr>
        <w:t>HFBX2026112</w:t>
      </w:r>
    </w:p>
    <w:p w14:paraId="43E1A51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564BAA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CBECD87">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77AEA8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AFBFE6C">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8A2CE08">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9F671C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0E2559B5">
      <w:pPr>
        <w:jc w:val="cente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采购人：上海海事大学</w:t>
      </w:r>
    </w:p>
    <w:p w14:paraId="64BB9721">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二〇二六年</w:t>
      </w:r>
      <w:r>
        <w:rPr>
          <w:rFonts w:hint="eastAsia" w:ascii="方正兰亭黑简体" w:hAnsi="方正兰亭黑简体" w:eastAsia="方正兰亭黑简体" w:cs="方正兰亭黑简体"/>
          <w:b/>
          <w:bCs/>
          <w:color w:val="auto"/>
          <w:sz w:val="24"/>
          <w:szCs w:val="32"/>
          <w:highlight w:val="none"/>
          <w:lang w:val="en-US" w:eastAsia="zh-CN"/>
        </w:rPr>
        <w:t>十</w:t>
      </w:r>
      <w:r>
        <w:rPr>
          <w:rFonts w:hint="eastAsia" w:ascii="方正兰亭黑简体" w:hAnsi="方正兰亭黑简体" w:eastAsia="方正兰亭黑简体" w:cs="方正兰亭黑简体"/>
          <w:b/>
          <w:bCs/>
          <w:color w:val="auto"/>
          <w:sz w:val="24"/>
          <w:szCs w:val="32"/>
          <w:highlight w:val="none"/>
          <w:lang w:val="en-US" w:eastAsia="zh-CN"/>
        </w:rPr>
        <w:t>月</w:t>
      </w:r>
    </w:p>
    <w:p w14:paraId="4258C5C0">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5637B82A">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第一章 比选公告</w:t>
      </w:r>
    </w:p>
    <w:p w14:paraId="54E46ED1">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的产品及更优质的服务，欢迎各供应单位本着务实友好的工作态度，积极参与，并做好成本核算，进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5694D68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6ED9240D">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val="en-US" w:eastAsia="zh-CN"/>
        </w:rPr>
        <w:t>HFBX2026112</w:t>
      </w:r>
      <w:r>
        <w:rPr>
          <w:rFonts w:hint="eastAsia" w:ascii="方正兰亭黑简体" w:hAnsi="方正兰亭黑简体" w:eastAsia="方正兰亭黑简体" w:cs="方正兰亭黑简体"/>
          <w:color w:val="auto"/>
          <w:sz w:val="22"/>
          <w:szCs w:val="28"/>
          <w:highlight w:val="none"/>
          <w:lang w:val="en-US" w:eastAsia="zh-CN"/>
        </w:rPr>
        <w:t>；</w:t>
      </w:r>
    </w:p>
    <w:p w14:paraId="40680CD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val="en-US" w:eastAsia="zh-CN"/>
        </w:rPr>
        <w:t>船舶混合动力能量管理实验平台</w:t>
      </w:r>
      <w:r>
        <w:rPr>
          <w:rFonts w:hint="eastAsia" w:ascii="方正兰亭黑简体" w:hAnsi="方正兰亭黑简体" w:eastAsia="方正兰亭黑简体" w:cs="方正兰亭黑简体"/>
          <w:color w:val="auto"/>
          <w:sz w:val="22"/>
          <w:szCs w:val="28"/>
          <w:highlight w:val="none"/>
          <w:lang w:val="en-US" w:eastAsia="zh-CN"/>
        </w:rPr>
        <w:t>；</w:t>
      </w:r>
    </w:p>
    <w:p w14:paraId="49D3EF92">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lang w:val="en-US" w:eastAsia="zh-CN"/>
        </w:rPr>
        <w:t>学校</w:t>
      </w:r>
      <w:r>
        <w:rPr>
          <w:rFonts w:hint="eastAsia" w:ascii="方正兰亭黑简体" w:hAnsi="方正兰亭黑简体" w:eastAsia="方正兰亭黑简体" w:cs="方正兰亭黑简体"/>
          <w:color w:val="auto"/>
          <w:sz w:val="22"/>
          <w:szCs w:val="28"/>
          <w:highlight w:val="none"/>
        </w:rPr>
        <w:t>比选</w:t>
      </w:r>
      <w:r>
        <w:rPr>
          <w:rFonts w:hint="eastAsia" w:ascii="方正兰亭黑简体" w:hAnsi="方正兰亭黑简体" w:eastAsia="方正兰亭黑简体" w:cs="方正兰亭黑简体"/>
          <w:color w:val="auto"/>
          <w:sz w:val="22"/>
          <w:szCs w:val="28"/>
          <w:highlight w:val="none"/>
          <w:lang w:eastAsia="zh-CN"/>
        </w:rPr>
        <w:t>；</w:t>
      </w:r>
    </w:p>
    <w:p w14:paraId="11D14FF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w:t>
      </w:r>
      <w:r>
        <w:rPr>
          <w:rFonts w:hint="eastAsia" w:ascii="方正兰亭黑简体" w:hAnsi="方正兰亭黑简体" w:eastAsia="方正兰亭黑简体" w:cs="方正兰亭黑简体"/>
          <w:color w:val="auto"/>
          <w:sz w:val="22"/>
          <w:szCs w:val="28"/>
          <w:highlight w:val="none"/>
          <w:lang w:val="en-US" w:eastAsia="zh-CN"/>
        </w:rPr>
        <w:t>28</w:t>
      </w:r>
      <w:r>
        <w:rPr>
          <w:rFonts w:hint="eastAsia" w:ascii="方正兰亭黑简体" w:hAnsi="方正兰亭黑简体" w:eastAsia="方正兰亭黑简体" w:cs="方正兰亭黑简体"/>
          <w:color w:val="auto"/>
          <w:sz w:val="22"/>
          <w:szCs w:val="28"/>
          <w:highlight w:val="none"/>
        </w:rPr>
        <w:t>万元</w:t>
      </w:r>
      <w:r>
        <w:rPr>
          <w:rFonts w:hint="eastAsia" w:ascii="方正兰亭黑简体" w:hAnsi="方正兰亭黑简体" w:eastAsia="方正兰亭黑简体" w:cs="方正兰亭黑简体"/>
          <w:color w:val="auto"/>
          <w:sz w:val="22"/>
          <w:szCs w:val="28"/>
          <w:highlight w:val="none"/>
          <w:lang w:eastAsia="zh-CN"/>
        </w:rPr>
        <w:t>；</w:t>
      </w:r>
    </w:p>
    <w:p w14:paraId="192657F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rPr>
        <w:t>本项目拟</w:t>
      </w:r>
      <w:r>
        <w:rPr>
          <w:rFonts w:hint="eastAsia" w:ascii="方正兰亭黑简体" w:hAnsi="方正兰亭黑简体" w:eastAsia="方正兰亭黑简体" w:cs="方正兰亭黑简体"/>
          <w:color w:val="auto"/>
          <w:sz w:val="22"/>
          <w:szCs w:val="28"/>
          <w:highlight w:val="none"/>
          <w:lang w:val="en-US" w:eastAsia="zh-CN"/>
        </w:rPr>
        <w:t>购置一套船舶混合动力能量管理实验平台</w:t>
      </w:r>
      <w:r>
        <w:rPr>
          <w:rFonts w:hint="eastAsia" w:ascii="方正兰亭黑简体" w:hAnsi="方正兰亭黑简体" w:eastAsia="方正兰亭黑简体" w:cs="方正兰亭黑简体"/>
          <w:color w:val="auto"/>
          <w:sz w:val="22"/>
          <w:szCs w:val="28"/>
          <w:highlight w:val="none"/>
        </w:rPr>
        <w:t>。</w:t>
      </w:r>
      <w:r>
        <w:rPr>
          <w:rFonts w:hint="eastAsia" w:ascii="方正兰亭黑简体" w:hAnsi="方正兰亭黑简体" w:eastAsia="方正兰亭黑简体" w:cs="方正兰亭黑简体"/>
          <w:color w:val="auto"/>
          <w:sz w:val="22"/>
          <w:szCs w:val="28"/>
          <w:highlight w:val="none"/>
          <w:lang w:val="en-US" w:eastAsia="zh-CN"/>
        </w:rPr>
        <w:t>（具体</w:t>
      </w:r>
      <w:r>
        <w:rPr>
          <w:rFonts w:hint="eastAsia" w:ascii="方正兰亭黑简体" w:hAnsi="方正兰亭黑简体" w:eastAsia="方正兰亭黑简体" w:cs="方正兰亭黑简体"/>
          <w:color w:val="auto"/>
          <w:sz w:val="22"/>
          <w:szCs w:val="28"/>
          <w:highlight w:val="none"/>
        </w:rPr>
        <w:t>要求详见比选文件—第二</w:t>
      </w:r>
      <w:r>
        <w:rPr>
          <w:rFonts w:hint="eastAsia" w:ascii="方正兰亭黑简体" w:hAnsi="方正兰亭黑简体" w:eastAsia="方正兰亭黑简体" w:cs="方正兰亭黑简体"/>
          <w:color w:val="auto"/>
          <w:sz w:val="22"/>
          <w:szCs w:val="28"/>
          <w:highlight w:val="none"/>
          <w:lang w:val="en-US" w:eastAsia="zh-CN"/>
        </w:rPr>
        <w:t>章节</w:t>
      </w:r>
      <w:r>
        <w:rPr>
          <w:rFonts w:hint="eastAsia" w:ascii="方正兰亭黑简体" w:hAnsi="方正兰亭黑简体" w:eastAsia="方正兰亭黑简体" w:cs="方正兰亭黑简体"/>
          <w:color w:val="auto"/>
          <w:sz w:val="22"/>
          <w:szCs w:val="28"/>
          <w:highlight w:val="none"/>
        </w:rPr>
        <w:t>采购需求）</w:t>
      </w:r>
    </w:p>
    <w:p w14:paraId="07A4D9A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交付地址：</w:t>
      </w:r>
      <w:r>
        <w:rPr>
          <w:rFonts w:hint="eastAsia" w:ascii="方正兰亭黑简体" w:hAnsi="方正兰亭黑简体" w:eastAsia="方正兰亭黑简体" w:cs="方正兰亭黑简体"/>
          <w:color w:val="auto"/>
          <w:sz w:val="22"/>
          <w:szCs w:val="28"/>
          <w:highlight w:val="none"/>
          <w:lang w:val="en-US" w:eastAsia="zh-CN"/>
        </w:rPr>
        <w:t>上海海事大学临港校区。</w:t>
      </w:r>
    </w:p>
    <w:p w14:paraId="78083A22">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交付时间：</w:t>
      </w:r>
      <w:r>
        <w:rPr>
          <w:rFonts w:hint="eastAsia" w:ascii="方正兰亭黑简体" w:hAnsi="方正兰亭黑简体" w:eastAsia="方正兰亭黑简体" w:cs="方正兰亭黑简体"/>
          <w:color w:val="auto"/>
          <w:sz w:val="22"/>
          <w:szCs w:val="28"/>
          <w:highlight w:val="none"/>
          <w:lang w:val="zh-CN" w:eastAsia="zh-CN"/>
        </w:rPr>
        <w:t>合同生效后90日历天内完成本项目供货、安装、部署、调试、测试和验收资料提交，达到验收条件。</w:t>
      </w:r>
    </w:p>
    <w:p w14:paraId="7C9B2074">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质保期限：</w:t>
      </w:r>
      <w:r>
        <w:rPr>
          <w:rFonts w:hint="eastAsia" w:ascii="方正兰亭黑简体" w:hAnsi="方正兰亭黑简体" w:eastAsia="方正兰亭黑简体" w:cs="方正兰亭黑简体"/>
          <w:color w:val="auto"/>
          <w:sz w:val="22"/>
          <w:szCs w:val="28"/>
          <w:highlight w:val="none"/>
          <w:lang w:val="zh-CN" w:eastAsia="zh-CN"/>
        </w:rPr>
        <w:t>硬件自验收合格之日起免费质保不少于24个月；软件提供不少于24个月缺陷修复与维护服务。</w:t>
      </w:r>
    </w:p>
    <w:p w14:paraId="27BDE804">
      <w:pPr>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付款方式：</w:t>
      </w:r>
      <w:r>
        <w:rPr>
          <w:rFonts w:hint="eastAsia" w:ascii="方正兰亭黑简体" w:hAnsi="方正兰亭黑简体" w:eastAsia="方正兰亭黑简体" w:cs="方正兰亭黑简体"/>
          <w:color w:val="auto"/>
          <w:sz w:val="22"/>
          <w:szCs w:val="28"/>
          <w:highlight w:val="none"/>
          <w:lang w:val="en-US" w:eastAsia="zh-CN"/>
        </w:rPr>
        <w:t>货到</w:t>
      </w:r>
      <w:r>
        <w:rPr>
          <w:rFonts w:hint="eastAsia" w:ascii="方正兰亭黑简体" w:hAnsi="方正兰亭黑简体" w:eastAsia="方正兰亭黑简体" w:cs="方正兰亭黑简体"/>
          <w:color w:val="auto"/>
          <w:sz w:val="22"/>
          <w:szCs w:val="28"/>
          <w:highlight w:val="none"/>
        </w:rPr>
        <w:t>经甲方验收合格后</w:t>
      </w:r>
      <w:r>
        <w:rPr>
          <w:rFonts w:hint="eastAsia" w:ascii="方正兰亭黑简体" w:hAnsi="方正兰亭黑简体" w:eastAsia="方正兰亭黑简体" w:cs="方正兰亭黑简体"/>
          <w:color w:val="auto"/>
          <w:sz w:val="22"/>
          <w:szCs w:val="28"/>
          <w:highlight w:val="none"/>
          <w:lang w:val="en-US" w:eastAsia="zh-CN"/>
        </w:rPr>
        <w:t>的10天</w:t>
      </w:r>
      <w:r>
        <w:rPr>
          <w:rFonts w:hint="eastAsia" w:ascii="方正兰亭黑简体" w:hAnsi="方正兰亭黑简体" w:eastAsia="方正兰亭黑简体" w:cs="方正兰亭黑简体"/>
          <w:color w:val="auto"/>
          <w:sz w:val="22"/>
          <w:szCs w:val="28"/>
          <w:highlight w:val="none"/>
        </w:rPr>
        <w:t>内，</w:t>
      </w:r>
      <w:r>
        <w:rPr>
          <w:rFonts w:hint="eastAsia" w:ascii="方正兰亭黑简体" w:hAnsi="方正兰亭黑简体" w:eastAsia="方正兰亭黑简体" w:cs="方正兰亭黑简体"/>
          <w:color w:val="auto"/>
          <w:sz w:val="22"/>
          <w:szCs w:val="28"/>
          <w:highlight w:val="none"/>
          <w:lang w:val="en-US" w:eastAsia="zh-CN"/>
        </w:rPr>
        <w:t>甲方支付合同全款</w:t>
      </w:r>
      <w:r>
        <w:rPr>
          <w:rFonts w:hint="eastAsia" w:ascii="方正兰亭黑简体" w:hAnsi="方正兰亭黑简体" w:eastAsia="方正兰亭黑简体" w:cs="方正兰亭黑简体"/>
          <w:color w:val="auto"/>
          <w:sz w:val="22"/>
          <w:szCs w:val="28"/>
          <w:highlight w:val="none"/>
        </w:rPr>
        <w:t>。合同内全部款项均以“银行转账”方式予以支付。</w:t>
      </w:r>
    </w:p>
    <w:p w14:paraId="41BEA8D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w:t>
      </w:r>
      <w:r>
        <w:rPr>
          <w:rFonts w:hint="eastAsia" w:ascii="方正兰亭黑简体" w:hAnsi="方正兰亭黑简体" w:eastAsia="方正兰亭黑简体" w:cs="方正兰亭黑简体"/>
          <w:b/>
          <w:bCs/>
          <w:color w:val="auto"/>
          <w:sz w:val="22"/>
          <w:szCs w:val="28"/>
          <w:highlight w:val="none"/>
          <w:lang w:val="en-US" w:eastAsia="zh-CN"/>
        </w:rPr>
        <w:t>报价</w:t>
      </w:r>
      <w:r>
        <w:rPr>
          <w:rFonts w:hint="eastAsia" w:ascii="方正兰亭黑简体" w:hAnsi="方正兰亭黑简体" w:eastAsia="方正兰亭黑简体" w:cs="方正兰亭黑简体"/>
          <w:b/>
          <w:bCs/>
          <w:color w:val="auto"/>
          <w:sz w:val="22"/>
          <w:szCs w:val="28"/>
          <w:highlight w:val="none"/>
        </w:rPr>
        <w:t>人的资格要求</w:t>
      </w:r>
    </w:p>
    <w:p w14:paraId="022E876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中华人民共和国</w:t>
      </w:r>
      <w:r>
        <w:rPr>
          <w:rFonts w:hint="eastAsia" w:ascii="方正兰亭黑简体" w:hAnsi="方正兰亭黑简体" w:eastAsia="方正兰亭黑简体" w:cs="方正兰亭黑简体"/>
          <w:color w:val="auto"/>
          <w:sz w:val="22"/>
          <w:szCs w:val="28"/>
          <w:highlight w:val="none"/>
        </w:rPr>
        <w:t>政府采购法</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第二十二条之供应商资格规定。</w:t>
      </w:r>
    </w:p>
    <w:p w14:paraId="6441606B">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2、供应商未被列入“信用中国”网站（www.creditchina.gov.cn）失信执行人名单、重大税收违法案件当事人名单和中国政府采购网（www.ccgp.gov.cn）政府严重违法失信行为记录名单的供应商。</w:t>
      </w:r>
    </w:p>
    <w:p w14:paraId="3A3BF07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3、</w:t>
      </w:r>
      <w:r>
        <w:rPr>
          <w:rFonts w:hint="eastAsia" w:ascii="方正兰亭黑简体" w:hAnsi="方正兰亭黑简体" w:eastAsia="方正兰亭黑简体" w:cs="方正兰亭黑简体"/>
          <w:color w:val="auto"/>
          <w:sz w:val="22"/>
          <w:szCs w:val="28"/>
          <w:highlight w:val="none"/>
        </w:rPr>
        <w:t>经营范围及拟投标货物（服务）符合本次比选要求，具有与本次投标货物（服务）相应的经营、代理（经销）资质，能全程参与并完成本项目，且具有较强的服务能力，以及畅通的问题响应机制和渠道等；</w:t>
      </w:r>
    </w:p>
    <w:p w14:paraId="3710B34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rPr>
        <w:t>三、报名</w:t>
      </w:r>
      <w:r>
        <w:rPr>
          <w:rFonts w:hint="eastAsia" w:ascii="方正兰亭黑简体" w:hAnsi="方正兰亭黑简体" w:eastAsia="方正兰亭黑简体" w:cs="方正兰亭黑简体"/>
          <w:b/>
          <w:bCs/>
          <w:color w:val="auto"/>
          <w:sz w:val="22"/>
          <w:szCs w:val="28"/>
          <w:highlight w:val="none"/>
          <w:lang w:val="en-US" w:eastAsia="zh-CN"/>
        </w:rPr>
        <w:t>要求</w:t>
      </w:r>
    </w:p>
    <w:p w14:paraId="0491728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24CD6CD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5050A6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w:t>
      </w:r>
      <w:r>
        <w:rPr>
          <w:rFonts w:hint="eastAsia" w:ascii="方正兰亭黑简体" w:hAnsi="方正兰亭黑简体" w:eastAsia="方正兰亭黑简体" w:cs="方正兰亭黑简体"/>
          <w:color w:val="auto"/>
          <w:sz w:val="22"/>
          <w:szCs w:val="28"/>
          <w:highlight w:val="none"/>
          <w:lang w:val="en-US" w:eastAsia="zh-CN"/>
        </w:rPr>
        <w:t>下方自行</w:t>
      </w:r>
      <w:r>
        <w:rPr>
          <w:rFonts w:hint="eastAsia" w:ascii="方正兰亭黑简体" w:hAnsi="方正兰亭黑简体" w:eastAsia="方正兰亭黑简体" w:cs="方正兰亭黑简体"/>
          <w:color w:val="auto"/>
          <w:sz w:val="22"/>
          <w:szCs w:val="28"/>
          <w:highlight w:val="none"/>
        </w:rPr>
        <w:t>下载</w:t>
      </w:r>
    </w:p>
    <w:p w14:paraId="4D745344">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2C26225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213C813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六</w:t>
      </w:r>
      <w:r>
        <w:rPr>
          <w:rFonts w:hint="eastAsia" w:ascii="方正兰亭黑简体" w:hAnsi="方正兰亭黑简体" w:eastAsia="方正兰亭黑简体" w:cs="方正兰亭黑简体"/>
          <w:b/>
          <w:bCs/>
          <w:color w:val="auto"/>
          <w:sz w:val="22"/>
          <w:szCs w:val="28"/>
          <w:highlight w:val="none"/>
        </w:rPr>
        <w:t>、响应文件提交</w:t>
      </w:r>
    </w:p>
    <w:p w14:paraId="231DF229">
      <w:pPr>
        <w:jc w:val="left"/>
        <w:rPr>
          <w:rFonts w:hint="eastAsia" w:ascii="方正兰亭黑简体" w:hAnsi="方正兰亭黑简体" w:eastAsia="方正兰亭黑简体" w:cs="方正兰亭黑简体"/>
          <w:color w:val="auto"/>
          <w:sz w:val="22"/>
          <w:szCs w:val="28"/>
          <w:highlight w:val="none"/>
          <w:lang w:eastAsia="zh-CN"/>
        </w:rPr>
      </w:pPr>
      <w:bookmarkStart w:id="1" w:name="_Toc35393795"/>
      <w:bookmarkEnd w:id="1"/>
      <w:bookmarkStart w:id="2" w:name="_Toc35393626"/>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w:t>
      </w:r>
      <w:r>
        <w:rPr>
          <w:rFonts w:hint="eastAsia" w:ascii="方正兰亭黑简体" w:hAnsi="方正兰亭黑简体" w:eastAsia="方正兰亭黑简体" w:cs="方正兰亭黑简体"/>
          <w:color w:val="auto"/>
          <w:sz w:val="22"/>
          <w:szCs w:val="28"/>
          <w:highlight w:val="none"/>
          <w:lang w:val="en-US" w:eastAsia="zh-CN"/>
        </w:rPr>
        <w:t>6</w:t>
      </w:r>
      <w:r>
        <w:rPr>
          <w:rFonts w:hint="eastAsia" w:ascii="方正兰亭黑简体" w:hAnsi="方正兰亭黑简体" w:eastAsia="方正兰亭黑简体" w:cs="方正兰亭黑简体"/>
          <w:color w:val="auto"/>
          <w:sz w:val="22"/>
          <w:szCs w:val="28"/>
          <w:highlight w:val="none"/>
        </w:rPr>
        <w:t>年</w:t>
      </w:r>
      <w:r>
        <w:rPr>
          <w:rFonts w:hint="eastAsia" w:ascii="方正兰亭黑简体" w:hAnsi="方正兰亭黑简体" w:eastAsia="方正兰亭黑简体" w:cs="方正兰亭黑简体"/>
          <w:color w:val="auto"/>
          <w:sz w:val="22"/>
          <w:szCs w:val="28"/>
          <w:highlight w:val="none"/>
          <w:lang w:val="en-US" w:eastAsia="zh-CN"/>
        </w:rPr>
        <w:t>11</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3</w:t>
      </w:r>
      <w:r>
        <w:rPr>
          <w:rFonts w:hint="eastAsia" w:ascii="方正兰亭黑简体" w:hAnsi="方正兰亭黑简体" w:eastAsia="方正兰亭黑简体" w:cs="方正兰亭黑简体"/>
          <w:color w:val="auto"/>
          <w:sz w:val="22"/>
          <w:szCs w:val="28"/>
          <w:highlight w:val="none"/>
        </w:rPr>
        <w:t>日</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周二</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上午11</w:t>
      </w:r>
      <w:r>
        <w:rPr>
          <w:rFonts w:hint="eastAsia" w:ascii="方正兰亭黑简体" w:hAnsi="方正兰亭黑简体" w:eastAsia="方正兰亭黑简体" w:cs="方正兰亭黑简体"/>
          <w:color w:val="auto"/>
          <w:sz w:val="22"/>
          <w:szCs w:val="28"/>
          <w:highlight w:val="none"/>
        </w:rPr>
        <w:t>时</w:t>
      </w:r>
      <w:r>
        <w:rPr>
          <w:rFonts w:hint="eastAsia" w:ascii="方正兰亭黑简体" w:hAnsi="方正兰亭黑简体" w:eastAsia="方正兰亭黑简体" w:cs="方正兰亭黑简体"/>
          <w:color w:val="auto"/>
          <w:sz w:val="22"/>
          <w:szCs w:val="28"/>
          <w:highlight w:val="none"/>
          <w:lang w:val="en-US" w:eastAsia="zh-CN"/>
        </w:rPr>
        <w:t>00</w:t>
      </w:r>
      <w:r>
        <w:rPr>
          <w:rFonts w:hint="eastAsia" w:ascii="方正兰亭黑简体" w:hAnsi="方正兰亭黑简体" w:eastAsia="方正兰亭黑简体" w:cs="方正兰亭黑简体"/>
          <w:color w:val="auto"/>
          <w:sz w:val="22"/>
          <w:szCs w:val="28"/>
          <w:highlight w:val="none"/>
        </w:rPr>
        <w:t>分</w:t>
      </w:r>
    </w:p>
    <w:p w14:paraId="52EA2719">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提交方式：发送盖章扫描版</w:t>
      </w:r>
      <w:r>
        <w:rPr>
          <w:rFonts w:hint="eastAsia" w:ascii="方正兰亭黑简体" w:hAnsi="方正兰亭黑简体" w:eastAsia="方正兰亭黑简体" w:cs="方正兰亭黑简体"/>
          <w:color w:val="auto"/>
          <w:sz w:val="22"/>
          <w:szCs w:val="28"/>
          <w:highlight w:val="none"/>
          <w:lang w:val="en-US" w:eastAsia="zh-CN"/>
        </w:rPr>
        <w:t>PDF</w:t>
      </w:r>
      <w:r>
        <w:rPr>
          <w:rFonts w:hint="eastAsia" w:ascii="方正兰亭黑简体" w:hAnsi="方正兰亭黑简体" w:eastAsia="方正兰亭黑简体" w:cs="方正兰亭黑简体"/>
          <w:color w:val="auto"/>
          <w:sz w:val="22"/>
          <w:szCs w:val="28"/>
          <w:highlight w:val="none"/>
        </w:rPr>
        <w:t>到指定邮箱</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邮件名称：项目编号+公司名称</w:t>
      </w:r>
    </w:p>
    <w:p w14:paraId="45738F2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w:t>
      </w:r>
      <w:r>
        <w:rPr>
          <w:rFonts w:hint="eastAsia" w:ascii="方正兰亭黑简体" w:hAnsi="方正兰亭黑简体" w:eastAsia="方正兰亭黑简体" w:cs="方正兰亭黑简体"/>
          <w:color w:val="auto"/>
          <w:sz w:val="22"/>
          <w:szCs w:val="28"/>
          <w:highlight w:val="none"/>
          <w:u w:val="none"/>
        </w:rPr>
        <w:t>quotation@shmtu.edu.cn</w:t>
      </w:r>
    </w:p>
    <w:p w14:paraId="7C16205B">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七</w:t>
      </w:r>
      <w:r>
        <w:rPr>
          <w:rFonts w:hint="eastAsia" w:ascii="方正兰亭黑简体" w:hAnsi="方正兰亭黑简体" w:eastAsia="方正兰亭黑简体" w:cs="方正兰亭黑简体"/>
          <w:b/>
          <w:bCs/>
          <w:color w:val="auto"/>
          <w:sz w:val="22"/>
          <w:szCs w:val="28"/>
          <w:highlight w:val="none"/>
        </w:rPr>
        <w:t>、其他补充事宜</w:t>
      </w:r>
    </w:p>
    <w:p w14:paraId="3C9CF2D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w:t>
      </w:r>
      <w:r>
        <w:rPr>
          <w:rFonts w:hint="eastAsia" w:ascii="方正兰亭黑简体" w:hAnsi="方正兰亭黑简体" w:eastAsia="方正兰亭黑简体" w:cs="方正兰亭黑简体"/>
          <w:color w:val="auto"/>
          <w:sz w:val="22"/>
          <w:szCs w:val="28"/>
          <w:highlight w:val="none"/>
          <w:lang w:val="en-US" w:eastAsia="zh-CN"/>
        </w:rPr>
        <w:t>为1个工作日</w:t>
      </w:r>
      <w:r>
        <w:rPr>
          <w:rFonts w:hint="eastAsia" w:ascii="方正兰亭黑简体" w:hAnsi="方正兰亭黑简体" w:eastAsia="方正兰亭黑简体" w:cs="方正兰亭黑简体"/>
          <w:color w:val="auto"/>
          <w:sz w:val="22"/>
          <w:szCs w:val="28"/>
          <w:highlight w:val="none"/>
        </w:rPr>
        <w:t>，公示期内如对中标结果有异议可向校方提出书面质疑。</w:t>
      </w:r>
      <w:bookmarkStart w:id="3" w:name="_Toc35393627"/>
    </w:p>
    <w:p w14:paraId="17FB2B9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2.</w:t>
      </w:r>
      <w:bookmarkEnd w:id="3"/>
      <w:r>
        <w:rPr>
          <w:rFonts w:hint="eastAsia" w:ascii="方正兰亭黑简体" w:hAnsi="方正兰亭黑简体" w:eastAsia="方正兰亭黑简体" w:cs="方正兰亭黑简体"/>
          <w:color w:val="auto"/>
          <w:sz w:val="22"/>
          <w:szCs w:val="28"/>
          <w:highlight w:val="none"/>
        </w:rPr>
        <w:t>凡对本次采购提出询问，请按以下方式联系</w:t>
      </w:r>
      <w:r>
        <w:rPr>
          <w:rFonts w:hint="eastAsia" w:ascii="方正兰亭黑简体" w:hAnsi="方正兰亭黑简体" w:eastAsia="方正兰亭黑简体" w:cs="方正兰亭黑简体"/>
          <w:color w:val="auto"/>
          <w:sz w:val="22"/>
          <w:szCs w:val="28"/>
          <w:highlight w:val="none"/>
          <w:lang w:eastAsia="zh-CN"/>
        </w:rPr>
        <w:t>：</w:t>
      </w:r>
    </w:p>
    <w:p w14:paraId="53930B0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w:t>
      </w:r>
      <w:r>
        <w:rPr>
          <w:rFonts w:hint="eastAsia" w:ascii="方正兰亭黑简体" w:hAnsi="方正兰亭黑简体" w:eastAsia="方正兰亭黑简体" w:cs="方正兰亭黑简体"/>
          <w:color w:val="auto"/>
          <w:sz w:val="22"/>
          <w:szCs w:val="28"/>
          <w:highlight w:val="none"/>
          <w:lang w:val="en-US" w:eastAsia="zh-CN"/>
        </w:rPr>
        <w:t>仲</w:t>
      </w:r>
      <w:r>
        <w:rPr>
          <w:rFonts w:hint="eastAsia" w:ascii="方正兰亭黑简体" w:hAnsi="方正兰亭黑简体" w:eastAsia="方正兰亭黑简体" w:cs="方正兰亭黑简体"/>
          <w:color w:val="auto"/>
          <w:sz w:val="22"/>
          <w:szCs w:val="28"/>
          <w:highlight w:val="none"/>
        </w:rPr>
        <w:t>老师021-3828470</w:t>
      </w:r>
      <w:r>
        <w:rPr>
          <w:rFonts w:hint="eastAsia" w:ascii="方正兰亭黑简体" w:hAnsi="方正兰亭黑简体" w:eastAsia="方正兰亭黑简体" w:cs="方正兰亭黑简体"/>
          <w:color w:val="auto"/>
          <w:sz w:val="22"/>
          <w:szCs w:val="28"/>
          <w:highlight w:val="none"/>
          <w:lang w:val="en-US" w:eastAsia="zh-CN"/>
        </w:rPr>
        <w:t>7</w:t>
      </w:r>
    </w:p>
    <w:p w14:paraId="1CEF1F38">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秦老师021-38282974</w:t>
      </w:r>
    </w:p>
    <w:p w14:paraId="52A47FAD">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4B9C0EF3">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第二章 采购需求</w:t>
      </w:r>
    </w:p>
    <w:p w14:paraId="7DE6D34A">
      <w:pPr>
        <w:spacing w:line="240" w:lineRule="auto"/>
        <w:rPr>
          <w:rFonts w:hint="eastAsia"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一、货物清单及规格参数</w:t>
      </w:r>
    </w:p>
    <w:tbl>
      <w:tblPr>
        <w:tblStyle w:val="1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2696"/>
        <w:gridCol w:w="1189"/>
        <w:gridCol w:w="675"/>
        <w:gridCol w:w="675"/>
        <w:gridCol w:w="4044"/>
      </w:tblGrid>
      <w:tr w14:paraId="3F88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blHeader/>
          <w:jc w:val="center"/>
        </w:trPr>
        <w:tc>
          <w:tcPr>
            <w:tcW w:w="339" w:type="pct"/>
            <w:vAlign w:val="center"/>
          </w:tcPr>
          <w:p w14:paraId="7D900C02">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序号</w:t>
            </w:r>
          </w:p>
        </w:tc>
        <w:tc>
          <w:tcPr>
            <w:tcW w:w="1353" w:type="pct"/>
            <w:vAlign w:val="center"/>
          </w:tcPr>
          <w:p w14:paraId="3E4654E1">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名称</w:t>
            </w:r>
          </w:p>
        </w:tc>
        <w:tc>
          <w:tcPr>
            <w:tcW w:w="597" w:type="pct"/>
            <w:vAlign w:val="center"/>
          </w:tcPr>
          <w:p w14:paraId="4B165F61">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进口/国产</w:t>
            </w:r>
          </w:p>
        </w:tc>
        <w:tc>
          <w:tcPr>
            <w:tcW w:w="339" w:type="pct"/>
            <w:vAlign w:val="center"/>
          </w:tcPr>
          <w:p w14:paraId="18C0592B">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单位</w:t>
            </w:r>
          </w:p>
        </w:tc>
        <w:tc>
          <w:tcPr>
            <w:tcW w:w="339" w:type="pct"/>
            <w:vAlign w:val="center"/>
          </w:tcPr>
          <w:p w14:paraId="14DCCB81">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数量</w:t>
            </w:r>
          </w:p>
        </w:tc>
        <w:tc>
          <w:tcPr>
            <w:tcW w:w="2029" w:type="pct"/>
            <w:vAlign w:val="center"/>
          </w:tcPr>
          <w:p w14:paraId="5375C4DA">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主要规格</w:t>
            </w:r>
          </w:p>
        </w:tc>
      </w:tr>
      <w:tr w14:paraId="49DA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39" w:type="pct"/>
            <w:vAlign w:val="center"/>
          </w:tcPr>
          <w:p w14:paraId="7DEF8C0B">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w:t>
            </w:r>
          </w:p>
        </w:tc>
        <w:tc>
          <w:tcPr>
            <w:tcW w:w="1353" w:type="pct"/>
            <w:vAlign w:val="center"/>
          </w:tcPr>
          <w:p w14:paraId="27DFD86A">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能量管理及协调控制软件</w:t>
            </w:r>
          </w:p>
        </w:tc>
        <w:tc>
          <w:tcPr>
            <w:tcW w:w="597" w:type="pct"/>
            <w:vAlign w:val="center"/>
          </w:tcPr>
          <w:p w14:paraId="0ECC29C6">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国产</w:t>
            </w:r>
          </w:p>
        </w:tc>
        <w:tc>
          <w:tcPr>
            <w:tcW w:w="339" w:type="pct"/>
            <w:vAlign w:val="center"/>
          </w:tcPr>
          <w:p w14:paraId="5A208F7B">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套</w:t>
            </w:r>
          </w:p>
        </w:tc>
        <w:tc>
          <w:tcPr>
            <w:tcW w:w="339" w:type="pct"/>
            <w:vAlign w:val="center"/>
          </w:tcPr>
          <w:p w14:paraId="59847C0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w:t>
            </w:r>
          </w:p>
        </w:tc>
        <w:tc>
          <w:tcPr>
            <w:tcW w:w="2029" w:type="pct"/>
            <w:vAlign w:val="center"/>
          </w:tcPr>
          <w:p w14:paraId="653ED931">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功率分配、约束、模式切换、报警日志</w:t>
            </w:r>
          </w:p>
        </w:tc>
      </w:tr>
      <w:tr w14:paraId="04AC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39" w:type="pct"/>
            <w:vAlign w:val="center"/>
          </w:tcPr>
          <w:p w14:paraId="743BB35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2</w:t>
            </w:r>
          </w:p>
        </w:tc>
        <w:tc>
          <w:tcPr>
            <w:tcW w:w="1353" w:type="pct"/>
            <w:vAlign w:val="center"/>
          </w:tcPr>
          <w:p w14:paraId="315B9F8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工业计算控制单元</w:t>
            </w:r>
          </w:p>
        </w:tc>
        <w:tc>
          <w:tcPr>
            <w:tcW w:w="597" w:type="pct"/>
            <w:vAlign w:val="center"/>
          </w:tcPr>
          <w:p w14:paraId="23036A7D">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国产</w:t>
            </w:r>
          </w:p>
        </w:tc>
        <w:tc>
          <w:tcPr>
            <w:tcW w:w="339" w:type="pct"/>
            <w:vAlign w:val="center"/>
          </w:tcPr>
          <w:p w14:paraId="55190797">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台</w:t>
            </w:r>
          </w:p>
        </w:tc>
        <w:tc>
          <w:tcPr>
            <w:tcW w:w="339" w:type="pct"/>
            <w:vAlign w:val="center"/>
          </w:tcPr>
          <w:p w14:paraId="3C44FEF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w:t>
            </w:r>
          </w:p>
        </w:tc>
        <w:tc>
          <w:tcPr>
            <w:tcW w:w="2029" w:type="pct"/>
            <w:vAlign w:val="center"/>
          </w:tcPr>
          <w:p w14:paraId="3DF59AFA">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控制算法本地部署与计算</w:t>
            </w:r>
          </w:p>
        </w:tc>
      </w:tr>
      <w:tr w14:paraId="4BD52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39" w:type="pct"/>
            <w:vAlign w:val="center"/>
          </w:tcPr>
          <w:p w14:paraId="76796D36">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3</w:t>
            </w:r>
          </w:p>
        </w:tc>
        <w:tc>
          <w:tcPr>
            <w:tcW w:w="1353" w:type="pct"/>
            <w:vAlign w:val="center"/>
          </w:tcPr>
          <w:p w14:paraId="2B5FA8BB">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柴油发电机组动态模型</w:t>
            </w:r>
          </w:p>
        </w:tc>
        <w:tc>
          <w:tcPr>
            <w:tcW w:w="597" w:type="pct"/>
            <w:vAlign w:val="center"/>
          </w:tcPr>
          <w:p w14:paraId="0FD8C802">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国产</w:t>
            </w:r>
          </w:p>
        </w:tc>
        <w:tc>
          <w:tcPr>
            <w:tcW w:w="339" w:type="pct"/>
            <w:vAlign w:val="center"/>
          </w:tcPr>
          <w:p w14:paraId="0A7D9F70">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套</w:t>
            </w:r>
          </w:p>
        </w:tc>
        <w:tc>
          <w:tcPr>
            <w:tcW w:w="339" w:type="pct"/>
            <w:vAlign w:val="center"/>
          </w:tcPr>
          <w:p w14:paraId="105A53B2">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w:t>
            </w:r>
          </w:p>
        </w:tc>
        <w:tc>
          <w:tcPr>
            <w:tcW w:w="2029" w:type="pct"/>
            <w:vAlign w:val="center"/>
          </w:tcPr>
          <w:p w14:paraId="74499C7E">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启停、功率上下限、爬坡与效率参数</w:t>
            </w:r>
          </w:p>
        </w:tc>
      </w:tr>
      <w:tr w14:paraId="19A4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39" w:type="pct"/>
            <w:vAlign w:val="center"/>
          </w:tcPr>
          <w:p w14:paraId="4B914D2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4</w:t>
            </w:r>
          </w:p>
        </w:tc>
        <w:tc>
          <w:tcPr>
            <w:tcW w:w="1353" w:type="pct"/>
            <w:vAlign w:val="center"/>
          </w:tcPr>
          <w:p w14:paraId="20494DE0">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动力电池及BMS模型</w:t>
            </w:r>
          </w:p>
        </w:tc>
        <w:tc>
          <w:tcPr>
            <w:tcW w:w="597" w:type="pct"/>
            <w:vAlign w:val="center"/>
          </w:tcPr>
          <w:p w14:paraId="373D3E27">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国产</w:t>
            </w:r>
          </w:p>
        </w:tc>
        <w:tc>
          <w:tcPr>
            <w:tcW w:w="339" w:type="pct"/>
            <w:vAlign w:val="center"/>
          </w:tcPr>
          <w:p w14:paraId="4386255A">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套</w:t>
            </w:r>
          </w:p>
        </w:tc>
        <w:tc>
          <w:tcPr>
            <w:tcW w:w="339" w:type="pct"/>
            <w:vAlign w:val="center"/>
          </w:tcPr>
          <w:p w14:paraId="0C53B69B">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w:t>
            </w:r>
          </w:p>
        </w:tc>
        <w:tc>
          <w:tcPr>
            <w:tcW w:w="2029" w:type="pct"/>
            <w:vAlign w:val="center"/>
          </w:tcPr>
          <w:p w14:paraId="029101AC">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SOC、功率/电流限制与保护条件</w:t>
            </w:r>
          </w:p>
        </w:tc>
      </w:tr>
      <w:tr w14:paraId="0536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39" w:type="pct"/>
            <w:vAlign w:val="center"/>
          </w:tcPr>
          <w:p w14:paraId="4EBDB247">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5</w:t>
            </w:r>
          </w:p>
        </w:tc>
        <w:tc>
          <w:tcPr>
            <w:tcW w:w="1353" w:type="pct"/>
            <w:vAlign w:val="center"/>
          </w:tcPr>
          <w:p w14:paraId="5E6D3C8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推进电机与驱动器模型</w:t>
            </w:r>
          </w:p>
        </w:tc>
        <w:tc>
          <w:tcPr>
            <w:tcW w:w="597" w:type="pct"/>
            <w:vAlign w:val="center"/>
          </w:tcPr>
          <w:p w14:paraId="1FB7877F">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国产</w:t>
            </w:r>
          </w:p>
        </w:tc>
        <w:tc>
          <w:tcPr>
            <w:tcW w:w="339" w:type="pct"/>
            <w:vAlign w:val="center"/>
          </w:tcPr>
          <w:p w14:paraId="5ED5CA0F">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套</w:t>
            </w:r>
          </w:p>
        </w:tc>
        <w:tc>
          <w:tcPr>
            <w:tcW w:w="339" w:type="pct"/>
            <w:vAlign w:val="center"/>
          </w:tcPr>
          <w:p w14:paraId="4AB580C2">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w:t>
            </w:r>
          </w:p>
        </w:tc>
        <w:tc>
          <w:tcPr>
            <w:tcW w:w="2029" w:type="pct"/>
            <w:vAlign w:val="center"/>
          </w:tcPr>
          <w:p w14:paraId="30196E1D">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负荷/效率/功率限制与状态</w:t>
            </w:r>
          </w:p>
        </w:tc>
      </w:tr>
      <w:tr w14:paraId="070D5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39" w:type="pct"/>
            <w:vAlign w:val="center"/>
          </w:tcPr>
          <w:p w14:paraId="095E84B0">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6</w:t>
            </w:r>
          </w:p>
        </w:tc>
        <w:tc>
          <w:tcPr>
            <w:tcW w:w="1353" w:type="pct"/>
            <w:vAlign w:val="center"/>
          </w:tcPr>
          <w:p w14:paraId="0A14FDC0">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母线与负载模型</w:t>
            </w:r>
          </w:p>
        </w:tc>
        <w:tc>
          <w:tcPr>
            <w:tcW w:w="597" w:type="pct"/>
            <w:vAlign w:val="center"/>
          </w:tcPr>
          <w:p w14:paraId="62576FDC">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国产</w:t>
            </w:r>
          </w:p>
        </w:tc>
        <w:tc>
          <w:tcPr>
            <w:tcW w:w="339" w:type="pct"/>
            <w:vAlign w:val="center"/>
          </w:tcPr>
          <w:p w14:paraId="4F6B453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套</w:t>
            </w:r>
          </w:p>
        </w:tc>
        <w:tc>
          <w:tcPr>
            <w:tcW w:w="339" w:type="pct"/>
            <w:vAlign w:val="center"/>
          </w:tcPr>
          <w:p w14:paraId="614AC683">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w:t>
            </w:r>
          </w:p>
        </w:tc>
        <w:tc>
          <w:tcPr>
            <w:tcW w:w="2029" w:type="pct"/>
            <w:vAlign w:val="center"/>
          </w:tcPr>
          <w:p w14:paraId="0CAE7BA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功率平衡、负荷扰动、状态监测</w:t>
            </w:r>
          </w:p>
        </w:tc>
      </w:tr>
      <w:tr w14:paraId="1DBF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39" w:type="pct"/>
            <w:vAlign w:val="center"/>
          </w:tcPr>
          <w:p w14:paraId="2690122C">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7</w:t>
            </w:r>
          </w:p>
        </w:tc>
        <w:tc>
          <w:tcPr>
            <w:tcW w:w="1353" w:type="pct"/>
            <w:vAlign w:val="center"/>
          </w:tcPr>
          <w:p w14:paraId="0015DA1C">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工况配置及批量试验工具</w:t>
            </w:r>
          </w:p>
        </w:tc>
        <w:tc>
          <w:tcPr>
            <w:tcW w:w="597" w:type="pct"/>
            <w:vAlign w:val="center"/>
          </w:tcPr>
          <w:p w14:paraId="615D1985">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国产</w:t>
            </w:r>
          </w:p>
        </w:tc>
        <w:tc>
          <w:tcPr>
            <w:tcW w:w="339" w:type="pct"/>
            <w:vAlign w:val="center"/>
          </w:tcPr>
          <w:p w14:paraId="4BA8E9BF">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套</w:t>
            </w:r>
          </w:p>
        </w:tc>
        <w:tc>
          <w:tcPr>
            <w:tcW w:w="339" w:type="pct"/>
            <w:vAlign w:val="center"/>
          </w:tcPr>
          <w:p w14:paraId="2A1C111D">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w:t>
            </w:r>
          </w:p>
        </w:tc>
        <w:tc>
          <w:tcPr>
            <w:tcW w:w="2029" w:type="pct"/>
            <w:vAlign w:val="center"/>
          </w:tcPr>
          <w:p w14:paraId="11C95F61">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工况脚本、参数设置、结果对比</w:t>
            </w:r>
          </w:p>
        </w:tc>
      </w:tr>
      <w:tr w14:paraId="5C552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39" w:type="pct"/>
            <w:vAlign w:val="center"/>
          </w:tcPr>
          <w:p w14:paraId="471DABF2">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8</w:t>
            </w:r>
          </w:p>
        </w:tc>
        <w:tc>
          <w:tcPr>
            <w:tcW w:w="1353" w:type="pct"/>
            <w:vAlign w:val="center"/>
          </w:tcPr>
          <w:p w14:paraId="585A3645">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工业协议数据交互模块</w:t>
            </w:r>
          </w:p>
        </w:tc>
        <w:tc>
          <w:tcPr>
            <w:tcW w:w="597" w:type="pct"/>
            <w:vAlign w:val="center"/>
          </w:tcPr>
          <w:p w14:paraId="17E0E503">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国产</w:t>
            </w:r>
          </w:p>
        </w:tc>
        <w:tc>
          <w:tcPr>
            <w:tcW w:w="339" w:type="pct"/>
            <w:vAlign w:val="center"/>
          </w:tcPr>
          <w:p w14:paraId="29BE65CE">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套</w:t>
            </w:r>
          </w:p>
        </w:tc>
        <w:tc>
          <w:tcPr>
            <w:tcW w:w="339" w:type="pct"/>
            <w:vAlign w:val="center"/>
          </w:tcPr>
          <w:p w14:paraId="08544EC8">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w:t>
            </w:r>
          </w:p>
        </w:tc>
        <w:tc>
          <w:tcPr>
            <w:tcW w:w="2029" w:type="pct"/>
            <w:vAlign w:val="center"/>
          </w:tcPr>
          <w:p w14:paraId="255EF1F3">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状态读取、指令反馈及网关适配</w:t>
            </w:r>
          </w:p>
        </w:tc>
      </w:tr>
      <w:tr w14:paraId="5579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39" w:type="pct"/>
            <w:vAlign w:val="center"/>
          </w:tcPr>
          <w:p w14:paraId="4A4B02C1">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9</w:t>
            </w:r>
          </w:p>
        </w:tc>
        <w:tc>
          <w:tcPr>
            <w:tcW w:w="1353" w:type="pct"/>
            <w:vAlign w:val="center"/>
          </w:tcPr>
          <w:p w14:paraId="3AB572B1">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控制策略切换测试模块</w:t>
            </w:r>
          </w:p>
        </w:tc>
        <w:tc>
          <w:tcPr>
            <w:tcW w:w="597" w:type="pct"/>
            <w:vAlign w:val="center"/>
          </w:tcPr>
          <w:p w14:paraId="5DFDBC3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国产</w:t>
            </w:r>
          </w:p>
        </w:tc>
        <w:tc>
          <w:tcPr>
            <w:tcW w:w="339" w:type="pct"/>
            <w:vAlign w:val="center"/>
          </w:tcPr>
          <w:p w14:paraId="6A29F0CD">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套</w:t>
            </w:r>
          </w:p>
        </w:tc>
        <w:tc>
          <w:tcPr>
            <w:tcW w:w="339" w:type="pct"/>
            <w:vAlign w:val="center"/>
          </w:tcPr>
          <w:p w14:paraId="6607E779">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w:t>
            </w:r>
          </w:p>
        </w:tc>
        <w:tc>
          <w:tcPr>
            <w:tcW w:w="2029" w:type="pct"/>
            <w:vAlign w:val="center"/>
          </w:tcPr>
          <w:p w14:paraId="58480896">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策略选择、异常降级和日志</w:t>
            </w:r>
          </w:p>
        </w:tc>
      </w:tr>
      <w:tr w14:paraId="331E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39" w:type="pct"/>
            <w:vAlign w:val="center"/>
          </w:tcPr>
          <w:p w14:paraId="2DBF3AAA">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10</w:t>
            </w:r>
          </w:p>
        </w:tc>
        <w:tc>
          <w:tcPr>
            <w:tcW w:w="1353" w:type="pct"/>
            <w:vAlign w:val="center"/>
          </w:tcPr>
          <w:p w14:paraId="1C3A4EAC">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测试数据存储与导出组件</w:t>
            </w:r>
          </w:p>
        </w:tc>
        <w:tc>
          <w:tcPr>
            <w:tcW w:w="597" w:type="pct"/>
            <w:vAlign w:val="center"/>
          </w:tcPr>
          <w:p w14:paraId="03E8D7D5">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国产</w:t>
            </w:r>
          </w:p>
        </w:tc>
        <w:tc>
          <w:tcPr>
            <w:tcW w:w="339" w:type="pct"/>
            <w:vAlign w:val="center"/>
          </w:tcPr>
          <w:p w14:paraId="16ACB476">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套</w:t>
            </w:r>
          </w:p>
        </w:tc>
        <w:tc>
          <w:tcPr>
            <w:tcW w:w="339" w:type="pct"/>
            <w:vAlign w:val="center"/>
          </w:tcPr>
          <w:p w14:paraId="7A93E18A">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w:t>
            </w:r>
          </w:p>
        </w:tc>
        <w:tc>
          <w:tcPr>
            <w:tcW w:w="2029" w:type="pct"/>
            <w:vAlign w:val="center"/>
          </w:tcPr>
          <w:p w14:paraId="164060B3">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本地记录、结果回放、图表导出</w:t>
            </w:r>
          </w:p>
        </w:tc>
      </w:tr>
    </w:tbl>
    <w:p w14:paraId="74A4AF25">
      <w:pPr>
        <w:widowControl/>
        <w:shd w:val="clear" w:color="auto" w:fill="FFFFFF"/>
        <w:spacing w:line="360" w:lineRule="auto"/>
        <w:jc w:val="left"/>
        <w:rPr>
          <w:rFonts w:hint="eastAsia" w:ascii="Times New Roman" w:hAnsi="Times New Roman" w:eastAsia="方正兰亭黑简体" w:cs="Times New Roman"/>
          <w:color w:val="auto"/>
          <w:kern w:val="0"/>
          <w:sz w:val="22"/>
          <w:szCs w:val="22"/>
          <w:highlight w:val="none"/>
          <w:u w:val="none"/>
          <w:lang w:val="en-US" w:eastAsia="zh-CN"/>
        </w:rPr>
      </w:pPr>
    </w:p>
    <w:p w14:paraId="75A7C11C">
      <w:pPr>
        <w:spacing w:line="240" w:lineRule="auto"/>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二、技术要求</w:t>
      </w:r>
    </w:p>
    <w:p w14:paraId="0DD01E0A">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1.功能要求</w:t>
      </w:r>
    </w:p>
    <w:p w14:paraId="47D79F3C">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（1）动力系统模型：提供柴油发电机组、电池/BMS、推进电机与驱动器、母线及推进负载的动态模型，主要参数可配置，模型可独立运行。</w:t>
      </w:r>
    </w:p>
    <w:p w14:paraId="31F063CA">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（2）能量管理：根据推进负荷、发电容量、SOC和功率变化率约束计算柴油发电机/电池的功率参考及状态请求。</w:t>
      </w:r>
    </w:p>
    <w:p w14:paraId="6E311625">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3）模拟运行模式：至少包括柴油发电独立供能（电池待机）、储能辅助供能（电池对负荷突变进行短时补偿）、联合供能（按设定策略持续分担负荷）、异常降级（依据可用出力限制功率请求）四类；逐一提供进入、退出条件及功率分配规则，并记录切换过程与结果。</w:t>
      </w:r>
    </w:p>
    <w:p w14:paraId="6C2B7A81">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（4）SOC约束：可设置SOC上下限和初始值，达到约束时限制或禁止模拟充放电并给出原因。</w:t>
      </w:r>
    </w:p>
    <w:p w14:paraId="5B07AAD0">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（5）扰动测试：支持推进负荷阶跃、发电机限功率、电池不可用、通信超时和恢复等测试情形。</w:t>
      </w:r>
    </w:p>
    <w:p w14:paraId="5030C275">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（6）模型与控制解耦：能量管理策略通过明示接口与模拟对象交换状态和功率参考；允许替换策略参数而不修改底层模型结构。</w:t>
      </w:r>
    </w:p>
    <w:p w14:paraId="79A0D49F">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（7）教学科研应用：支持工况保存、重复执行、主要变量绘图、实验结果记录和CSV导出。</w:t>
      </w:r>
    </w:p>
    <w:p w14:paraId="2A09DAF6">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（8）边界说明：本项目配置计算设备及数字模型，不购置动力电池、真实推进电机、变频驱动器或带电功率试验台；所有控制指令仅作用于模拟对象。</w:t>
      </w:r>
    </w:p>
    <w:p w14:paraId="5721EB4E">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9）设备配置与实施：合同报价应包含本项目全部设备、软件、合法授权、配套模块、安装附件、线缆、税费、运输、安装、调试、测试及培训费用。供应商负责本项目设备与软件的内部集成，完成设备布置、供配电与接地、网络及信号连接、软件安装配置和测试环境部署，提交设备清单、内部接口表、配置备份及现场测试记录。</w:t>
      </w:r>
    </w:p>
    <w:p w14:paraId="4B4CE44E">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10）本项目供货范围：本项目交付范围包括工业计算控制单元、能量管理及协调控制软件、混合动力数字模型、内部通信组件、试验工具和运行数据。供应商应在交付控制单元上完成模型运行、策略计算、状态反馈和日志导出的闭环测试，完整交付模型、参数、脚本及测试记录。</w:t>
      </w:r>
    </w:p>
    <w:p w14:paraId="79FDE64D">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2.应遵循的相关国家标准、行业标准、地方标准等标准、规范</w:t>
      </w:r>
    </w:p>
    <w:p w14:paraId="6E06AEE6">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适用国家及行业现行有效的设备电气安全、实验室安全、工业通信、网络安全、数据安全和软件授权管理要求。供应商应结合所投设备及软件，提供适用标准清单、符合性说明、产品合法授权以及学校网络接入要求下的安全部署方案。涉及既有设备的接口以取得授权的接口资料和现场条件为准，不得擅自接线或改变原有保护功能。</w:t>
      </w:r>
    </w:p>
    <w:p w14:paraId="1E996F52">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3.后续运营维护、升级更新、备品备件等要求</w:t>
      </w:r>
    </w:p>
    <w:p w14:paraId="356C3AF2">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供应商应交付设备配置与序列号清单、正版软件授权与安装介质、可维护工程文件、接口和数据字典、安装部署手册、测试用例及验收报告。定制开发的动态模型、控制策略、参数配置和工况脚本应提供可编辑工程文件；第三方商业软件应提供覆盖本项目全部功能的合法授权、可编辑配置和完整接口资料。授权应覆盖校内教学科研使用、本地部署、备份恢复及交付设备故障更换后的迁移；维护期届满后，已交付功能应继续可用。提供不少于24个月的软硬件维护、缺陷修复和必要升级支持，并交付本项目完整的本地运行与恢复环境。</w:t>
      </w:r>
    </w:p>
    <w:p w14:paraId="72E33785">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4.各项指标要求</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510"/>
        <w:gridCol w:w="7716"/>
      </w:tblGrid>
      <w:tr w14:paraId="0A5C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blHeader/>
          <w:jc w:val="center"/>
        </w:trPr>
        <w:tc>
          <w:tcPr>
            <w:tcW w:w="736" w:type="dxa"/>
            <w:vAlign w:val="center"/>
          </w:tcPr>
          <w:p w14:paraId="4D172C69">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序号</w:t>
            </w:r>
          </w:p>
        </w:tc>
        <w:tc>
          <w:tcPr>
            <w:tcW w:w="1510" w:type="dxa"/>
            <w:vAlign w:val="center"/>
          </w:tcPr>
          <w:p w14:paraId="4D4125BB">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指标名称</w:t>
            </w:r>
          </w:p>
        </w:tc>
        <w:tc>
          <w:tcPr>
            <w:tcW w:w="7716" w:type="dxa"/>
            <w:vAlign w:val="center"/>
          </w:tcPr>
          <w:p w14:paraId="09E1FA1B">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指标要求</w:t>
            </w:r>
          </w:p>
        </w:tc>
      </w:tr>
      <w:tr w14:paraId="4CE6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736" w:type="dxa"/>
            <w:vAlign w:val="center"/>
          </w:tcPr>
          <w:p w14:paraId="2447FCA3">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1</w:t>
            </w:r>
          </w:p>
        </w:tc>
        <w:tc>
          <w:tcPr>
            <w:tcW w:w="1510" w:type="dxa"/>
            <w:vAlign w:val="center"/>
          </w:tcPr>
          <w:p w14:paraId="20D166AB">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计算单元</w:t>
            </w:r>
          </w:p>
        </w:tc>
        <w:tc>
          <w:tcPr>
            <w:tcW w:w="7716" w:type="dxa"/>
            <w:vAlign w:val="center"/>
          </w:tcPr>
          <w:p w14:paraId="34A4A9AF">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独立工业计算单元1台：CPU核心≥6、内存≥16GB、SSD≥512GB、千兆网络接口≥2</w:t>
            </w:r>
          </w:p>
        </w:tc>
      </w:tr>
      <w:tr w14:paraId="43E6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736" w:type="dxa"/>
            <w:vAlign w:val="center"/>
          </w:tcPr>
          <w:p w14:paraId="5FDF5D6D">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2</w:t>
            </w:r>
          </w:p>
        </w:tc>
        <w:tc>
          <w:tcPr>
            <w:tcW w:w="1510" w:type="dxa"/>
            <w:vAlign w:val="center"/>
          </w:tcPr>
          <w:p w14:paraId="170FF751">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模型组成</w:t>
            </w:r>
          </w:p>
        </w:tc>
        <w:tc>
          <w:tcPr>
            <w:tcW w:w="7716" w:type="dxa"/>
            <w:vAlign w:val="center"/>
          </w:tcPr>
          <w:p w14:paraId="51391873">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柴油发电机、电池/BMS、推进电机及驱动器、母线/负载至少4类模型</w:t>
            </w:r>
          </w:p>
        </w:tc>
      </w:tr>
      <w:tr w14:paraId="4B8E4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736" w:type="dxa"/>
            <w:vAlign w:val="center"/>
          </w:tcPr>
          <w:p w14:paraId="7FB94918">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3</w:t>
            </w:r>
          </w:p>
        </w:tc>
        <w:tc>
          <w:tcPr>
            <w:tcW w:w="1510" w:type="dxa"/>
            <w:vAlign w:val="center"/>
          </w:tcPr>
          <w:p w14:paraId="023608DF">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模型参数开放</w:t>
            </w:r>
          </w:p>
        </w:tc>
        <w:tc>
          <w:tcPr>
            <w:tcW w:w="7716" w:type="dxa"/>
            <w:vAlign w:val="center"/>
          </w:tcPr>
          <w:p w14:paraId="6A38CBA3">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各模型提供功率额定值、上/下限、初始条件、动态参数及单位说明，参数可修改保存</w:t>
            </w:r>
          </w:p>
        </w:tc>
      </w:tr>
      <w:tr w14:paraId="2A938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736" w:type="dxa"/>
            <w:vAlign w:val="center"/>
          </w:tcPr>
          <w:p w14:paraId="2B909CD8">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4</w:t>
            </w:r>
          </w:p>
        </w:tc>
        <w:tc>
          <w:tcPr>
            <w:tcW w:w="1510" w:type="dxa"/>
            <w:vAlign w:val="center"/>
          </w:tcPr>
          <w:p w14:paraId="65DDCD27">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仿真时间步长</w:t>
            </w:r>
          </w:p>
        </w:tc>
        <w:tc>
          <w:tcPr>
            <w:tcW w:w="7716" w:type="dxa"/>
            <w:vAlign w:val="center"/>
          </w:tcPr>
          <w:p w14:paraId="698E51AF">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支持配置≤100ms的数值求解步长，连续完成至少30min仿真时间；记录步长、仿真时长和计算运行时间，并验证本项目控制策略与模型的闭环交互</w:t>
            </w:r>
          </w:p>
        </w:tc>
      </w:tr>
      <w:tr w14:paraId="7B4A7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736" w:type="dxa"/>
            <w:vAlign w:val="center"/>
          </w:tcPr>
          <w:p w14:paraId="78B5940C">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5</w:t>
            </w:r>
          </w:p>
        </w:tc>
        <w:tc>
          <w:tcPr>
            <w:tcW w:w="1510" w:type="dxa"/>
            <w:vAlign w:val="center"/>
          </w:tcPr>
          <w:p w14:paraId="68FD943B">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功率平衡</w:t>
            </w:r>
          </w:p>
        </w:tc>
        <w:tc>
          <w:tcPr>
            <w:tcW w:w="7716" w:type="dxa"/>
            <w:vAlign w:val="center"/>
          </w:tcPr>
          <w:p w14:paraId="3F8FA294">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显示发电、电池、推进负荷、母线及损耗功率，提供符号约定与单位；按模型方程计算平衡残差，记录求解容差及不平衡事件</w:t>
            </w:r>
          </w:p>
        </w:tc>
      </w:tr>
      <w:tr w14:paraId="6D23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736" w:type="dxa"/>
            <w:vAlign w:val="center"/>
          </w:tcPr>
          <w:p w14:paraId="73B758BB">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6</w:t>
            </w:r>
          </w:p>
        </w:tc>
        <w:tc>
          <w:tcPr>
            <w:tcW w:w="1510" w:type="dxa"/>
            <w:vAlign w:val="center"/>
          </w:tcPr>
          <w:p w14:paraId="5BD3EDF3">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控制策略</w:t>
            </w:r>
          </w:p>
        </w:tc>
        <w:tc>
          <w:tcPr>
            <w:tcW w:w="7716" w:type="dxa"/>
            <w:vAlign w:val="center"/>
          </w:tcPr>
          <w:p w14:paraId="319D74D8">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至少实现1套基于约束的功率分配策略，具备手动参数设置及策略结果记录</w:t>
            </w:r>
          </w:p>
        </w:tc>
      </w:tr>
      <w:tr w14:paraId="57F08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736" w:type="dxa"/>
            <w:vAlign w:val="center"/>
          </w:tcPr>
          <w:p w14:paraId="7AEF26C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7</w:t>
            </w:r>
          </w:p>
        </w:tc>
        <w:tc>
          <w:tcPr>
            <w:tcW w:w="1510" w:type="dxa"/>
            <w:vAlign w:val="center"/>
          </w:tcPr>
          <w:p w14:paraId="43AF173A">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运行模式</w:t>
            </w:r>
          </w:p>
        </w:tc>
        <w:tc>
          <w:tcPr>
            <w:tcW w:w="7716" w:type="dxa"/>
            <w:vAlign w:val="center"/>
          </w:tcPr>
          <w:p w14:paraId="36156BC4">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至少实现柴油发电独立供能、储能辅助供能、联合供能、异常降级4种模式，提供各模式进入与退出条件、功率分配规则、过渡状态和切换记录</w:t>
            </w:r>
          </w:p>
        </w:tc>
      </w:tr>
      <w:tr w14:paraId="05D39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736" w:type="dxa"/>
            <w:vAlign w:val="center"/>
          </w:tcPr>
          <w:p w14:paraId="40F4D959">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8</w:t>
            </w:r>
          </w:p>
        </w:tc>
        <w:tc>
          <w:tcPr>
            <w:tcW w:w="1510" w:type="dxa"/>
            <w:vAlign w:val="center"/>
          </w:tcPr>
          <w:p w14:paraId="0C430C98">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SOC保护</w:t>
            </w:r>
          </w:p>
        </w:tc>
        <w:tc>
          <w:tcPr>
            <w:tcW w:w="7716" w:type="dxa"/>
            <w:vAlign w:val="center"/>
          </w:tcPr>
          <w:p w14:paraId="4E540B99">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SOC上下限可设；达到或越过限制时触发相应模拟充放电限制及报警，记录触发条件、功率指令变化和恢复过程</w:t>
            </w:r>
          </w:p>
        </w:tc>
      </w:tr>
      <w:tr w14:paraId="4AE70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736" w:type="dxa"/>
            <w:vAlign w:val="center"/>
          </w:tcPr>
          <w:p w14:paraId="221A66C7">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9</w:t>
            </w:r>
          </w:p>
        </w:tc>
        <w:tc>
          <w:tcPr>
            <w:tcW w:w="1510" w:type="dxa"/>
            <w:vAlign w:val="center"/>
          </w:tcPr>
          <w:p w14:paraId="69E5954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扰动场景</w:t>
            </w:r>
          </w:p>
        </w:tc>
        <w:tc>
          <w:tcPr>
            <w:tcW w:w="7716" w:type="dxa"/>
            <w:vAlign w:val="center"/>
          </w:tcPr>
          <w:p w14:paraId="2FA9495D">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至少涵盖负荷阶跃、柴油发电限出力、SOC越限、电池不可用、通信中断5类</w:t>
            </w:r>
          </w:p>
        </w:tc>
      </w:tr>
      <w:tr w14:paraId="570BD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736" w:type="dxa"/>
            <w:vAlign w:val="center"/>
          </w:tcPr>
          <w:p w14:paraId="1C4DA884">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10</w:t>
            </w:r>
          </w:p>
        </w:tc>
        <w:tc>
          <w:tcPr>
            <w:tcW w:w="1510" w:type="dxa"/>
            <w:vAlign w:val="center"/>
          </w:tcPr>
          <w:p w14:paraId="6A468992">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通信数据</w:t>
            </w:r>
          </w:p>
        </w:tc>
        <w:tc>
          <w:tcPr>
            <w:tcW w:w="7716" w:type="dxa"/>
            <w:vAlign w:val="center"/>
          </w:tcPr>
          <w:p w14:paraId="5DD9DF46">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支持ModbusTCP或等效开放工业数据接口；提供测点字典、状态码和接口实例</w:t>
            </w:r>
          </w:p>
        </w:tc>
      </w:tr>
      <w:tr w14:paraId="1F5F6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736" w:type="dxa"/>
            <w:vAlign w:val="center"/>
          </w:tcPr>
          <w:p w14:paraId="7CADD82A">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11</w:t>
            </w:r>
          </w:p>
        </w:tc>
        <w:tc>
          <w:tcPr>
            <w:tcW w:w="1510" w:type="dxa"/>
            <w:vAlign w:val="center"/>
          </w:tcPr>
          <w:p w14:paraId="344ACAA7">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记录与回放</w:t>
            </w:r>
          </w:p>
        </w:tc>
        <w:tc>
          <w:tcPr>
            <w:tcW w:w="7716" w:type="dxa"/>
            <w:vAlign w:val="center"/>
          </w:tcPr>
          <w:p w14:paraId="144AB7E6">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保存工况配置、时间序列、策略切换事件，可查询并导出CSV/Excel</w:t>
            </w:r>
          </w:p>
        </w:tc>
      </w:tr>
      <w:tr w14:paraId="0603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736" w:type="dxa"/>
            <w:vAlign w:val="center"/>
          </w:tcPr>
          <w:p w14:paraId="2B4B7FA3">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12</w:t>
            </w:r>
          </w:p>
        </w:tc>
        <w:tc>
          <w:tcPr>
            <w:tcW w:w="1510" w:type="dxa"/>
            <w:vAlign w:val="center"/>
          </w:tcPr>
          <w:p w14:paraId="0A6C5082">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独立部署</w:t>
            </w:r>
          </w:p>
        </w:tc>
        <w:tc>
          <w:tcPr>
            <w:tcW w:w="7716" w:type="dxa"/>
            <w:vAlign w:val="center"/>
          </w:tcPr>
          <w:p w14:paraId="11E71B2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在本地计算单元断开互联网后可完成模型仿真、策略闭环计算与结果导出</w:t>
            </w:r>
          </w:p>
        </w:tc>
      </w:tr>
      <w:tr w14:paraId="4EB6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736" w:type="dxa"/>
            <w:vAlign w:val="center"/>
          </w:tcPr>
          <w:p w14:paraId="54E94CDE">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13</w:t>
            </w:r>
          </w:p>
        </w:tc>
        <w:tc>
          <w:tcPr>
            <w:tcW w:w="1510" w:type="dxa"/>
            <w:vAlign w:val="center"/>
          </w:tcPr>
          <w:p w14:paraId="1536CEF2">
            <w:pPr>
              <w:widowControl/>
              <w:shd w:val="clear" w:color="auto" w:fill="FFFFFF"/>
              <w:spacing w:line="360" w:lineRule="auto"/>
              <w:ind w:left="0" w:leftChars="0" w:firstLine="0" w:firstLineChars="0"/>
              <w:jc w:val="center"/>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交付资料</w:t>
            </w:r>
          </w:p>
        </w:tc>
        <w:tc>
          <w:tcPr>
            <w:tcW w:w="7716" w:type="dxa"/>
            <w:vAlign w:val="center"/>
          </w:tcPr>
          <w:p w14:paraId="12D52E2C">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提供模型参数表、软件部署包/授权、工况脚本、接口字典及逐项验收报告</w:t>
            </w:r>
          </w:p>
        </w:tc>
      </w:tr>
    </w:tbl>
    <w:p w14:paraId="0FFA4345">
      <w:pPr>
        <w:widowControl/>
        <w:shd w:val="clear" w:color="auto" w:fill="FFFFFF"/>
        <w:spacing w:line="240" w:lineRule="auto"/>
        <w:jc w:val="left"/>
        <w:rPr>
          <w:rFonts w:hint="eastAsia" w:ascii="方正兰亭黑简体" w:hAnsi="方正兰亭黑简体" w:eastAsia="方正兰亭黑简体" w:cs="方正兰亭黑简体"/>
          <w:b/>
          <w:bCs/>
          <w:color w:val="auto"/>
          <w:kern w:val="0"/>
          <w:sz w:val="22"/>
          <w:szCs w:val="22"/>
          <w:highlight w:val="none"/>
          <w:lang w:val="en-US" w:eastAsia="zh-CN"/>
        </w:rPr>
      </w:pPr>
    </w:p>
    <w:p w14:paraId="34E97200">
      <w:pPr>
        <w:widowControl/>
        <w:shd w:val="clear" w:color="auto" w:fill="FFFFFF"/>
        <w:spacing w:line="240" w:lineRule="auto"/>
        <w:jc w:val="left"/>
        <w:rPr>
          <w:rFonts w:hint="eastAsia" w:ascii="方正兰亭黑简体" w:hAnsi="方正兰亭黑简体" w:eastAsia="方正兰亭黑简体" w:cs="方正兰亭黑简体"/>
          <w:color w:val="auto"/>
          <w:kern w:val="0"/>
          <w:sz w:val="22"/>
          <w:szCs w:val="22"/>
          <w:highlight w:val="none"/>
          <w:lang w:val="en-US" w:eastAsia="zh-CN"/>
        </w:rPr>
      </w:pPr>
      <w:r>
        <w:rPr>
          <w:rFonts w:hint="eastAsia" w:ascii="方正兰亭黑简体" w:hAnsi="方正兰亭黑简体" w:eastAsia="方正兰亭黑简体" w:cs="方正兰亭黑简体"/>
          <w:b/>
          <w:bCs/>
          <w:color w:val="auto"/>
          <w:kern w:val="0"/>
          <w:sz w:val="22"/>
          <w:szCs w:val="22"/>
          <w:highlight w:val="none"/>
          <w:lang w:val="en-US" w:eastAsia="zh-CN"/>
        </w:rPr>
        <w:t>三</w:t>
      </w:r>
      <w:r>
        <w:rPr>
          <w:rFonts w:hint="default" w:ascii="方正兰亭黑简体" w:hAnsi="方正兰亭黑简体" w:eastAsia="方正兰亭黑简体" w:cs="方正兰亭黑简体"/>
          <w:b/>
          <w:bCs/>
          <w:color w:val="auto"/>
          <w:kern w:val="0"/>
          <w:sz w:val="22"/>
          <w:szCs w:val="22"/>
          <w:highlight w:val="none"/>
          <w:lang w:val="en-US" w:eastAsia="zh-CN"/>
        </w:rPr>
        <w:t>、</w:t>
      </w:r>
      <w:r>
        <w:rPr>
          <w:rFonts w:hint="eastAsia" w:ascii="方正兰亭黑简体" w:hAnsi="方正兰亭黑简体" w:eastAsia="方正兰亭黑简体" w:cs="方正兰亭黑简体"/>
          <w:b/>
          <w:bCs/>
          <w:color w:val="auto"/>
          <w:kern w:val="0"/>
          <w:sz w:val="22"/>
          <w:szCs w:val="22"/>
          <w:highlight w:val="none"/>
          <w:lang w:val="en-US" w:eastAsia="zh-CN"/>
        </w:rPr>
        <w:t>其他要求</w:t>
      </w:r>
    </w:p>
    <w:p w14:paraId="4BC82F22">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zh-CN" w:eastAsia="zh-CN"/>
        </w:rPr>
      </w:pPr>
      <w:r>
        <w:rPr>
          <w:rFonts w:hint="default" w:ascii="Times New Roman" w:hAnsi="Times New Roman" w:eastAsia="方正兰亭黑简体" w:cs="Times New Roman"/>
          <w:color w:val="auto"/>
          <w:kern w:val="0"/>
          <w:sz w:val="22"/>
          <w:szCs w:val="22"/>
          <w:highlight w:val="none"/>
          <w:lang w:val="en-US" w:eastAsia="zh-CN"/>
        </w:rPr>
        <w:t>1.</w:t>
      </w:r>
      <w:r>
        <w:rPr>
          <w:rFonts w:hint="eastAsia" w:ascii="Times New Roman" w:hAnsi="Times New Roman" w:eastAsia="方正兰亭黑简体" w:cs="Times New Roman"/>
          <w:color w:val="auto"/>
          <w:kern w:val="0"/>
          <w:sz w:val="22"/>
          <w:szCs w:val="22"/>
          <w:highlight w:val="none"/>
          <w:lang w:val="zh-CN" w:eastAsia="zh-CN"/>
        </w:rPr>
        <w:t>质保期内提供技术支持；工作时间报障后2小时内响应，需现场处理的故障应在报障后48小时内到场。完成故障诊断、修复及处理记录交付。</w:t>
      </w:r>
    </w:p>
    <w:p w14:paraId="034F062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2.提供不少于2次现场操作及维护培训，覆盖软件使用、配置备份、基础故障排查和安全注意事项。</w:t>
      </w:r>
    </w:p>
    <w:p w14:paraId="590EB7B8">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3.履约验收：</w:t>
      </w:r>
    </w:p>
    <w:p w14:paraId="0FB16A8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采购人按学校相关规定组织验收小组对供应商交付的货物及服务进行验收。供货数量、型号和硬件规格以实物、产品资料及现场检测结果核对；软件功能以交付设备上的实际运行结果和可复现测试记录核对。供应商应按本需求书逐项编制测试用例，明确测试条件、操作步骤、预期结果、实测结果和判定结论。所有核心指标应测试通过，供货数量及资料应完整，功能缺陷应完成整改并复测通过。设备清单、软件授权、测试数据、培训记录和验收材料应一并交付归档。</w:t>
      </w:r>
    </w:p>
    <w:p w14:paraId="418A93F8">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功能测试方案：</w:t>
      </w:r>
    </w:p>
    <w:p w14:paraId="7C5B5906">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（1）在交付控制单元上，以≤100ms的数值步长连续完成至少30min仿真时间，运行四类模式及切换测试，记录各项功率、损耗、平衡残差、SOC、控制指令和运行时间。</w:t>
      </w:r>
    </w:p>
    <w:p w14:paraId="5773236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（2）分别执行负荷阶跃、柴油发电限出力、SOC触及或越过限制、电池不可用和通信中断五类测试，核查功率限制、报警、降级及恢复过程。</w:t>
      </w:r>
    </w:p>
    <w:p w14:paraId="772219BB">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（3）选取同一初始条件重复执行试验两次，核对日志内容及结果文件可正常导出、复核。</w:t>
      </w:r>
    </w:p>
    <w:p w14:paraId="2EA24EFB">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zh-CN" w:eastAsia="zh-CN"/>
        </w:rPr>
        <w:t>（4）通过采购清点确认交付物为控制单元、软件与数字模型，不包括实体电池、电机和驱动系统。</w:t>
      </w:r>
    </w:p>
    <w:p w14:paraId="104324FB">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6F08D747">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第三章 评审办法</w:t>
      </w:r>
    </w:p>
    <w:p w14:paraId="69EFEE19">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w:t>
      </w:r>
      <w:r>
        <w:rPr>
          <w:rFonts w:hint="eastAsia" w:ascii="方正兰亭黑简体" w:hAnsi="方正兰亭黑简体" w:eastAsia="方正兰亭黑简体" w:cs="方正兰亭黑简体"/>
          <w:color w:val="auto"/>
          <w:sz w:val="22"/>
          <w:szCs w:val="28"/>
          <w:highlight w:val="none"/>
          <w:lang w:eastAsia="zh-CN"/>
        </w:rPr>
        <w:t>中标</w:t>
      </w:r>
      <w:r>
        <w:rPr>
          <w:rFonts w:hint="eastAsia" w:ascii="方正兰亭黑简体" w:hAnsi="方正兰亭黑简体" w:eastAsia="方正兰亭黑简体" w:cs="方正兰亭黑简体"/>
          <w:color w:val="auto"/>
          <w:sz w:val="22"/>
          <w:szCs w:val="28"/>
          <w:highlight w:val="none"/>
        </w:rPr>
        <w:t>人的依据。</w:t>
      </w:r>
    </w:p>
    <w:p w14:paraId="117C45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lang w:val="en-US" w:eastAsia="zh-CN"/>
        </w:rPr>
        <w:t>1、成立比选评审小组</w:t>
      </w:r>
    </w:p>
    <w:p w14:paraId="49C58FDA">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w:t>
      </w:r>
      <w:r>
        <w:rPr>
          <w:rFonts w:hint="eastAsia" w:ascii="方正兰亭黑简体" w:hAnsi="方正兰亭黑简体" w:eastAsia="方正兰亭黑简体" w:cs="方正兰亭黑简体"/>
          <w:color w:val="auto"/>
          <w:sz w:val="22"/>
          <w:szCs w:val="28"/>
          <w:highlight w:val="none"/>
          <w:lang w:val="en-US" w:eastAsia="zh-CN"/>
        </w:rPr>
        <w:t>货物与服务</w:t>
      </w:r>
      <w:r>
        <w:rPr>
          <w:rFonts w:hint="eastAsia" w:ascii="方正兰亭黑简体" w:hAnsi="方正兰亭黑简体" w:eastAsia="方正兰亭黑简体" w:cs="方正兰亭黑简体"/>
          <w:color w:val="auto"/>
          <w:sz w:val="22"/>
          <w:szCs w:val="28"/>
          <w:highlight w:val="none"/>
        </w:rPr>
        <w:t>的特点，依</w:t>
      </w:r>
      <w:r>
        <w:rPr>
          <w:rFonts w:hint="eastAsia" w:ascii="方正兰亭黑简体" w:hAnsi="方正兰亭黑简体" w:eastAsia="方正兰亭黑简体" w:cs="方正兰亭黑简体"/>
          <w:color w:val="auto"/>
          <w:sz w:val="22"/>
          <w:szCs w:val="28"/>
          <w:highlight w:val="none"/>
          <w:lang w:val="en-US" w:eastAsia="zh-CN"/>
        </w:rPr>
        <w:t>规</w:t>
      </w:r>
      <w:r>
        <w:rPr>
          <w:rFonts w:hint="eastAsia" w:ascii="方正兰亭黑简体" w:hAnsi="方正兰亭黑简体" w:eastAsia="方正兰亭黑简体" w:cs="方正兰亭黑简体"/>
          <w:color w:val="auto"/>
          <w:sz w:val="22"/>
          <w:szCs w:val="28"/>
          <w:highlight w:val="none"/>
        </w:rPr>
        <w:t>组建比选小组，比选小组由3人或以上的单数组成。</w:t>
      </w:r>
    </w:p>
    <w:p w14:paraId="123C9161">
      <w:pPr>
        <w:numPr>
          <w:ilvl w:val="0"/>
          <w:numId w:val="0"/>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rPr>
        <w:t>具体评分细则如下：</w:t>
      </w:r>
    </w:p>
    <w:tbl>
      <w:tblPr>
        <w:tblStyle w:val="14"/>
        <w:tblW w:w="498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53"/>
        <w:gridCol w:w="1734"/>
        <w:gridCol w:w="713"/>
        <w:gridCol w:w="6830"/>
      </w:tblGrid>
      <w:tr w14:paraId="64002D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742FB554">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序号</w:t>
            </w:r>
          </w:p>
        </w:tc>
        <w:tc>
          <w:tcPr>
            <w:tcW w:w="873" w:type="pct"/>
            <w:noWrap w:val="0"/>
            <w:vAlign w:val="center"/>
          </w:tcPr>
          <w:p w14:paraId="5F54B63A">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评审因素</w:t>
            </w:r>
          </w:p>
        </w:tc>
        <w:tc>
          <w:tcPr>
            <w:tcW w:w="359" w:type="pct"/>
            <w:noWrap w:val="0"/>
            <w:vAlign w:val="center"/>
          </w:tcPr>
          <w:p w14:paraId="25FE165D">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分值</w:t>
            </w:r>
          </w:p>
        </w:tc>
        <w:tc>
          <w:tcPr>
            <w:tcW w:w="3436" w:type="pct"/>
            <w:noWrap w:val="0"/>
            <w:vAlign w:val="center"/>
          </w:tcPr>
          <w:p w14:paraId="1A737473">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评分说明</w:t>
            </w:r>
          </w:p>
        </w:tc>
      </w:tr>
      <w:tr w14:paraId="41C4C7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3FFFCA77">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7E29D1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0CE2961">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873" w:type="pct"/>
            <w:noWrap w:val="0"/>
            <w:vAlign w:val="center"/>
          </w:tcPr>
          <w:p w14:paraId="69DFDD83">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5224EE0B">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4CB6FE5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3436" w:type="pct"/>
            <w:noWrap w:val="0"/>
            <w:vAlign w:val="center"/>
          </w:tcPr>
          <w:p w14:paraId="7EE17ECD">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w:t>
            </w:r>
            <w:r>
              <w:rPr>
                <w:rFonts w:hint="eastAsia" w:ascii="方正兰亭黑简体" w:hAnsi="方正兰亭黑简体" w:eastAsia="方正兰亭黑简体" w:cs="方正兰亭黑简体"/>
                <w:color w:val="auto"/>
                <w:sz w:val="20"/>
                <w:szCs w:val="20"/>
                <w:highlight w:val="none"/>
                <w:lang w:val="en-US" w:eastAsia="zh-CN"/>
              </w:rPr>
              <w:t>比选</w:t>
            </w:r>
            <w:r>
              <w:rPr>
                <w:rFonts w:hint="eastAsia" w:ascii="方正兰亭黑简体" w:hAnsi="方正兰亭黑简体" w:eastAsia="方正兰亭黑简体" w:cs="方正兰亭黑简体"/>
                <w:color w:val="auto"/>
                <w:sz w:val="20"/>
                <w:szCs w:val="20"/>
                <w:highlight w:val="none"/>
              </w:rPr>
              <w:t>文件要求且</w:t>
            </w:r>
            <w:r>
              <w:rPr>
                <w:rFonts w:hint="eastAsia" w:ascii="方正兰亭黑简体" w:hAnsi="方正兰亭黑简体" w:eastAsia="方正兰亭黑简体" w:cs="方正兰亭黑简体"/>
                <w:color w:val="auto"/>
                <w:sz w:val="20"/>
                <w:szCs w:val="20"/>
                <w:highlight w:val="none"/>
                <w:lang w:val="en-US" w:eastAsia="zh-CN"/>
              </w:rPr>
              <w:t>最低</w:t>
            </w:r>
            <w:r>
              <w:rPr>
                <w:rFonts w:hint="eastAsia" w:ascii="方正兰亭黑简体" w:hAnsi="方正兰亭黑简体" w:eastAsia="方正兰亭黑简体" w:cs="方正兰亭黑简体"/>
                <w:color w:val="auto"/>
                <w:sz w:val="20"/>
                <w:szCs w:val="20"/>
                <w:highlight w:val="none"/>
              </w:rPr>
              <w:t>的报价为基准价，其价格分为满分30分。其他报价</w:t>
            </w:r>
            <w:r>
              <w:rPr>
                <w:rFonts w:hint="eastAsia" w:ascii="方正兰亭黑简体" w:hAnsi="方正兰亭黑简体" w:eastAsia="方正兰亭黑简体" w:cs="方正兰亭黑简体"/>
                <w:color w:val="auto"/>
                <w:sz w:val="20"/>
                <w:szCs w:val="20"/>
                <w:highlight w:val="none"/>
                <w:lang w:val="en-US" w:eastAsia="zh-CN"/>
              </w:rPr>
              <w:t>单位</w:t>
            </w:r>
            <w:r>
              <w:rPr>
                <w:rFonts w:hint="eastAsia" w:ascii="方正兰亭黑简体" w:hAnsi="方正兰亭黑简体" w:eastAsia="方正兰亭黑简体" w:cs="方正兰亭黑简体"/>
                <w:color w:val="auto"/>
                <w:sz w:val="20"/>
                <w:szCs w:val="20"/>
                <w:highlight w:val="none"/>
              </w:rPr>
              <w:t>的报价得分计算公式如下：</w:t>
            </w:r>
          </w:p>
          <w:p w14:paraId="00A2DA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报价得分＝30×（评标基准价/投标报价）。</w:t>
            </w:r>
          </w:p>
        </w:tc>
      </w:tr>
      <w:tr w14:paraId="1CE67C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14AC12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技术部分</w:t>
            </w:r>
          </w:p>
        </w:tc>
      </w:tr>
      <w:tr w14:paraId="603C32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9B4451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2</w:t>
            </w:r>
          </w:p>
        </w:tc>
        <w:tc>
          <w:tcPr>
            <w:tcW w:w="873" w:type="pct"/>
            <w:noWrap w:val="0"/>
            <w:vAlign w:val="center"/>
          </w:tcPr>
          <w:p w14:paraId="4BAF216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经验业绩</w:t>
            </w:r>
          </w:p>
          <w:p w14:paraId="654A2B2C">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C2DAE4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1</w:t>
            </w:r>
            <w:r>
              <w:rPr>
                <w:rFonts w:hint="eastAsia" w:ascii="方正兰亭黑简体" w:hAnsi="方正兰亭黑简体" w:eastAsia="方正兰亭黑简体" w:cs="方正兰亭黑简体"/>
                <w:color w:val="auto"/>
                <w:sz w:val="20"/>
                <w:szCs w:val="20"/>
                <w:highlight w:val="none"/>
                <w:lang w:val="en-US" w:eastAsia="zh-CN"/>
              </w:rPr>
              <w:t>5</w:t>
            </w:r>
          </w:p>
        </w:tc>
        <w:tc>
          <w:tcPr>
            <w:tcW w:w="3436" w:type="pct"/>
            <w:noWrap w:val="0"/>
            <w:vAlign w:val="center"/>
          </w:tcPr>
          <w:p w14:paraId="4A5A3383">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提供</w:t>
            </w:r>
            <w:r>
              <w:rPr>
                <w:rFonts w:hint="eastAsia" w:ascii="方正兰亭黑简体" w:hAnsi="方正兰亭黑简体" w:eastAsia="方正兰亭黑简体" w:cs="方正兰亭黑简体"/>
                <w:color w:val="auto"/>
                <w:sz w:val="20"/>
                <w:szCs w:val="20"/>
                <w:highlight w:val="none"/>
              </w:rPr>
              <w:t>近3年（合同签订日期自202</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年</w:t>
            </w:r>
            <w:r>
              <w:rPr>
                <w:rFonts w:hint="eastAsia" w:ascii="方正兰亭黑简体" w:hAnsi="方正兰亭黑简体" w:eastAsia="方正兰亭黑简体" w:cs="方正兰亭黑简体"/>
                <w:color w:val="auto"/>
                <w:sz w:val="20"/>
                <w:szCs w:val="20"/>
                <w:highlight w:val="none"/>
                <w:lang w:val="en-US" w:eastAsia="zh-CN"/>
              </w:rPr>
              <w:t>10</w:t>
            </w:r>
            <w:r>
              <w:rPr>
                <w:rFonts w:hint="eastAsia" w:ascii="方正兰亭黑简体" w:hAnsi="方正兰亭黑简体" w:eastAsia="方正兰亭黑简体" w:cs="方正兰亭黑简体"/>
                <w:color w:val="auto"/>
                <w:sz w:val="20"/>
                <w:szCs w:val="20"/>
                <w:highlight w:val="none"/>
              </w:rPr>
              <w:t>月起至今）</w:t>
            </w:r>
            <w:r>
              <w:rPr>
                <w:rFonts w:hint="eastAsia" w:ascii="方正兰亭黑简体" w:hAnsi="方正兰亭黑简体" w:eastAsia="方正兰亭黑简体" w:cs="方正兰亭黑简体"/>
                <w:color w:val="auto"/>
                <w:sz w:val="20"/>
                <w:szCs w:val="20"/>
                <w:highlight w:val="none"/>
                <w:lang w:val="en-US" w:eastAsia="zh-CN"/>
              </w:rPr>
              <w:t>业绩案例</w:t>
            </w:r>
            <w:r>
              <w:rPr>
                <w:rFonts w:hint="eastAsia" w:ascii="方正兰亭黑简体" w:hAnsi="方正兰亭黑简体" w:eastAsia="方正兰亭黑简体" w:cs="方正兰亭黑简体"/>
                <w:color w:val="auto"/>
                <w:sz w:val="20"/>
                <w:szCs w:val="20"/>
                <w:highlight w:val="none"/>
              </w:rPr>
              <w:t>。（每提供1个得</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分；最高得1</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分）注：需提供相关业绩的合同复印件，否则将不予认可。</w:t>
            </w:r>
          </w:p>
        </w:tc>
      </w:tr>
      <w:tr w14:paraId="4674DA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47D3766">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3</w:t>
            </w:r>
          </w:p>
        </w:tc>
        <w:tc>
          <w:tcPr>
            <w:tcW w:w="873" w:type="pct"/>
            <w:noWrap w:val="0"/>
            <w:vAlign w:val="center"/>
          </w:tcPr>
          <w:p w14:paraId="069DEA50">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技术响应程度</w:t>
            </w:r>
          </w:p>
          <w:p w14:paraId="1793C67A">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0332D36">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30</w:t>
            </w:r>
          </w:p>
        </w:tc>
        <w:tc>
          <w:tcPr>
            <w:tcW w:w="3436" w:type="pct"/>
            <w:shd w:val="clear" w:color="auto" w:fill="auto"/>
            <w:noWrap w:val="0"/>
            <w:vAlign w:val="center"/>
          </w:tcPr>
          <w:p w14:paraId="7461B042">
            <w:pPr>
              <w:spacing w:line="360" w:lineRule="auto"/>
              <w:jc w:val="both"/>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针对第</w:t>
            </w:r>
            <w:r>
              <w:rPr>
                <w:rFonts w:hint="eastAsia" w:ascii="方正兰亭黑简体" w:hAnsi="方正兰亭黑简体" w:eastAsia="方正兰亭黑简体" w:cs="方正兰亭黑简体"/>
                <w:color w:val="auto"/>
                <w:sz w:val="20"/>
                <w:szCs w:val="20"/>
                <w:highlight w:val="none"/>
                <w:lang w:val="en-US" w:eastAsia="zh-CN"/>
              </w:rPr>
              <w:t>二</w:t>
            </w:r>
            <w:r>
              <w:rPr>
                <w:rFonts w:hint="eastAsia" w:ascii="方正兰亭黑简体" w:hAnsi="方正兰亭黑简体" w:eastAsia="方正兰亭黑简体" w:cs="方正兰亭黑简体"/>
                <w:color w:val="auto"/>
                <w:sz w:val="20"/>
                <w:szCs w:val="20"/>
                <w:highlight w:val="none"/>
              </w:rPr>
              <w:t>章中的</w:t>
            </w:r>
            <w:r>
              <w:rPr>
                <w:rFonts w:hint="eastAsia" w:ascii="方正兰亭黑简体" w:hAnsi="方正兰亭黑简体" w:eastAsia="方正兰亭黑简体" w:cs="方正兰亭黑简体"/>
                <w:color w:val="auto"/>
                <w:sz w:val="20"/>
                <w:szCs w:val="20"/>
                <w:highlight w:val="none"/>
                <w:lang w:val="en-US" w:eastAsia="zh-CN"/>
              </w:rPr>
              <w:t>采购需求</w:t>
            </w:r>
            <w:r>
              <w:rPr>
                <w:rFonts w:hint="eastAsia" w:ascii="方正兰亭黑简体" w:hAnsi="方正兰亭黑简体" w:eastAsia="方正兰亭黑简体" w:cs="方正兰亭黑简体"/>
                <w:color w:val="auto"/>
                <w:sz w:val="20"/>
                <w:szCs w:val="20"/>
                <w:highlight w:val="none"/>
              </w:rPr>
              <w:t>：不满足技术条款的，每项扣</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分；扣完为止。</w:t>
            </w:r>
          </w:p>
        </w:tc>
      </w:tr>
      <w:tr w14:paraId="321557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7884245">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4</w:t>
            </w:r>
          </w:p>
        </w:tc>
        <w:tc>
          <w:tcPr>
            <w:tcW w:w="873" w:type="pct"/>
            <w:tcBorders>
              <w:top w:val="single" w:color="auto" w:sz="6" w:space="0"/>
              <w:left w:val="single" w:color="auto" w:sz="6" w:space="0"/>
              <w:bottom w:val="single" w:color="auto" w:sz="6" w:space="0"/>
              <w:right w:val="single" w:color="auto" w:sz="6" w:space="0"/>
            </w:tcBorders>
            <w:noWrap w:val="0"/>
            <w:vAlign w:val="center"/>
          </w:tcPr>
          <w:p w14:paraId="5083A718">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产品性能介绍</w:t>
            </w:r>
          </w:p>
          <w:p w14:paraId="1A5865D0">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3662F0A0">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10</w:t>
            </w:r>
          </w:p>
        </w:tc>
        <w:tc>
          <w:tcPr>
            <w:tcW w:w="3436" w:type="pct"/>
            <w:noWrap w:val="0"/>
            <w:vAlign w:val="center"/>
          </w:tcPr>
          <w:p w14:paraId="37F6985E">
            <w:pPr>
              <w:spacing w:line="360" w:lineRule="auto"/>
              <w:jc w:val="both"/>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8～10</w:t>
            </w:r>
            <w:r>
              <w:rPr>
                <w:rFonts w:hint="eastAsia" w:ascii="方正兰亭黑简体" w:hAnsi="方正兰亭黑简体" w:eastAsia="方正兰亭黑简体" w:cs="方正兰亭黑简体"/>
                <w:color w:val="auto"/>
                <w:sz w:val="20"/>
                <w:szCs w:val="20"/>
                <w:highlight w:val="none"/>
              </w:rPr>
              <w:t>分）：详细介绍了产品的各项性能参数</w:t>
            </w:r>
            <w:r>
              <w:rPr>
                <w:rFonts w:hint="eastAsia" w:ascii="方正兰亭黑简体" w:hAnsi="方正兰亭黑简体" w:eastAsia="方正兰亭黑简体" w:cs="方正兰亭黑简体"/>
                <w:color w:val="auto"/>
                <w:sz w:val="20"/>
                <w:szCs w:val="20"/>
                <w:highlight w:val="none"/>
                <w:lang w:eastAsia="zh-CN"/>
              </w:rPr>
              <w:t>。</w:t>
            </w:r>
          </w:p>
          <w:p w14:paraId="62A7189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5～7</w:t>
            </w:r>
            <w:r>
              <w:rPr>
                <w:rFonts w:hint="eastAsia" w:ascii="方正兰亭黑简体" w:hAnsi="方正兰亭黑简体" w:eastAsia="方正兰亭黑简体" w:cs="方正兰亭黑简体"/>
                <w:color w:val="auto"/>
                <w:sz w:val="20"/>
                <w:szCs w:val="20"/>
                <w:highlight w:val="none"/>
              </w:rPr>
              <w:t>分）：较全面地介绍了产品的性能参数。</w:t>
            </w:r>
          </w:p>
          <w:p w14:paraId="70A493C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2～4</w:t>
            </w:r>
            <w:r>
              <w:rPr>
                <w:rFonts w:hint="eastAsia" w:ascii="方正兰亭黑简体" w:hAnsi="方正兰亭黑简体" w:eastAsia="方正兰亭黑简体" w:cs="方正兰亭黑简体"/>
                <w:color w:val="auto"/>
                <w:sz w:val="20"/>
                <w:szCs w:val="20"/>
                <w:highlight w:val="none"/>
              </w:rPr>
              <w:t>分）：介绍了部分性能参数，但不够全面或详细。</w:t>
            </w:r>
          </w:p>
          <w:p w14:paraId="0BEE09A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1</w:t>
            </w:r>
            <w:r>
              <w:rPr>
                <w:rFonts w:hint="eastAsia" w:ascii="方正兰亭黑简体" w:hAnsi="方正兰亭黑简体" w:eastAsia="方正兰亭黑简体" w:cs="方正兰亭黑简体"/>
                <w:color w:val="auto"/>
                <w:sz w:val="20"/>
                <w:szCs w:val="20"/>
                <w:highlight w:val="none"/>
              </w:rPr>
              <w:t>分）：性能参数介绍不完整或存在明显错误。</w:t>
            </w:r>
          </w:p>
        </w:tc>
      </w:tr>
      <w:tr w14:paraId="261A6E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063649C8">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5</w:t>
            </w:r>
          </w:p>
        </w:tc>
        <w:tc>
          <w:tcPr>
            <w:tcW w:w="873" w:type="pct"/>
            <w:noWrap w:val="0"/>
            <w:vAlign w:val="center"/>
          </w:tcPr>
          <w:p w14:paraId="555CFAE5">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技术支持与</w:t>
            </w:r>
            <w:r>
              <w:rPr>
                <w:rFonts w:hint="eastAsia" w:ascii="方正兰亭黑简体" w:hAnsi="方正兰亭黑简体" w:eastAsia="方正兰亭黑简体" w:cs="方正兰亭黑简体"/>
                <w:color w:val="auto"/>
                <w:sz w:val="20"/>
                <w:szCs w:val="20"/>
                <w:highlight w:val="none"/>
                <w:lang w:val="en-US" w:eastAsia="zh-CN"/>
              </w:rPr>
              <w:t>售后</w:t>
            </w:r>
            <w:r>
              <w:rPr>
                <w:rFonts w:hint="eastAsia" w:ascii="方正兰亭黑简体" w:hAnsi="方正兰亭黑简体" w:eastAsia="方正兰亭黑简体" w:cs="方正兰亭黑简体"/>
                <w:color w:val="auto"/>
                <w:sz w:val="20"/>
                <w:szCs w:val="20"/>
                <w:highlight w:val="none"/>
              </w:rPr>
              <w:t>服务</w:t>
            </w:r>
          </w:p>
          <w:p w14:paraId="1F53F634">
            <w:pPr>
              <w:pStyle w:val="13"/>
              <w:spacing w:line="360" w:lineRule="auto"/>
              <w:ind w:firstLine="200" w:firstLineChars="100"/>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D753253">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15</w:t>
            </w:r>
          </w:p>
        </w:tc>
        <w:tc>
          <w:tcPr>
            <w:tcW w:w="3436" w:type="pct"/>
            <w:noWrap w:val="0"/>
            <w:vAlign w:val="center"/>
          </w:tcPr>
          <w:p w14:paraId="566D5B29">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12～15</w:t>
            </w:r>
            <w:r>
              <w:rPr>
                <w:rFonts w:hint="eastAsia" w:ascii="方正兰亭黑简体" w:hAnsi="方正兰亭黑简体" w:eastAsia="方正兰亭黑简体" w:cs="方正兰亭黑简体"/>
                <w:color w:val="auto"/>
                <w:sz w:val="20"/>
                <w:szCs w:val="20"/>
                <w:highlight w:val="none"/>
              </w:rPr>
              <w:t>分）：提供了详尽的技术支持方案</w:t>
            </w:r>
            <w:r>
              <w:rPr>
                <w:rFonts w:hint="eastAsia" w:ascii="方正兰亭黑简体" w:hAnsi="方正兰亭黑简体" w:eastAsia="方正兰亭黑简体" w:cs="方正兰亭黑简体"/>
                <w:color w:val="auto"/>
                <w:sz w:val="20"/>
                <w:szCs w:val="20"/>
                <w:highlight w:val="none"/>
                <w:lang w:val="en-US" w:eastAsia="zh-CN"/>
              </w:rPr>
              <w:t>以及售后服务方案</w:t>
            </w:r>
            <w:r>
              <w:rPr>
                <w:rFonts w:hint="eastAsia" w:ascii="方正兰亭黑简体" w:hAnsi="方正兰亭黑简体" w:eastAsia="方正兰亭黑简体" w:cs="方正兰亭黑简体"/>
                <w:color w:val="auto"/>
                <w:sz w:val="20"/>
                <w:szCs w:val="20"/>
                <w:highlight w:val="none"/>
              </w:rPr>
              <w:t>，包括快速响应机制、服务承诺等。</w:t>
            </w:r>
          </w:p>
          <w:p w14:paraId="1B65085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8～11</w:t>
            </w:r>
            <w:r>
              <w:rPr>
                <w:rFonts w:hint="eastAsia" w:ascii="方正兰亭黑简体" w:hAnsi="方正兰亭黑简体" w:eastAsia="方正兰亭黑简体" w:cs="方正兰亭黑简体"/>
                <w:color w:val="auto"/>
                <w:sz w:val="20"/>
                <w:szCs w:val="20"/>
                <w:highlight w:val="none"/>
              </w:rPr>
              <w:t>分）：提供了较为全面的技术支持方案</w:t>
            </w:r>
            <w:r>
              <w:rPr>
                <w:rFonts w:hint="eastAsia" w:ascii="方正兰亭黑简体" w:hAnsi="方正兰亭黑简体" w:eastAsia="方正兰亭黑简体" w:cs="方正兰亭黑简体"/>
                <w:color w:val="auto"/>
                <w:sz w:val="20"/>
                <w:szCs w:val="20"/>
                <w:highlight w:val="none"/>
                <w:lang w:val="en-US" w:eastAsia="zh-CN"/>
              </w:rPr>
              <w:t>和售后服务方案</w:t>
            </w:r>
            <w:r>
              <w:rPr>
                <w:rFonts w:hint="eastAsia" w:ascii="方正兰亭黑简体" w:hAnsi="方正兰亭黑简体" w:eastAsia="方正兰亭黑简体" w:cs="方正兰亭黑简体"/>
                <w:color w:val="auto"/>
                <w:sz w:val="20"/>
                <w:szCs w:val="20"/>
                <w:highlight w:val="none"/>
              </w:rPr>
              <w:t>，但计划不够详细。</w:t>
            </w:r>
          </w:p>
          <w:p w14:paraId="2E6A021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4～7</w:t>
            </w:r>
            <w:r>
              <w:rPr>
                <w:rFonts w:hint="eastAsia" w:ascii="方正兰亭黑简体" w:hAnsi="方正兰亭黑简体" w:eastAsia="方正兰亭黑简体" w:cs="方正兰亭黑简体"/>
                <w:color w:val="auto"/>
                <w:sz w:val="20"/>
                <w:szCs w:val="20"/>
                <w:highlight w:val="none"/>
              </w:rPr>
              <w:t>分）：方案较为简单，缺乏</w:t>
            </w:r>
            <w:r>
              <w:rPr>
                <w:rFonts w:hint="eastAsia" w:ascii="方正兰亭黑简体" w:hAnsi="方正兰亭黑简体" w:eastAsia="方正兰亭黑简体" w:cs="方正兰亭黑简体"/>
                <w:color w:val="auto"/>
                <w:sz w:val="20"/>
                <w:szCs w:val="20"/>
                <w:highlight w:val="none"/>
                <w:lang w:val="en-US" w:eastAsia="zh-CN"/>
              </w:rPr>
              <w:t>具体的</w:t>
            </w:r>
            <w:r>
              <w:rPr>
                <w:rFonts w:hint="eastAsia" w:ascii="方正兰亭黑简体" w:hAnsi="方正兰亭黑简体" w:eastAsia="方正兰亭黑简体" w:cs="方正兰亭黑简体"/>
                <w:color w:val="auto"/>
                <w:sz w:val="20"/>
                <w:szCs w:val="20"/>
                <w:highlight w:val="none"/>
              </w:rPr>
              <w:t>计划。</w:t>
            </w:r>
          </w:p>
          <w:p w14:paraId="4BA27702">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分）：未提供技术支持方案或售后服务承诺。</w:t>
            </w:r>
          </w:p>
        </w:tc>
      </w:tr>
    </w:tbl>
    <w:p w14:paraId="71E5B026">
      <w:pPr>
        <w:jc w:val="center"/>
        <w:rPr>
          <w:rFonts w:hint="eastAsia" w:ascii="方正兰亭黑简体" w:hAnsi="方正兰亭黑简体" w:eastAsia="方正兰亭黑简体" w:cs="方正兰亭黑简体"/>
          <w:b/>
          <w:bCs/>
          <w:color w:val="auto"/>
          <w:sz w:val="24"/>
          <w:szCs w:val="32"/>
          <w:highlight w:val="none"/>
          <w:lang w:val="en-US" w:eastAsia="zh-CN"/>
        </w:rPr>
        <w:sectPr>
          <w:footerReference r:id="rId3" w:type="default"/>
          <w:type w:val="continuous"/>
          <w:pgSz w:w="11906" w:h="16838"/>
          <w:pgMar w:top="1440" w:right="1080" w:bottom="1440" w:left="1080" w:header="851" w:footer="992" w:gutter="0"/>
          <w:pgNumType w:fmt="decimal"/>
          <w:cols w:space="425" w:num="1"/>
          <w:docGrid w:type="lines" w:linePitch="312" w:charSpace="0"/>
        </w:sectPr>
      </w:pPr>
    </w:p>
    <w:p w14:paraId="3E74C2BD">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第四章 格式附件</w:t>
      </w:r>
    </w:p>
    <w:p w14:paraId="636BB61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附件1：报价单</w:t>
      </w:r>
    </w:p>
    <w:p w14:paraId="52D9A168">
      <w:pPr>
        <w:spacing w:line="440" w:lineRule="exact"/>
        <w:jc w:val="center"/>
        <w:rPr>
          <w:rFonts w:hint="default" w:ascii="宋体" w:hAnsi="宋体" w:eastAsia="宋体"/>
          <w:color w:val="auto"/>
          <w:sz w:val="24"/>
          <w:highlight w:val="none"/>
          <w:lang w:val="en-US" w:eastAsia="zh-CN"/>
        </w:rPr>
      </w:pPr>
      <w:r>
        <w:rPr>
          <w:rFonts w:hint="eastAsia" w:ascii="黑体" w:hAnsi="华文楷体" w:eastAsia="黑体"/>
          <w:b/>
          <w:color w:val="auto"/>
          <w:sz w:val="36"/>
          <w:szCs w:val="36"/>
          <w:highlight w:val="none"/>
        </w:rPr>
        <w:t>报   价   单</w:t>
      </w:r>
    </w:p>
    <w:p w14:paraId="50E6B72B">
      <w:pPr>
        <w:spacing w:line="440" w:lineRule="exact"/>
        <w:jc w:val="left"/>
        <w:rPr>
          <w:rFonts w:hint="default" w:ascii="黑体" w:hAnsi="华文楷体" w:eastAsia="黑体"/>
          <w:color w:val="auto"/>
          <w:sz w:val="24"/>
          <w:highlight w:val="none"/>
          <w:lang w:val="en-US" w:eastAsia="zh-CN"/>
        </w:rPr>
      </w:pPr>
      <w:r>
        <w:rPr>
          <w:rFonts w:hint="eastAsia" w:ascii="黑体" w:hAnsi="华文楷体" w:eastAsia="黑体"/>
          <w:b/>
          <w:color w:val="auto"/>
          <w:sz w:val="24"/>
          <w:highlight w:val="none"/>
        </w:rPr>
        <w:t xml:space="preserve">TO: </w:t>
      </w:r>
      <w:r>
        <w:rPr>
          <w:rFonts w:hint="eastAsia" w:ascii="黑体" w:hAnsi="华文楷体" w:eastAsia="黑体"/>
          <w:color w:val="auto"/>
          <w:sz w:val="24"/>
          <w:highlight w:val="none"/>
        </w:rPr>
        <w:t xml:space="preserve"> 上海海事大学 </w:t>
      </w:r>
      <w:r>
        <w:rPr>
          <w:rFonts w:hint="eastAsia" w:ascii="黑体" w:hAnsi="华文楷体" w:eastAsia="黑体"/>
          <w:color w:val="auto"/>
          <w:sz w:val="24"/>
          <w:highlight w:val="none"/>
          <w:lang w:val="en-US" w:eastAsia="zh-CN"/>
        </w:rPr>
        <w:t>采购与招投标管理中心</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r>
        <w:rPr>
          <w:rFonts w:hint="eastAsia" w:ascii="黑体" w:hAnsi="华文楷体" w:eastAsia="黑体"/>
          <w:color w:val="auto"/>
          <w:sz w:val="24"/>
          <w:highlight w:val="none"/>
          <w:lang w:val="en-US" w:eastAsia="zh-CN"/>
        </w:rPr>
        <w:t>项目编号：HFBX2026112</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p>
    <w:p w14:paraId="192C9FAF">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rFonts w:ascii="黑体" w:hAnsi="华文楷体" w:eastAsia="黑体"/>
          <w:b/>
          <w:color w:val="auto"/>
          <w:sz w:val="24"/>
          <w:highlight w:val="none"/>
        </w:rPr>
        <w:fldChar w:fldCharType="begin"/>
      </w:r>
      <w:r>
        <w:rPr>
          <w:rFonts w:ascii="黑体" w:hAnsi="华文楷体" w:eastAsia="黑体"/>
          <w:b/>
          <w:color w:val="auto"/>
          <w:sz w:val="24"/>
          <w:highlight w:val="none"/>
        </w:rPr>
        <w:instrText xml:space="preserve"> HYPERLINK "mailto:quotation@shmtu.edu.cn" </w:instrText>
      </w:r>
      <w:r>
        <w:rPr>
          <w:rFonts w:ascii="黑体" w:hAnsi="华文楷体" w:eastAsia="黑体"/>
          <w:b/>
          <w:color w:val="auto"/>
          <w:sz w:val="24"/>
          <w:highlight w:val="none"/>
        </w:rPr>
        <w:fldChar w:fldCharType="separate"/>
      </w:r>
      <w:r>
        <w:rPr>
          <w:rStyle w:val="18"/>
          <w:rFonts w:ascii="黑体" w:hAnsi="华文楷体" w:eastAsia="黑体"/>
          <w:b/>
          <w:color w:val="auto"/>
          <w:sz w:val="24"/>
          <w:highlight w:val="none"/>
        </w:rPr>
        <w:t>quotation@shmtu.edu.cn</w:t>
      </w:r>
      <w:r>
        <w:rPr>
          <w:rFonts w:ascii="黑体" w:hAnsi="华文楷体" w:eastAsia="黑体"/>
          <w:b/>
          <w:color w:val="auto"/>
          <w:sz w:val="24"/>
          <w:highlight w:val="none"/>
        </w:rPr>
        <w:fldChar w:fldCharType="end"/>
      </w:r>
    </w:p>
    <w:p w14:paraId="1D25A65B">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color w:val="auto"/>
          <w:sz w:val="24"/>
          <w:highlight w:val="none"/>
        </w:rPr>
        <w:t xml:space="preserve">                                                </w:t>
      </w:r>
      <w:r>
        <w:rPr>
          <w:rFonts w:hint="eastAsia" w:ascii="黑体" w:hAnsi="华文楷体" w:eastAsia="黑体"/>
          <w:b/>
          <w:color w:val="auto"/>
          <w:sz w:val="24"/>
          <w:highlight w:val="none"/>
        </w:rPr>
        <w:t>联系人：</w:t>
      </w:r>
    </w:p>
    <w:p w14:paraId="0416696A">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电子邮箱：                                                公司地址：</w:t>
      </w:r>
    </w:p>
    <w:p w14:paraId="096E10B9">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                                                    联系人手机：</w:t>
      </w:r>
    </w:p>
    <w:p w14:paraId="35F2988C">
      <w:pPr>
        <w:spacing w:line="440" w:lineRule="exact"/>
        <w:rPr>
          <w:rFonts w:hint="eastAsia" w:ascii="黑体" w:hAnsi="华文楷体" w:eastAsia="黑体"/>
          <w:b/>
          <w:color w:val="auto"/>
          <w:sz w:val="24"/>
          <w:highlight w:val="none"/>
        </w:rPr>
      </w:pP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2062"/>
        <w:gridCol w:w="971"/>
        <w:gridCol w:w="1463"/>
        <w:gridCol w:w="581"/>
        <w:gridCol w:w="876"/>
        <w:gridCol w:w="876"/>
        <w:gridCol w:w="1230"/>
        <w:gridCol w:w="1397"/>
      </w:tblGrid>
      <w:tr w14:paraId="4814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single" w:color="auto" w:sz="12" w:space="0"/>
              <w:left w:val="single" w:color="auto" w:sz="12" w:space="0"/>
              <w:bottom w:val="double" w:color="auto" w:sz="4" w:space="0"/>
            </w:tcBorders>
            <w:noWrap w:val="0"/>
            <w:vAlign w:val="center"/>
          </w:tcPr>
          <w:p w14:paraId="67E9217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序号</w:t>
            </w:r>
          </w:p>
        </w:tc>
        <w:tc>
          <w:tcPr>
            <w:tcW w:w="1036" w:type="pct"/>
            <w:tcBorders>
              <w:top w:val="single" w:color="auto" w:sz="12" w:space="0"/>
              <w:bottom w:val="double" w:color="auto" w:sz="4" w:space="0"/>
            </w:tcBorders>
            <w:noWrap w:val="0"/>
            <w:vAlign w:val="center"/>
          </w:tcPr>
          <w:p w14:paraId="5FFC86E8">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产品名称</w:t>
            </w:r>
          </w:p>
        </w:tc>
        <w:tc>
          <w:tcPr>
            <w:tcW w:w="488" w:type="pct"/>
            <w:tcBorders>
              <w:top w:val="single" w:color="auto" w:sz="12" w:space="0"/>
              <w:bottom w:val="double" w:color="auto" w:sz="4" w:space="0"/>
            </w:tcBorders>
            <w:noWrap w:val="0"/>
            <w:vAlign w:val="center"/>
          </w:tcPr>
          <w:p w14:paraId="5F8969C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品牌</w:t>
            </w:r>
          </w:p>
        </w:tc>
        <w:tc>
          <w:tcPr>
            <w:tcW w:w="733" w:type="pct"/>
            <w:tcBorders>
              <w:top w:val="single" w:color="auto" w:sz="12" w:space="0"/>
              <w:bottom w:val="double" w:color="auto" w:sz="4" w:space="0"/>
            </w:tcBorders>
            <w:noWrap w:val="0"/>
            <w:vAlign w:val="center"/>
          </w:tcPr>
          <w:p w14:paraId="16AB36D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型号规格</w:t>
            </w:r>
          </w:p>
        </w:tc>
        <w:tc>
          <w:tcPr>
            <w:tcW w:w="292" w:type="pct"/>
            <w:tcBorders>
              <w:top w:val="single" w:color="auto" w:sz="12" w:space="0"/>
              <w:bottom w:val="double" w:color="auto" w:sz="4" w:space="0"/>
            </w:tcBorders>
            <w:noWrap w:val="0"/>
            <w:vAlign w:val="center"/>
          </w:tcPr>
          <w:p w14:paraId="7A41A9B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数量</w:t>
            </w:r>
          </w:p>
        </w:tc>
        <w:tc>
          <w:tcPr>
            <w:tcW w:w="440" w:type="pct"/>
            <w:tcBorders>
              <w:top w:val="single" w:color="auto" w:sz="12" w:space="0"/>
              <w:bottom w:val="double" w:color="auto" w:sz="4" w:space="0"/>
            </w:tcBorders>
            <w:noWrap w:val="0"/>
            <w:vAlign w:val="center"/>
          </w:tcPr>
          <w:p w14:paraId="22044959">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单价</w:t>
            </w:r>
          </w:p>
        </w:tc>
        <w:tc>
          <w:tcPr>
            <w:tcW w:w="440" w:type="pct"/>
            <w:tcBorders>
              <w:top w:val="single" w:color="auto" w:sz="12" w:space="0"/>
              <w:bottom w:val="double" w:color="auto" w:sz="4" w:space="0"/>
            </w:tcBorders>
            <w:noWrap w:val="0"/>
            <w:vAlign w:val="center"/>
          </w:tcPr>
          <w:p w14:paraId="61A1F83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金额</w:t>
            </w:r>
          </w:p>
        </w:tc>
        <w:tc>
          <w:tcPr>
            <w:tcW w:w="618" w:type="pct"/>
            <w:tcBorders>
              <w:top w:val="single" w:color="auto" w:sz="12" w:space="0"/>
              <w:bottom w:val="double" w:color="auto" w:sz="4" w:space="0"/>
            </w:tcBorders>
            <w:noWrap w:val="0"/>
            <w:vAlign w:val="center"/>
          </w:tcPr>
          <w:p w14:paraId="2F9A1E62">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质保时间</w:t>
            </w:r>
          </w:p>
        </w:tc>
        <w:tc>
          <w:tcPr>
            <w:tcW w:w="700" w:type="pct"/>
            <w:tcBorders>
              <w:top w:val="single" w:color="auto" w:sz="12" w:space="0"/>
              <w:bottom w:val="double" w:color="auto" w:sz="4" w:space="0"/>
              <w:right w:val="single" w:color="auto" w:sz="12" w:space="0"/>
            </w:tcBorders>
            <w:noWrap w:val="0"/>
            <w:vAlign w:val="center"/>
          </w:tcPr>
          <w:p w14:paraId="09E42E8D">
            <w:pPr>
              <w:spacing w:line="440" w:lineRule="exact"/>
              <w:jc w:val="center"/>
              <w:rPr>
                <w:rFonts w:hint="eastAsia" w:ascii="黑体" w:hAnsi="华文楷体" w:eastAsia="黑体"/>
                <w:color w:val="auto"/>
                <w:kern w:val="0"/>
                <w:sz w:val="24"/>
                <w:highlight w:val="none"/>
                <w:lang w:eastAsia="zh-CN"/>
              </w:rPr>
            </w:pPr>
            <w:r>
              <w:rPr>
                <w:rFonts w:ascii="黑体" w:hAnsi="华文楷体" w:eastAsia="黑体"/>
                <w:color w:val="auto"/>
                <w:kern w:val="0"/>
                <w:sz w:val="24"/>
                <w:highlight w:val="none"/>
              </w:rPr>
              <w:t>最快供货</w:t>
            </w:r>
            <w:r>
              <w:rPr>
                <w:rFonts w:hint="eastAsia" w:ascii="黑体" w:hAnsi="华文楷体" w:eastAsia="黑体"/>
                <w:color w:val="auto"/>
                <w:kern w:val="0"/>
                <w:sz w:val="24"/>
                <w:highlight w:val="none"/>
                <w:lang w:val="en-US" w:eastAsia="zh-CN"/>
              </w:rPr>
              <w:t>时间</w:t>
            </w:r>
          </w:p>
        </w:tc>
      </w:tr>
      <w:tr w14:paraId="6076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double" w:color="auto" w:sz="4" w:space="0"/>
              <w:left w:val="single" w:color="auto" w:sz="12" w:space="0"/>
            </w:tcBorders>
            <w:noWrap w:val="0"/>
            <w:vAlign w:val="top"/>
          </w:tcPr>
          <w:p w14:paraId="6904F50E">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1</w:t>
            </w:r>
          </w:p>
        </w:tc>
        <w:tc>
          <w:tcPr>
            <w:tcW w:w="1036" w:type="pct"/>
            <w:tcBorders>
              <w:top w:val="double" w:color="auto" w:sz="4" w:space="0"/>
            </w:tcBorders>
            <w:noWrap w:val="0"/>
            <w:vAlign w:val="center"/>
          </w:tcPr>
          <w:p w14:paraId="2716FB82">
            <w:pPr>
              <w:ind w:left="-63" w:leftChars="-30" w:right="-63" w:rightChars="-30"/>
              <w:jc w:val="center"/>
              <w:rPr>
                <w:rFonts w:hint="eastAsia" w:ascii="宋体" w:hAnsi="宋体" w:cs="宋体"/>
                <w:color w:val="auto"/>
                <w:sz w:val="18"/>
                <w:szCs w:val="18"/>
                <w:highlight w:val="none"/>
              </w:rPr>
            </w:pPr>
          </w:p>
        </w:tc>
        <w:tc>
          <w:tcPr>
            <w:tcW w:w="488" w:type="pct"/>
            <w:tcBorders>
              <w:top w:val="double" w:color="auto" w:sz="4" w:space="0"/>
            </w:tcBorders>
            <w:noWrap w:val="0"/>
            <w:vAlign w:val="top"/>
          </w:tcPr>
          <w:p w14:paraId="68C63CC3">
            <w:pPr>
              <w:spacing w:line="440" w:lineRule="exact"/>
              <w:jc w:val="center"/>
              <w:rPr>
                <w:rFonts w:ascii="方正仿宋_GB2312" w:hAnsi="华文楷体" w:eastAsia="方正仿宋_GB2312"/>
                <w:color w:val="auto"/>
                <w:kern w:val="0"/>
                <w:sz w:val="24"/>
                <w:highlight w:val="none"/>
              </w:rPr>
            </w:pPr>
          </w:p>
        </w:tc>
        <w:tc>
          <w:tcPr>
            <w:tcW w:w="733" w:type="pct"/>
            <w:tcBorders>
              <w:top w:val="double" w:color="auto" w:sz="4" w:space="0"/>
            </w:tcBorders>
            <w:noWrap w:val="0"/>
            <w:vAlign w:val="top"/>
          </w:tcPr>
          <w:p w14:paraId="2062DBEC">
            <w:pPr>
              <w:spacing w:line="440" w:lineRule="exact"/>
              <w:jc w:val="center"/>
              <w:rPr>
                <w:rFonts w:ascii="方正仿宋_GB2312" w:hAnsi="华文楷体" w:eastAsia="方正仿宋_GB2312"/>
                <w:color w:val="auto"/>
                <w:kern w:val="0"/>
                <w:sz w:val="24"/>
                <w:highlight w:val="none"/>
              </w:rPr>
            </w:pPr>
          </w:p>
        </w:tc>
        <w:tc>
          <w:tcPr>
            <w:tcW w:w="292" w:type="pct"/>
            <w:tcBorders>
              <w:top w:val="double" w:color="auto" w:sz="4" w:space="0"/>
            </w:tcBorders>
            <w:noWrap w:val="0"/>
            <w:vAlign w:val="top"/>
          </w:tcPr>
          <w:p w14:paraId="5576A539">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3366DAB2">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45D03D7C">
            <w:pPr>
              <w:spacing w:line="440" w:lineRule="exact"/>
              <w:jc w:val="center"/>
              <w:rPr>
                <w:rFonts w:ascii="方正仿宋_GB2312" w:hAnsi="华文楷体" w:eastAsia="方正仿宋_GB2312"/>
                <w:color w:val="auto"/>
                <w:kern w:val="0"/>
                <w:sz w:val="24"/>
                <w:highlight w:val="none"/>
              </w:rPr>
            </w:pPr>
          </w:p>
        </w:tc>
        <w:tc>
          <w:tcPr>
            <w:tcW w:w="618" w:type="pct"/>
            <w:tcBorders>
              <w:top w:val="double" w:color="auto" w:sz="4" w:space="0"/>
            </w:tcBorders>
            <w:noWrap w:val="0"/>
            <w:vAlign w:val="top"/>
          </w:tcPr>
          <w:p w14:paraId="014679F0">
            <w:pPr>
              <w:spacing w:line="440" w:lineRule="exact"/>
              <w:jc w:val="center"/>
              <w:rPr>
                <w:rFonts w:ascii="方正仿宋_GB2312" w:hAnsi="华文楷体" w:eastAsia="方正仿宋_GB2312"/>
                <w:color w:val="auto"/>
                <w:kern w:val="0"/>
                <w:sz w:val="24"/>
                <w:highlight w:val="none"/>
              </w:rPr>
            </w:pPr>
          </w:p>
        </w:tc>
        <w:tc>
          <w:tcPr>
            <w:tcW w:w="700" w:type="pct"/>
            <w:tcBorders>
              <w:top w:val="double" w:color="auto" w:sz="4" w:space="0"/>
              <w:right w:val="single" w:color="auto" w:sz="12" w:space="0"/>
            </w:tcBorders>
            <w:noWrap w:val="0"/>
            <w:vAlign w:val="top"/>
          </w:tcPr>
          <w:p w14:paraId="605E89B2">
            <w:pPr>
              <w:spacing w:line="440" w:lineRule="exact"/>
              <w:jc w:val="center"/>
              <w:rPr>
                <w:rFonts w:ascii="方正仿宋_GB2312" w:hAnsi="华文楷体" w:eastAsia="方正仿宋_GB2312"/>
                <w:color w:val="auto"/>
                <w:kern w:val="0"/>
                <w:sz w:val="24"/>
                <w:highlight w:val="none"/>
              </w:rPr>
            </w:pPr>
          </w:p>
        </w:tc>
      </w:tr>
      <w:tr w14:paraId="3238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tcBorders>
            <w:noWrap w:val="0"/>
            <w:vAlign w:val="top"/>
          </w:tcPr>
          <w:p w14:paraId="29977C73">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2</w:t>
            </w:r>
          </w:p>
        </w:tc>
        <w:tc>
          <w:tcPr>
            <w:tcW w:w="1036" w:type="pct"/>
            <w:noWrap w:val="0"/>
            <w:vAlign w:val="center"/>
          </w:tcPr>
          <w:p w14:paraId="2866E2D0">
            <w:pPr>
              <w:ind w:left="-63" w:leftChars="-30" w:right="-63" w:rightChars="-30"/>
              <w:jc w:val="center"/>
              <w:rPr>
                <w:rFonts w:hint="eastAsia" w:ascii="宋体" w:hAnsi="宋体" w:cs="宋体"/>
                <w:color w:val="auto"/>
                <w:sz w:val="18"/>
                <w:szCs w:val="18"/>
                <w:highlight w:val="none"/>
              </w:rPr>
            </w:pPr>
          </w:p>
        </w:tc>
        <w:tc>
          <w:tcPr>
            <w:tcW w:w="488" w:type="pct"/>
            <w:noWrap w:val="0"/>
            <w:vAlign w:val="top"/>
          </w:tcPr>
          <w:p w14:paraId="0669C2FF">
            <w:pPr>
              <w:spacing w:line="440" w:lineRule="exact"/>
              <w:jc w:val="center"/>
              <w:rPr>
                <w:rFonts w:ascii="方正仿宋_GB2312" w:hAnsi="华文楷体" w:eastAsia="方正仿宋_GB2312"/>
                <w:color w:val="auto"/>
                <w:kern w:val="0"/>
                <w:sz w:val="24"/>
                <w:highlight w:val="none"/>
              </w:rPr>
            </w:pPr>
          </w:p>
        </w:tc>
        <w:tc>
          <w:tcPr>
            <w:tcW w:w="733" w:type="pct"/>
            <w:noWrap w:val="0"/>
            <w:vAlign w:val="top"/>
          </w:tcPr>
          <w:p w14:paraId="4D504156">
            <w:pPr>
              <w:spacing w:line="440" w:lineRule="exact"/>
              <w:jc w:val="center"/>
              <w:rPr>
                <w:rFonts w:ascii="方正仿宋_GB2312" w:hAnsi="华文楷体" w:eastAsia="方正仿宋_GB2312"/>
                <w:color w:val="auto"/>
                <w:kern w:val="0"/>
                <w:sz w:val="24"/>
                <w:highlight w:val="none"/>
              </w:rPr>
            </w:pPr>
          </w:p>
        </w:tc>
        <w:tc>
          <w:tcPr>
            <w:tcW w:w="292" w:type="pct"/>
            <w:noWrap w:val="0"/>
            <w:vAlign w:val="top"/>
          </w:tcPr>
          <w:p w14:paraId="74F4D8E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2757136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45E1288F">
            <w:pPr>
              <w:spacing w:line="440" w:lineRule="exact"/>
              <w:jc w:val="center"/>
              <w:rPr>
                <w:rFonts w:ascii="方正仿宋_GB2312" w:hAnsi="华文楷体" w:eastAsia="方正仿宋_GB2312"/>
                <w:color w:val="auto"/>
                <w:kern w:val="0"/>
                <w:sz w:val="24"/>
                <w:highlight w:val="none"/>
              </w:rPr>
            </w:pPr>
          </w:p>
        </w:tc>
        <w:tc>
          <w:tcPr>
            <w:tcW w:w="618" w:type="pct"/>
            <w:noWrap w:val="0"/>
            <w:vAlign w:val="top"/>
          </w:tcPr>
          <w:p w14:paraId="5DDB1CC9">
            <w:pPr>
              <w:spacing w:line="440" w:lineRule="exact"/>
              <w:jc w:val="center"/>
              <w:rPr>
                <w:rFonts w:ascii="方正仿宋_GB2312" w:hAnsi="华文楷体" w:eastAsia="方正仿宋_GB2312"/>
                <w:color w:val="auto"/>
                <w:kern w:val="0"/>
                <w:sz w:val="24"/>
                <w:highlight w:val="none"/>
              </w:rPr>
            </w:pPr>
          </w:p>
        </w:tc>
        <w:tc>
          <w:tcPr>
            <w:tcW w:w="700" w:type="pct"/>
            <w:tcBorders>
              <w:right w:val="single" w:color="auto" w:sz="12" w:space="0"/>
            </w:tcBorders>
            <w:noWrap w:val="0"/>
            <w:vAlign w:val="top"/>
          </w:tcPr>
          <w:p w14:paraId="6BB70514">
            <w:pPr>
              <w:spacing w:line="440" w:lineRule="exact"/>
              <w:jc w:val="center"/>
              <w:rPr>
                <w:rFonts w:ascii="方正仿宋_GB2312" w:hAnsi="华文楷体" w:eastAsia="方正仿宋_GB2312"/>
                <w:color w:val="auto"/>
                <w:kern w:val="0"/>
                <w:sz w:val="24"/>
                <w:highlight w:val="none"/>
              </w:rPr>
            </w:pPr>
          </w:p>
        </w:tc>
      </w:tr>
      <w:tr w14:paraId="6692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5E49ACAD">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3</w:t>
            </w:r>
          </w:p>
        </w:tc>
        <w:tc>
          <w:tcPr>
            <w:tcW w:w="1036" w:type="pct"/>
            <w:tcBorders>
              <w:bottom w:val="single" w:color="auto" w:sz="4" w:space="0"/>
            </w:tcBorders>
            <w:noWrap w:val="0"/>
            <w:vAlign w:val="center"/>
          </w:tcPr>
          <w:p w14:paraId="2D958EE1">
            <w:pPr>
              <w:ind w:left="-42" w:leftChars="-20" w:right="-42" w:rightChars="-20"/>
              <w:jc w:val="center"/>
              <w:rPr>
                <w:rFonts w:hint="eastAsia" w:ascii="宋体" w:hAnsi="宋体" w:cs="宋体"/>
                <w:color w:val="auto"/>
                <w:sz w:val="18"/>
                <w:szCs w:val="18"/>
                <w:highlight w:val="none"/>
              </w:rPr>
            </w:pPr>
          </w:p>
        </w:tc>
        <w:tc>
          <w:tcPr>
            <w:tcW w:w="488" w:type="pct"/>
            <w:tcBorders>
              <w:bottom w:val="single" w:color="auto" w:sz="4" w:space="0"/>
            </w:tcBorders>
            <w:noWrap w:val="0"/>
            <w:vAlign w:val="top"/>
          </w:tcPr>
          <w:p w14:paraId="6B0A81D6">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58841A2F">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6802B6E">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ECBBA3C">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47E5F99">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5140F715">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7F3F6EF0">
            <w:pPr>
              <w:spacing w:line="440" w:lineRule="exact"/>
              <w:jc w:val="center"/>
              <w:rPr>
                <w:rFonts w:ascii="方正仿宋_GB2312" w:hAnsi="华文楷体" w:eastAsia="方正仿宋_GB2312"/>
                <w:color w:val="auto"/>
                <w:kern w:val="0"/>
                <w:sz w:val="24"/>
                <w:highlight w:val="none"/>
              </w:rPr>
            </w:pPr>
          </w:p>
        </w:tc>
      </w:tr>
      <w:tr w14:paraId="5A9D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22131CE2">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4</w:t>
            </w:r>
          </w:p>
        </w:tc>
        <w:tc>
          <w:tcPr>
            <w:tcW w:w="1036" w:type="pct"/>
            <w:tcBorders>
              <w:bottom w:val="single" w:color="auto" w:sz="4" w:space="0"/>
            </w:tcBorders>
            <w:noWrap w:val="0"/>
            <w:vAlign w:val="top"/>
          </w:tcPr>
          <w:p w14:paraId="6938BE08">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CD1A541">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337FC11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3C03B4F1">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47DA722A">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6A33D3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1F0F09">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0B4D1DA3">
            <w:pPr>
              <w:spacing w:line="440" w:lineRule="exact"/>
              <w:jc w:val="center"/>
              <w:rPr>
                <w:rFonts w:ascii="方正仿宋_GB2312" w:hAnsi="华文楷体" w:eastAsia="方正仿宋_GB2312"/>
                <w:color w:val="auto"/>
                <w:kern w:val="0"/>
                <w:sz w:val="24"/>
                <w:highlight w:val="none"/>
              </w:rPr>
            </w:pPr>
          </w:p>
        </w:tc>
      </w:tr>
      <w:tr w14:paraId="72A1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6A9F333C">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5</w:t>
            </w:r>
          </w:p>
        </w:tc>
        <w:tc>
          <w:tcPr>
            <w:tcW w:w="1036" w:type="pct"/>
            <w:tcBorders>
              <w:bottom w:val="single" w:color="auto" w:sz="4" w:space="0"/>
            </w:tcBorders>
            <w:noWrap w:val="0"/>
            <w:vAlign w:val="top"/>
          </w:tcPr>
          <w:p w14:paraId="5ED63A4B">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9A78B8A">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2EEE306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70F8717">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A4C7C00">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6028EA0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30FD9C">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1CF8882E">
            <w:pPr>
              <w:spacing w:line="440" w:lineRule="exact"/>
              <w:jc w:val="center"/>
              <w:rPr>
                <w:rFonts w:ascii="方正仿宋_GB2312" w:hAnsi="华文楷体" w:eastAsia="方正仿宋_GB2312"/>
                <w:color w:val="auto"/>
                <w:kern w:val="0"/>
                <w:sz w:val="24"/>
                <w:highlight w:val="none"/>
              </w:rPr>
            </w:pPr>
          </w:p>
        </w:tc>
      </w:tr>
      <w:tr w14:paraId="512F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pct"/>
            <w:gridSpan w:val="4"/>
            <w:tcBorders>
              <w:top w:val="double" w:color="auto" w:sz="4" w:space="0"/>
              <w:left w:val="single" w:color="auto" w:sz="12" w:space="0"/>
              <w:bottom w:val="single" w:color="auto" w:sz="12" w:space="0"/>
            </w:tcBorders>
            <w:noWrap w:val="0"/>
            <w:vAlign w:val="top"/>
          </w:tcPr>
          <w:p w14:paraId="57ECA68A">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合计金额（人民币）</w:t>
            </w:r>
          </w:p>
        </w:tc>
        <w:tc>
          <w:tcPr>
            <w:tcW w:w="2492" w:type="pct"/>
            <w:gridSpan w:val="5"/>
            <w:tcBorders>
              <w:top w:val="double" w:color="auto" w:sz="4" w:space="0"/>
              <w:bottom w:val="single" w:color="auto" w:sz="12" w:space="0"/>
              <w:right w:val="single" w:color="auto" w:sz="12" w:space="0"/>
            </w:tcBorders>
            <w:noWrap w:val="0"/>
            <w:vAlign w:val="top"/>
          </w:tcPr>
          <w:p w14:paraId="5C538379">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 xml:space="preserve">￥           （大写）：                               </w:t>
            </w:r>
          </w:p>
        </w:tc>
      </w:tr>
    </w:tbl>
    <w:p w14:paraId="655247D5">
      <w:pPr>
        <w:spacing w:line="440" w:lineRule="exact"/>
        <w:rPr>
          <w:rFonts w:hint="eastAsia" w:ascii="黑体" w:hAnsi="华文楷体" w:eastAsia="黑体"/>
          <w:b/>
          <w:color w:val="auto"/>
          <w:sz w:val="24"/>
          <w:highlight w:val="none"/>
        </w:rPr>
      </w:pPr>
    </w:p>
    <w:p w14:paraId="2181F384">
      <w:pPr>
        <w:spacing w:line="440" w:lineRule="exact"/>
        <w:rPr>
          <w:rFonts w:hint="eastAsia" w:ascii="黑体" w:hAnsi="华文楷体" w:eastAsia="黑体"/>
          <w:b/>
          <w:color w:val="auto"/>
          <w:sz w:val="24"/>
          <w:highlight w:val="none"/>
        </w:rPr>
      </w:pPr>
    </w:p>
    <w:p w14:paraId="5E23D6EF">
      <w:pPr>
        <w:pStyle w:val="13"/>
        <w:ind w:left="0" w:leftChars="0" w:firstLine="0" w:firstLineChars="0"/>
        <w:rPr>
          <w:rFonts w:hint="eastAsia"/>
          <w:color w:val="auto"/>
          <w:highlight w:val="none"/>
        </w:rPr>
      </w:pPr>
    </w:p>
    <w:p w14:paraId="296AA70E">
      <w:pPr>
        <w:spacing w:line="440" w:lineRule="exact"/>
        <w:rPr>
          <w:rFonts w:ascii="黑体" w:hAnsi="华文楷体" w:eastAsia="黑体"/>
          <w:color w:val="auto"/>
          <w:sz w:val="24"/>
          <w:highlight w:val="none"/>
        </w:rPr>
      </w:pPr>
      <w:r>
        <w:rPr>
          <w:rFonts w:hint="eastAsia" w:ascii="黑体" w:hAnsi="华文楷体" w:eastAsia="黑体"/>
          <w:color w:val="auto"/>
          <w:sz w:val="24"/>
          <w:highlight w:val="none"/>
        </w:rPr>
        <w:t>公司名称（盖章）：          委托代理人（签字）：        报价日期：      年    月   日</w:t>
      </w:r>
    </w:p>
    <w:p w14:paraId="345567A0">
      <w:pPr>
        <w:rPr>
          <w:rFonts w:hint="eastAsia" w:ascii="黑体" w:hAnsi="华文楷体" w:eastAsia="黑体"/>
          <w:color w:val="auto"/>
          <w:szCs w:val="21"/>
          <w:highlight w:val="none"/>
        </w:rPr>
      </w:pPr>
    </w:p>
    <w:p w14:paraId="24F3C11F">
      <w:pPr>
        <w:rPr>
          <w:rFonts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6C546935">
      <w:pPr>
        <w:rPr>
          <w:rFonts w:ascii="黑体" w:hAnsi="华文楷体" w:eastAsia="黑体"/>
          <w:color w:val="auto"/>
          <w:szCs w:val="21"/>
          <w:highlight w:val="none"/>
        </w:rPr>
      </w:pPr>
      <w:r>
        <w:rPr>
          <w:rFonts w:hint="eastAsia" w:ascii="黑体" w:hAnsi="华文楷体" w:eastAsia="黑体"/>
          <w:color w:val="auto"/>
          <w:szCs w:val="21"/>
          <w:highlight w:val="none"/>
        </w:rPr>
        <w:t xml:space="preserve">          2、如属非标配产品，其技术指标（特别是优于我校需求的部分）请另行附页说明。</w:t>
      </w:r>
    </w:p>
    <w:p w14:paraId="360E75B8">
      <w:pPr>
        <w:rPr>
          <w:rFonts w:ascii="黑体" w:hAnsi="华文楷体" w:eastAsia="黑体"/>
          <w:color w:val="auto"/>
          <w:szCs w:val="21"/>
          <w:highlight w:val="none"/>
        </w:rPr>
      </w:pPr>
      <w:r>
        <w:rPr>
          <w:rFonts w:hint="eastAsia" w:ascii="黑体" w:hAnsi="华文楷体" w:eastAsia="黑体"/>
          <w:color w:val="auto"/>
          <w:szCs w:val="21"/>
          <w:highlight w:val="none"/>
        </w:rPr>
        <w:t xml:space="preserve">          3、特殊的售后服务措施、代理证明情况等需要说明的，请另行附页说明。</w:t>
      </w:r>
    </w:p>
    <w:p w14:paraId="4A21681F">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4、报价单附页（如有）共</w:t>
      </w:r>
      <w:r>
        <w:rPr>
          <w:rFonts w:hint="eastAsia" w:ascii="黑体" w:hAnsi="华文楷体" w:eastAsia="黑体"/>
          <w:color w:val="auto"/>
          <w:szCs w:val="21"/>
          <w:highlight w:val="none"/>
          <w:u w:val="single"/>
        </w:rPr>
        <w:t xml:space="preserve">      </w:t>
      </w:r>
      <w:r>
        <w:rPr>
          <w:rFonts w:hint="eastAsia" w:ascii="黑体" w:hAnsi="华文楷体" w:eastAsia="黑体"/>
          <w:color w:val="auto"/>
          <w:szCs w:val="21"/>
          <w:highlight w:val="none"/>
        </w:rPr>
        <w:t>页。</w:t>
      </w:r>
    </w:p>
    <w:p w14:paraId="4403A77C">
      <w:pPr>
        <w:rPr>
          <w:rFonts w:hint="eastAsia" w:ascii="仿宋" w:hAnsi="仿宋" w:eastAsia="仿宋"/>
          <w:b/>
          <w:bCs/>
          <w:color w:val="auto"/>
          <w:kern w:val="0"/>
          <w:sz w:val="36"/>
          <w:szCs w:val="36"/>
          <w:highlight w:val="none"/>
          <w:lang w:val="en-US" w:eastAsia="zh-CN"/>
        </w:rPr>
      </w:pPr>
      <w:r>
        <w:rPr>
          <w:rFonts w:hint="eastAsia" w:ascii="仿宋" w:hAnsi="仿宋" w:eastAsia="仿宋"/>
          <w:b/>
          <w:bCs/>
          <w:color w:val="auto"/>
          <w:kern w:val="0"/>
          <w:sz w:val="36"/>
          <w:szCs w:val="36"/>
          <w:highlight w:val="none"/>
          <w:lang w:val="en-US" w:eastAsia="zh-CN"/>
        </w:rPr>
        <w:br w:type="page"/>
      </w:r>
    </w:p>
    <w:p w14:paraId="0D7FB27B">
      <w:pPr>
        <w:spacing w:after="120" w:afterLines="50" w:line="240" w:lineRule="auto"/>
        <w:ind w:left="0" w:leftChars="0" w:firstLine="0" w:firstLineChars="0"/>
        <w:jc w:val="center"/>
        <w:rPr>
          <w:rFonts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lang w:val="en-US" w:eastAsia="zh-CN"/>
        </w:rPr>
        <w:t>报价</w:t>
      </w:r>
      <w:r>
        <w:rPr>
          <w:rFonts w:hint="eastAsia" w:ascii="仿宋" w:hAnsi="仿宋" w:eastAsia="仿宋"/>
          <w:b/>
          <w:bCs/>
          <w:color w:val="auto"/>
          <w:kern w:val="0"/>
          <w:sz w:val="36"/>
          <w:szCs w:val="36"/>
          <w:highlight w:val="none"/>
        </w:rPr>
        <w:t>承诺函</w:t>
      </w:r>
    </w:p>
    <w:p w14:paraId="154139ED">
      <w:pPr>
        <w:spacing w:after="120" w:afterLines="50" w:line="240" w:lineRule="auto"/>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rPr>
        <w:t>致：</w:t>
      </w:r>
      <w:r>
        <w:rPr>
          <w:rFonts w:hint="eastAsia" w:ascii="仿宋" w:hAnsi="仿宋" w:eastAsia="仿宋" w:cs="宋体"/>
          <w:color w:val="auto"/>
          <w:sz w:val="24"/>
          <w:szCs w:val="24"/>
          <w:highlight w:val="none"/>
          <w:lang w:val="en-US" w:eastAsia="zh-CN"/>
        </w:rPr>
        <w:t>上海海事大学</w:t>
      </w:r>
    </w:p>
    <w:p w14:paraId="37C42137">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zh-CN"/>
        </w:rPr>
        <w:t>我</w:t>
      </w:r>
      <w:r>
        <w:rPr>
          <w:rFonts w:ascii="仿宋" w:hAnsi="仿宋" w:eastAsia="仿宋" w:cs="宋体"/>
          <w:color w:val="auto"/>
          <w:sz w:val="24"/>
          <w:szCs w:val="24"/>
          <w:highlight w:val="none"/>
          <w:lang w:val="zh-CN"/>
        </w:rPr>
        <w:t>公司在参加本次</w:t>
      </w:r>
      <w:r>
        <w:rPr>
          <w:rFonts w:hint="eastAsia" w:ascii="仿宋" w:hAnsi="仿宋" w:eastAsia="仿宋" w:cs="宋体"/>
          <w:color w:val="auto"/>
          <w:sz w:val="24"/>
          <w:szCs w:val="24"/>
          <w:highlight w:val="none"/>
          <w:lang w:val="en-US" w:eastAsia="zh-CN"/>
        </w:rPr>
        <w:t>比选采购</w:t>
      </w:r>
      <w:r>
        <w:rPr>
          <w:rFonts w:ascii="仿宋" w:hAnsi="仿宋" w:eastAsia="仿宋" w:cs="宋体"/>
          <w:color w:val="auto"/>
          <w:sz w:val="24"/>
          <w:szCs w:val="24"/>
          <w:highlight w:val="none"/>
          <w:lang w:val="zh-CN"/>
        </w:rPr>
        <w:t>活动中，</w:t>
      </w:r>
      <w:r>
        <w:rPr>
          <w:rFonts w:hint="eastAsia" w:ascii="仿宋" w:hAnsi="仿宋" w:eastAsia="仿宋" w:cs="宋体"/>
          <w:color w:val="auto"/>
          <w:sz w:val="24"/>
          <w:szCs w:val="24"/>
          <w:highlight w:val="none"/>
          <w:lang w:val="zh-CN"/>
        </w:rPr>
        <w:t>作出如下</w:t>
      </w:r>
      <w:r>
        <w:rPr>
          <w:rFonts w:ascii="仿宋" w:hAnsi="仿宋" w:eastAsia="仿宋" w:cs="宋体"/>
          <w:color w:val="auto"/>
          <w:sz w:val="24"/>
          <w:szCs w:val="24"/>
          <w:highlight w:val="none"/>
          <w:lang w:val="zh-CN"/>
        </w:rPr>
        <w:t>承诺：</w:t>
      </w:r>
    </w:p>
    <w:p w14:paraId="46C0BB39">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eastAsia="zh-CN"/>
        </w:rPr>
        <w:t>一、</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具备独立法人资格，能够独立承担民事责任。</w:t>
      </w:r>
    </w:p>
    <w:p w14:paraId="50EE2300">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二、我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财务状况良好，具备履行合同所需资金实力。</w:t>
      </w:r>
    </w:p>
    <w:p w14:paraId="3F8FCAE5">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三、我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拥有履行项目所需的专业技术人员和先进的生产设备。</w:t>
      </w:r>
    </w:p>
    <w:p w14:paraId="45943AA8">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四、我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依法纳税，并按时缴纳社会保险费。</w:t>
      </w:r>
    </w:p>
    <w:p w14:paraId="0F0C6E90">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五、我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在最近三年内无任何违法违规行为，信誉良好。</w:t>
      </w:r>
    </w:p>
    <w:p w14:paraId="3EF4200C">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六、我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完全符合政府采购法及其他相关法律法规的规定。</w:t>
      </w:r>
    </w:p>
    <w:p w14:paraId="072F3ABB">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七</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eastAsia="zh-CN"/>
        </w:rPr>
        <w:t>公司提供的相关文件均真实、有效。</w:t>
      </w:r>
    </w:p>
    <w:p w14:paraId="1E86BCEA">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八、我</w:t>
      </w:r>
      <w:r>
        <w:rPr>
          <w:rFonts w:hint="eastAsia" w:ascii="仿宋" w:hAnsi="仿宋" w:eastAsia="仿宋" w:cs="宋体"/>
          <w:color w:val="auto"/>
          <w:sz w:val="24"/>
          <w:szCs w:val="24"/>
          <w:highlight w:val="none"/>
          <w:lang w:val="zh-CN" w:eastAsia="zh-CN"/>
        </w:rPr>
        <w:t>公司未挂靠、借用资质进行投标等违法违规行为。</w:t>
      </w:r>
    </w:p>
    <w:p w14:paraId="1961C25F">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九、</w:t>
      </w:r>
      <w:r>
        <w:rPr>
          <w:rFonts w:hint="eastAsia" w:ascii="仿宋" w:hAnsi="仿宋" w:eastAsia="仿宋" w:cs="宋体"/>
          <w:color w:val="auto"/>
          <w:sz w:val="24"/>
          <w:szCs w:val="24"/>
          <w:highlight w:val="none"/>
          <w:lang w:val="zh-CN" w:eastAsia="zh-CN"/>
        </w:rPr>
        <w:t>我公司承诺在参加本</w:t>
      </w:r>
      <w:r>
        <w:rPr>
          <w:rFonts w:hint="eastAsia" w:ascii="仿宋" w:hAnsi="仿宋" w:eastAsia="仿宋" w:cs="宋体"/>
          <w:color w:val="auto"/>
          <w:sz w:val="24"/>
          <w:szCs w:val="24"/>
          <w:highlight w:val="none"/>
          <w:lang w:val="en-US" w:eastAsia="zh-CN"/>
        </w:rPr>
        <w:t>次</w:t>
      </w:r>
      <w:r>
        <w:rPr>
          <w:rFonts w:hint="eastAsia" w:ascii="仿宋" w:hAnsi="仿宋" w:eastAsia="仿宋" w:cs="宋体"/>
          <w:color w:val="auto"/>
          <w:sz w:val="24"/>
          <w:szCs w:val="24"/>
          <w:highlight w:val="none"/>
          <w:lang w:val="zh-CN" w:eastAsia="zh-CN"/>
        </w:rPr>
        <w:t>采购活动中，</w:t>
      </w:r>
      <w:r>
        <w:rPr>
          <w:rFonts w:hint="eastAsia" w:ascii="仿宋" w:hAnsi="仿宋" w:eastAsia="仿宋" w:cs="宋体"/>
          <w:color w:val="auto"/>
          <w:sz w:val="24"/>
          <w:szCs w:val="24"/>
          <w:highlight w:val="none"/>
          <w:lang w:val="en-US" w:eastAsia="zh-CN"/>
        </w:rPr>
        <w:t>不存在串标围标行为</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不存在</w:t>
      </w:r>
      <w:r>
        <w:rPr>
          <w:rFonts w:hint="eastAsia" w:ascii="仿宋" w:hAnsi="仿宋" w:eastAsia="仿宋" w:cs="宋体"/>
          <w:color w:val="auto"/>
          <w:sz w:val="24"/>
          <w:szCs w:val="24"/>
          <w:highlight w:val="none"/>
          <w:lang w:val="zh-CN" w:eastAsia="zh-CN"/>
        </w:rPr>
        <w:t>损害</w:t>
      </w:r>
      <w:r>
        <w:rPr>
          <w:rFonts w:hint="eastAsia" w:ascii="仿宋" w:hAnsi="仿宋" w:eastAsia="仿宋" w:cs="宋体"/>
          <w:color w:val="auto"/>
          <w:sz w:val="24"/>
          <w:szCs w:val="24"/>
          <w:highlight w:val="none"/>
          <w:lang w:val="en-US" w:eastAsia="zh-CN"/>
        </w:rPr>
        <w:t>校方</w:t>
      </w:r>
      <w:r>
        <w:rPr>
          <w:rFonts w:hint="eastAsia" w:ascii="仿宋" w:hAnsi="仿宋" w:eastAsia="仿宋" w:cs="宋体"/>
          <w:color w:val="auto"/>
          <w:sz w:val="24"/>
          <w:szCs w:val="24"/>
          <w:highlight w:val="none"/>
          <w:lang w:val="zh-CN" w:eastAsia="zh-CN"/>
        </w:rPr>
        <w:t>或者其他</w:t>
      </w:r>
      <w:r>
        <w:rPr>
          <w:rFonts w:hint="eastAsia" w:ascii="仿宋" w:hAnsi="仿宋" w:eastAsia="仿宋" w:cs="宋体"/>
          <w:color w:val="auto"/>
          <w:sz w:val="24"/>
          <w:szCs w:val="24"/>
          <w:highlight w:val="none"/>
          <w:lang w:val="en-US" w:eastAsia="zh-CN"/>
        </w:rPr>
        <w:t>报价单位</w:t>
      </w:r>
      <w:r>
        <w:rPr>
          <w:rFonts w:hint="eastAsia" w:ascii="仿宋" w:hAnsi="仿宋" w:eastAsia="仿宋" w:cs="宋体"/>
          <w:color w:val="auto"/>
          <w:sz w:val="24"/>
          <w:szCs w:val="24"/>
          <w:highlight w:val="none"/>
          <w:lang w:val="zh-CN" w:eastAsia="zh-CN"/>
        </w:rPr>
        <w:t>利益的行为。</w:t>
      </w:r>
    </w:p>
    <w:p w14:paraId="1B3C8AA7">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十、</w:t>
      </w:r>
      <w:r>
        <w:rPr>
          <w:rFonts w:hint="eastAsia" w:ascii="仿宋" w:hAnsi="仿宋" w:eastAsia="仿宋" w:cs="宋体"/>
          <w:color w:val="auto"/>
          <w:sz w:val="24"/>
          <w:szCs w:val="24"/>
          <w:highlight w:val="none"/>
          <w:lang w:val="zh-CN" w:eastAsia="zh-CN"/>
        </w:rPr>
        <w:t>我</w:t>
      </w:r>
      <w:r>
        <w:rPr>
          <w:rFonts w:hint="eastAsia" w:ascii="仿宋" w:hAnsi="仿宋" w:eastAsia="仿宋" w:cs="宋体"/>
          <w:color w:val="auto"/>
          <w:sz w:val="24"/>
          <w:szCs w:val="24"/>
          <w:highlight w:val="none"/>
          <w:lang w:val="en-US" w:eastAsia="zh-CN"/>
        </w:rPr>
        <w:t>公司管理层中</w:t>
      </w:r>
      <w:r>
        <w:rPr>
          <w:rFonts w:hint="eastAsia" w:ascii="仿宋" w:hAnsi="仿宋" w:eastAsia="仿宋" w:cs="宋体"/>
          <w:color w:val="auto"/>
          <w:sz w:val="24"/>
          <w:szCs w:val="24"/>
          <w:highlight w:val="none"/>
          <w:lang w:val="zh-CN" w:eastAsia="zh-CN"/>
        </w:rPr>
        <w:t>没有从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离职或退休3年以内的人员担任控股股东或实际控股人、董事、监事，也没有聘用从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w:t>
      </w:r>
    </w:p>
    <w:p w14:paraId="3FE2B1FA">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en-US" w:eastAsia="zh-CN"/>
        </w:rPr>
        <w:t>我公司保证上述声明真实无误，如有不实，愿承担相应法律责任。</w:t>
      </w:r>
    </w:p>
    <w:p w14:paraId="2C38F8B9">
      <w:pPr>
        <w:spacing w:after="120" w:afterLines="50" w:line="240" w:lineRule="auto"/>
        <w:ind w:left="0" w:leftChars="0" w:firstLine="0" w:firstLineChars="0"/>
        <w:rPr>
          <w:rFonts w:ascii="仿宋" w:hAnsi="仿宋" w:eastAsia="仿宋" w:cs="宋体"/>
          <w:color w:val="auto"/>
          <w:sz w:val="24"/>
          <w:szCs w:val="24"/>
          <w:highlight w:val="none"/>
          <w:lang w:val="zh-CN"/>
        </w:rPr>
      </w:pPr>
    </w:p>
    <w:p w14:paraId="4A13A388">
      <w:pPr>
        <w:spacing w:after="120" w:afterLines="50" w:line="240" w:lineRule="auto"/>
        <w:ind w:left="0" w:leftChars="0" w:firstLine="0" w:firstLineChars="0"/>
        <w:rPr>
          <w:rFonts w:ascii="黑体" w:hAnsi="华文楷体" w:eastAsia="黑体"/>
          <w:b/>
          <w:bCs/>
          <w:color w:val="auto"/>
          <w:sz w:val="32"/>
          <w:szCs w:val="32"/>
          <w:highlight w:val="none"/>
        </w:rPr>
      </w:pPr>
      <w:r>
        <w:rPr>
          <w:rFonts w:hint="eastAsia" w:ascii="黑体" w:hAnsi="华文楷体" w:eastAsia="黑体"/>
          <w:color w:val="auto"/>
          <w:sz w:val="24"/>
          <w:szCs w:val="24"/>
          <w:highlight w:val="none"/>
        </w:rPr>
        <w:t>公司名称（盖章）：                              委托代理人（签字）：</w:t>
      </w:r>
    </w:p>
    <w:p w14:paraId="476D3484">
      <w:pPr>
        <w:pStyle w:val="7"/>
        <w:rPr>
          <w:rFonts w:hint="default" w:ascii="方正兰亭黑简体" w:hAnsi="方正兰亭黑简体" w:eastAsia="方正兰亭黑简体" w:cs="方正兰亭黑简体"/>
          <w:color w:val="auto"/>
          <w:sz w:val="22"/>
          <w:szCs w:val="28"/>
          <w:highlight w:val="none"/>
          <w:lang w:val="en-US" w:eastAsia="zh-CN"/>
        </w:rPr>
      </w:pPr>
    </w:p>
    <w:p w14:paraId="3F5F1DB4">
      <w:pPr>
        <w:pStyle w:val="7"/>
        <w:rPr>
          <w:rFonts w:hint="default" w:ascii="方正兰亭黑简体" w:hAnsi="方正兰亭黑简体" w:eastAsia="方正兰亭黑简体" w:cs="方正兰亭黑简体"/>
          <w:color w:val="auto"/>
          <w:sz w:val="22"/>
          <w:szCs w:val="28"/>
          <w:highlight w:val="none"/>
          <w:lang w:val="en-US" w:eastAsia="zh-CN"/>
        </w:rPr>
      </w:pPr>
    </w:p>
    <w:p w14:paraId="086B01F9">
      <w:pPr>
        <w:jc w:val="left"/>
        <w:rPr>
          <w:rFonts w:hint="eastAsia" w:ascii="方正兰亭黑简体" w:hAnsi="方正兰亭黑简体" w:eastAsia="方正兰亭黑简体" w:cs="方正兰亭黑简体"/>
          <w:color w:val="auto"/>
          <w:sz w:val="22"/>
          <w:szCs w:val="28"/>
          <w:highlight w:val="none"/>
          <w:lang w:val="en-US" w:eastAsia="zh-CN"/>
        </w:rPr>
        <w:sectPr>
          <w:pgSz w:w="11906" w:h="16838"/>
          <w:pgMar w:top="1440" w:right="1083" w:bottom="1440" w:left="1083" w:header="851" w:footer="992" w:gutter="0"/>
          <w:pgNumType w:fmt="decimal"/>
          <w:cols w:space="0" w:num="1"/>
          <w:rtlGutter w:val="0"/>
          <w:docGrid w:type="lines" w:linePitch="314" w:charSpace="0"/>
        </w:sectPr>
      </w:pPr>
    </w:p>
    <w:p w14:paraId="7CDE4BA2">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附件2：其他材料</w:t>
      </w:r>
    </w:p>
    <w:p w14:paraId="7D103AD2">
      <w:pPr>
        <w:pStyle w:val="6"/>
        <w:ind w:left="0" w:leftChars="0" w:firstLine="0" w:firstLineChars="0"/>
        <w:rPr>
          <w:rFonts w:hint="default"/>
          <w:color w:val="auto"/>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包括但不限于：</w:t>
      </w:r>
    </w:p>
    <w:p w14:paraId="6163A2E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kern w:val="2"/>
          <w:sz w:val="22"/>
          <w:szCs w:val="28"/>
          <w:highlight w:val="none"/>
          <w:lang w:val="en-US" w:eastAsia="zh-CN" w:bidi="ar-SA"/>
        </w:rPr>
        <w:t>1、</w:t>
      </w:r>
      <w:r>
        <w:rPr>
          <w:rFonts w:hint="eastAsia" w:ascii="方正兰亭黑简体" w:hAnsi="方正兰亭黑简体" w:eastAsia="方正兰亭黑简体" w:cs="方正兰亭黑简体"/>
          <w:color w:val="auto"/>
          <w:sz w:val="22"/>
          <w:szCs w:val="28"/>
          <w:highlight w:val="none"/>
          <w:lang w:val="en-US" w:eastAsia="zh-CN"/>
        </w:rPr>
        <w:t>营业执照扫描件</w:t>
      </w:r>
    </w:p>
    <w:p w14:paraId="75BA9CD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lang w:val="en-US" w:eastAsia="zh-CN"/>
        </w:rPr>
        <w:t>产品资料（产品参数及性能）</w:t>
      </w:r>
    </w:p>
    <w:p w14:paraId="1BB2A8EF">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3、</w:t>
      </w:r>
      <w:r>
        <w:rPr>
          <w:rFonts w:hint="eastAsia" w:ascii="方正兰亭黑简体" w:hAnsi="方正兰亭黑简体" w:eastAsia="方正兰亭黑简体" w:cs="方正兰亭黑简体"/>
          <w:color w:val="auto"/>
          <w:sz w:val="22"/>
          <w:szCs w:val="28"/>
          <w:highlight w:val="none"/>
          <w:lang w:val="en-US" w:eastAsia="zh-CN"/>
        </w:rPr>
        <w:t>实施计划</w:t>
      </w:r>
    </w:p>
    <w:p w14:paraId="32423874">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4、</w:t>
      </w:r>
      <w:r>
        <w:rPr>
          <w:rFonts w:hint="eastAsia" w:ascii="方正兰亭黑简体" w:hAnsi="方正兰亭黑简体" w:eastAsia="方正兰亭黑简体" w:cs="方正兰亭黑简体"/>
          <w:color w:val="auto"/>
          <w:sz w:val="22"/>
          <w:szCs w:val="28"/>
          <w:highlight w:val="none"/>
          <w:lang w:val="en-US" w:eastAsia="zh-CN"/>
        </w:rPr>
        <w:t>售后方案</w:t>
      </w:r>
    </w:p>
    <w:p w14:paraId="47143B8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5、</w:t>
      </w:r>
      <w:r>
        <w:rPr>
          <w:rFonts w:hint="eastAsia" w:ascii="方正兰亭黑简体" w:hAnsi="方正兰亭黑简体" w:eastAsia="方正兰亭黑简体" w:cs="方正兰亭黑简体"/>
          <w:color w:val="auto"/>
          <w:sz w:val="22"/>
          <w:szCs w:val="28"/>
          <w:highlight w:val="none"/>
          <w:lang w:val="en-US" w:eastAsia="zh-CN"/>
        </w:rPr>
        <w:t>业绩案例</w:t>
      </w:r>
    </w:p>
    <w:p w14:paraId="3644FF0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6、其他所必需的相关材料</w:t>
      </w:r>
    </w:p>
    <w:sectPr>
      <w:pgSz w:w="11906" w:h="16838"/>
      <w:pgMar w:top="1440" w:right="1083" w:bottom="1440" w:left="1083" w:header="851" w:footer="992" w:gutter="0"/>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98E11ED-1517-4C0F-9A2E-EAEE27B6DEB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Times NR MT Pro Medium">
    <w:panose1 w:val="0201060001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兰亭黑简体">
    <w:panose1 w:val="02000000000000000000"/>
    <w:charset w:val="86"/>
    <w:family w:val="auto"/>
    <w:pitch w:val="default"/>
    <w:sig w:usb0="A00002BF" w:usb1="184F6CFA" w:usb2="00000012" w:usb3="00000000" w:csb0="00040001" w:csb1="00000000"/>
    <w:embedRegular r:id="rId2" w:fontKey="{309E2639-841A-4562-B281-220A8A0F026A}"/>
  </w:font>
  <w:font w:name="华文楷体">
    <w:panose1 w:val="02010600040101010101"/>
    <w:charset w:val="86"/>
    <w:family w:val="auto"/>
    <w:pitch w:val="default"/>
    <w:sig w:usb0="A00002BF" w:usb1="78CF7CFB" w:usb2="00000016" w:usb3="00000000" w:csb0="6006009F" w:csb1="DFD70000"/>
    <w:embedRegular r:id="rId3" w:fontKey="{C9E4B35B-3865-458C-88B7-AF14BF83D650}"/>
  </w:font>
  <w:font w:name="方正仿宋_GB2312">
    <w:panose1 w:val="02000000000000000000"/>
    <w:charset w:val="86"/>
    <w:family w:val="auto"/>
    <w:pitch w:val="default"/>
    <w:sig w:usb0="A00002BF" w:usb1="184F6CFA" w:usb2="00000012" w:usb3="00000000" w:csb0="00040001" w:csb1="00000000"/>
    <w:embedRegular r:id="rId4" w:fontKey="{AAC93FB5-66F4-49A8-8D03-C9CE39AA268E}"/>
  </w:font>
  <w:font w:name="仿宋">
    <w:panose1 w:val="02010609060101010101"/>
    <w:charset w:val="86"/>
    <w:family w:val="modern"/>
    <w:pitch w:val="default"/>
    <w:sig w:usb0="800002BF" w:usb1="38CF7CFA" w:usb2="00000016" w:usb3="00000000" w:csb0="00040001" w:csb1="00000000"/>
    <w:embedRegular r:id="rId5" w:fontKey="{E09DF0AE-11AB-4B60-A3BE-7D89EBD42B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492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722401"/>
    <w:multiLevelType w:val="multilevel"/>
    <w:tmpl w:val="17722401"/>
    <w:lvl w:ilvl="0" w:tentative="0">
      <w:start w:val="1"/>
      <w:numFmt w:val="japaneseCounting"/>
      <w:pStyle w:val="2"/>
      <w:lvlText w:val="%1、"/>
      <w:lvlJc w:val="left"/>
      <w:pPr>
        <w:ind w:left="464" w:hanging="720"/>
      </w:pPr>
      <w:rPr>
        <w:rFonts w:hint="default"/>
      </w:rPr>
    </w:lvl>
    <w:lvl w:ilvl="1" w:tentative="0">
      <w:start w:val="1"/>
      <w:numFmt w:val="decimalEnclosedCircle"/>
      <w:lvlText w:val="%2"/>
      <w:lvlJc w:val="left"/>
      <w:pPr>
        <w:ind w:left="544" w:hanging="360"/>
      </w:pPr>
      <w:rPr>
        <w:rFonts w:hint="default"/>
      </w:rPr>
    </w:lvl>
    <w:lvl w:ilvl="2" w:tentative="0">
      <w:start w:val="1"/>
      <w:numFmt w:val="lowerRoman"/>
      <w:lvlText w:val="%3."/>
      <w:lvlJc w:val="right"/>
      <w:pPr>
        <w:ind w:left="1064" w:hanging="440"/>
      </w:pPr>
    </w:lvl>
    <w:lvl w:ilvl="3" w:tentative="0">
      <w:start w:val="1"/>
      <w:numFmt w:val="decimal"/>
      <w:lvlText w:val="%4."/>
      <w:lvlJc w:val="left"/>
      <w:pPr>
        <w:ind w:left="1504" w:hanging="440"/>
      </w:pPr>
    </w:lvl>
    <w:lvl w:ilvl="4" w:tentative="0">
      <w:start w:val="1"/>
      <w:numFmt w:val="lowerLetter"/>
      <w:lvlText w:val="%5)"/>
      <w:lvlJc w:val="left"/>
      <w:pPr>
        <w:ind w:left="1944" w:hanging="440"/>
      </w:pPr>
    </w:lvl>
    <w:lvl w:ilvl="5" w:tentative="0">
      <w:start w:val="1"/>
      <w:numFmt w:val="lowerRoman"/>
      <w:lvlText w:val="%6."/>
      <w:lvlJc w:val="right"/>
      <w:pPr>
        <w:ind w:left="2384" w:hanging="440"/>
      </w:pPr>
    </w:lvl>
    <w:lvl w:ilvl="6" w:tentative="0">
      <w:start w:val="1"/>
      <w:numFmt w:val="decimal"/>
      <w:lvlText w:val="%7."/>
      <w:lvlJc w:val="left"/>
      <w:pPr>
        <w:ind w:left="2824" w:hanging="440"/>
      </w:pPr>
    </w:lvl>
    <w:lvl w:ilvl="7" w:tentative="0">
      <w:start w:val="1"/>
      <w:numFmt w:val="lowerLetter"/>
      <w:lvlText w:val="%8)"/>
      <w:lvlJc w:val="left"/>
      <w:pPr>
        <w:ind w:left="3264" w:hanging="440"/>
      </w:pPr>
    </w:lvl>
    <w:lvl w:ilvl="8" w:tentative="0">
      <w:start w:val="1"/>
      <w:numFmt w:val="lowerRoman"/>
      <w:lvlText w:val="%9."/>
      <w:lvlJc w:val="right"/>
      <w:pPr>
        <w:ind w:left="3704" w:hanging="440"/>
      </w:pPr>
    </w:lvl>
  </w:abstractNum>
  <w:abstractNum w:abstractNumId="1">
    <w:nsid w:val="6EE46474"/>
    <w:multiLevelType w:val="multilevel"/>
    <w:tmpl w:val="6EE46474"/>
    <w:lvl w:ilvl="0" w:tentative="0">
      <w:start w:val="1"/>
      <w:numFmt w:val="decimal"/>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75436"/>
    <w:rsid w:val="029C08D4"/>
    <w:rsid w:val="035A42B0"/>
    <w:rsid w:val="0875321F"/>
    <w:rsid w:val="09642E33"/>
    <w:rsid w:val="0B7B6E53"/>
    <w:rsid w:val="146C6B60"/>
    <w:rsid w:val="15285D7F"/>
    <w:rsid w:val="157E6317"/>
    <w:rsid w:val="15D04D45"/>
    <w:rsid w:val="1B307278"/>
    <w:rsid w:val="1D2B42FB"/>
    <w:rsid w:val="1DF9272E"/>
    <w:rsid w:val="21B969D7"/>
    <w:rsid w:val="22AA0589"/>
    <w:rsid w:val="24050543"/>
    <w:rsid w:val="26C52776"/>
    <w:rsid w:val="2DAA3F84"/>
    <w:rsid w:val="2E691D1D"/>
    <w:rsid w:val="2FB07FD7"/>
    <w:rsid w:val="3A774F92"/>
    <w:rsid w:val="3CFB52B6"/>
    <w:rsid w:val="3D6469F5"/>
    <w:rsid w:val="3DBA1AA2"/>
    <w:rsid w:val="3E5C4869"/>
    <w:rsid w:val="3FCC680A"/>
    <w:rsid w:val="41007DAA"/>
    <w:rsid w:val="45DB0FAA"/>
    <w:rsid w:val="480A63EB"/>
    <w:rsid w:val="4A2362AE"/>
    <w:rsid w:val="4AFC4A60"/>
    <w:rsid w:val="4C563715"/>
    <w:rsid w:val="4CC21E26"/>
    <w:rsid w:val="4EFD134C"/>
    <w:rsid w:val="50634D36"/>
    <w:rsid w:val="55CF5109"/>
    <w:rsid w:val="57117CB6"/>
    <w:rsid w:val="573107A3"/>
    <w:rsid w:val="5AEA704B"/>
    <w:rsid w:val="5CB31D19"/>
    <w:rsid w:val="5D66061F"/>
    <w:rsid w:val="5DF34849"/>
    <w:rsid w:val="5E8720EC"/>
    <w:rsid w:val="5EE9209B"/>
    <w:rsid w:val="62DD78C6"/>
    <w:rsid w:val="63DF4A20"/>
    <w:rsid w:val="684F045C"/>
    <w:rsid w:val="699E1F48"/>
    <w:rsid w:val="6C3138A4"/>
    <w:rsid w:val="6E3767B2"/>
    <w:rsid w:val="6EF20E57"/>
    <w:rsid w:val="6FC06751"/>
    <w:rsid w:val="74FD108C"/>
    <w:rsid w:val="769D2894"/>
    <w:rsid w:val="794117F3"/>
    <w:rsid w:val="7C2C4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numPr>
        <w:ilvl w:val="0"/>
        <w:numId w:val="1"/>
      </w:numPr>
      <w:spacing w:before="120" w:after="80"/>
      <w:ind w:firstLineChars="0"/>
      <w:outlineLvl w:val="0"/>
    </w:pPr>
    <w:rPr>
      <w:rFonts w:cs="Times NR MT Pro Medium" w:asciiTheme="majorHAnsi" w:hAnsiTheme="majorHAnsi"/>
      <w:b/>
      <w:bCs/>
      <w:sz w:val="28"/>
      <w:szCs w:val="48"/>
    </w:rPr>
  </w:style>
  <w:style w:type="paragraph" w:styleId="3">
    <w:name w:val="heading 2"/>
    <w:basedOn w:val="1"/>
    <w:next w:val="1"/>
    <w:unhideWhenUsed/>
    <w:qFormat/>
    <w:uiPriority w:val="9"/>
    <w:pPr>
      <w:numPr>
        <w:ilvl w:val="1"/>
        <w:numId w:val="2"/>
      </w:numPr>
      <w:spacing w:before="80" w:after="80"/>
      <w:ind w:firstLineChars="0"/>
      <w:outlineLvl w:val="1"/>
    </w:pPr>
    <w:rPr>
      <w:rFonts w:cs="Times NR MT Pro Medium" w:asciiTheme="majorHAnsi" w:hAnsiTheme="majorHAnsi"/>
      <w:b/>
      <w:bCs/>
      <w:color w:val="000000" w:themeColor="text1"/>
      <w:sz w:val="24"/>
      <w:szCs w:val="40"/>
      <w14:textFill>
        <w14:solidFill>
          <w14:schemeClr w14:val="tx1"/>
        </w14:solidFill>
      </w14:textFill>
    </w:rPr>
  </w:style>
  <w:style w:type="paragraph" w:styleId="4">
    <w:name w:val="heading 3"/>
    <w:basedOn w:val="1"/>
    <w:next w:val="1"/>
    <w:unhideWhenUsed/>
    <w:qFormat/>
    <w:uiPriority w:val="9"/>
    <w:pPr>
      <w:spacing w:before="160" w:after="80"/>
      <w:ind w:left="737" w:firstLine="0" w:firstLineChars="0"/>
      <w:outlineLvl w:val="2"/>
    </w:pPr>
    <w:rPr>
      <w:rFonts w:cs="Times NR MT Pro Medium" w:asciiTheme="majorHAnsi" w:hAnsiTheme="majorHAnsi"/>
      <w:sz w:val="24"/>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w:basedOn w:val="1"/>
    <w:qFormat/>
    <w:uiPriority w:val="0"/>
    <w:pPr>
      <w:ind w:left="420" w:leftChars="200"/>
    </w:p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rPr>
      <w:rFonts w:ascii="Calibri" w:hAnsi="Calibri" w:eastAsia="宋体" w:cs="Times New Roman"/>
    </w:rPr>
  </w:style>
  <w:style w:type="paragraph" w:styleId="11">
    <w:name w:val="Body Text Indent 3"/>
    <w:basedOn w:val="1"/>
    <w:qFormat/>
    <w:uiPriority w:val="0"/>
    <w:pPr>
      <w:ind w:firstLine="600" w:firstLineChars="200"/>
    </w:pPr>
    <w:rPr>
      <w:color w:val="FF0000"/>
      <w:sz w:val="30"/>
      <w:szCs w:val="2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5"/>
    <w:qFormat/>
    <w:uiPriority w:val="0"/>
    <w:pPr>
      <w:widowControl/>
      <w:spacing w:after="120"/>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character" w:customStyle="1" w:styleId="23">
    <w:name w:val="楷体 (中文) 楷体"/>
    <w:qFormat/>
    <w:uiPriority w:val="0"/>
    <w:rPr>
      <w:rFonts w:ascii="楷体" w:hAnsi="楷体" w:eastAsia="楷体"/>
      <w:kern w:val="1"/>
      <w:sz w:val="28"/>
    </w:rPr>
  </w:style>
  <w:style w:type="paragraph" w:customStyle="1" w:styleId="24">
    <w:name w:val="正文11"/>
    <w:basedOn w:val="1"/>
    <w:qFormat/>
    <w:uiPriority w:val="0"/>
    <w:pPr>
      <w:ind w:firstLine="560" w:firstLineChars="200"/>
    </w:pPr>
    <w:rPr>
      <w:rFonts w:ascii="宋体" w:hAnsi="宋体" w:eastAsia="宋体" w:cs="Times New Roman"/>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2f7ca856-2137-494a-befd-fe64440449b4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22E8766</paraID>
      <start>0</start>
      <end>2</end>
      <status>unmodified</status>
      <modifiedWord/>
      <trackRevisions>false</trackRevisions>
    </reviewItem>
    <reviewItem>
      <errorID>0676cdce-adb8-4705-b3f3-605f21934779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6441606B</paraID>
      <start>0</start>
      <end>2</end>
      <status>unmodified</status>
      <modifiedWord/>
      <trackRevisions>false</trackRevisions>
    </reviewItem>
    <reviewItem>
      <errorID>252cc8f5-a4a0-44ec-9a7c-d07e7ee85ba3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3A3BF07A</paraID>
      <start>0</start>
      <end>2</end>
      <status>unmodified</status>
      <modifiedWord/>
      <trackRevisions>false</trackRevisions>
    </reviewItem>
    <reviewItem>
      <errorID>ef9ac55e-b7ad-4ec8-9573-2fade8d4586d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47D79F3C</paraID>
      <start>0</start>
      <end>2</end>
      <status>unmodified</status>
      <modifiedWord/>
      <trackRevisions>false</trackRevisions>
    </reviewItem>
    <reviewItem>
      <errorID>b899da17-045f-4181-8443-e5fc8c723936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6E06AEE6</paraID>
      <start>0</start>
      <end>2</end>
      <status>unmodified</status>
      <modifiedWord/>
      <trackRevisions>false</trackRevisions>
    </reviewItem>
    <reviewItem>
      <errorID>200ddae6-e156-4df5-b6d2-b73f39b0107c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356C3AF2</paraID>
      <start>0</start>
      <end>2</end>
      <status>unmodified</status>
      <modifiedWord/>
      <trackRevisions>false</trackRevisions>
    </reviewItem>
    <reviewItem>
      <errorID>be72439d-d40a-4049-98f3-14e2fc4676b3</errorID>
      <errorWord>，</errorWord>
      <group>L1_Format</group>
      <groupName>格式问题</groupName>
      <ability>L2_HalfPunc</ability>
      <abilityName>全半角检查</abilityName>
      <candidateList>
        <item>,</item>
      </candidateList>
      <explain>文本全半角错误。</explain>
      <paraID>6E6BB651</paraID>
      <start>16</start>
      <end>17</end>
      <status>modified</status>
      <modifiedWord>,</modifiedWord>
      <trackRevisions>false</trackRevisions>
    </reviewItem>
    <reviewItem>
      <errorID>1611bd6d-2cc8-4f48-80bc-a9ec35391e07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26B00A6B</paraID>
      <start>0</start>
      <end>2</end>
      <status>unmodified</status>
      <modifiedWord/>
      <trackRevisions>false</trackRevisions>
    </reviewItem>
    <reviewItem>
      <errorID>37c7019b-dafd-4948-ba4b-00bed5630f65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4BC82F22</paraID>
      <start>0</start>
      <end>2</end>
      <status>unmodified</status>
      <modifiedWord/>
      <trackRevisions>false</trackRevisions>
    </reviewItem>
    <reviewItem>
      <errorID>1f0441ab-f030-492a-a2a4-3c2eac614898</errorID>
      <errorWord>按按</errorWord>
      <group>L1_Word</group>
      <groupName>字词问题</groupName>
      <ability>L2_Typo</ability>
      <abilityName>字词错误</abilityName>
      <candidateList>
        <item>按</item>
      </candidateList>
      <explain>（案）àn❶〈书〉考查；核对：有原文可～。❷（编者、作者等）加按语：编者～。</explain>
      <paraID>4BC82F22</paraID>
      <start>83</start>
      <end>84</end>
      <status>modified</status>
      <modifiedWord>按</modifiedWord>
      <trackRevisions>false</trackRevisions>
    </reviewItem>
    <reviewItem>
      <errorID>6d6aee76-3073-4a73-bd6f-fd0098bd70f2</errorID>
      <errorWord>原价的</errorWord>
      <group>L1_Word</group>
      <groupName>字词问题</groupName>
      <ability>L2_Typo</ability>
      <abilityName>字词错误</abilityName>
      <candidateList>
        <item>原价</item>
      </candidateList>
      <explain/>
      <paraID>4BC82F22</paraID>
      <start>84</start>
      <end>86</end>
      <status>modified</status>
      <modifiedWord>原价</modifiedWord>
      <trackRevisions>false</trackRevisions>
    </reviewItem>
    <reviewItem>
      <errorID>b225e2a1-cacd-4761-b788-6b501db4d990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34F0627</paraID>
      <start>0</start>
      <end>2</end>
      <status>unmodified</status>
      <modifiedWord/>
      <trackRevisions>false</trackRevisions>
    </reviewItem>
    <reviewItem>
      <errorID>f0073c79-2da8-4d38-a7d7-a3443f95c5c1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1272F05B</paraID>
      <start>0</start>
      <end>2</end>
      <status>unmodified</status>
      <modifiedWord/>
      <trackRevisions>false</trackRevisions>
    </reviewItem>
    <reviewItem>
      <errorID>296bf2d8-ea89-4516-b345-8cb1ef284ff0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590EB7B8</paraID>
      <start>0</start>
      <end>2</end>
      <status>unmodified</status>
      <modifiedWord/>
      <trackRevisions>false</trackRevisions>
    </reviewItem>
    <reviewItem>
      <errorID>d9fa8657-88f4-44ec-8aeb-be10b72f385b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117C4525</paraID>
      <start>0</start>
      <end>2</end>
      <status>unmodified</status>
      <modifiedWord/>
      <trackRevisions>false</trackRevisions>
    </reviewItem>
    <reviewItem>
      <errorID>a36e8997-ace7-41a2-9040-fdc7e675e9dc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123C9161</paraID>
      <start>0</start>
      <end>2</end>
      <status>unmodified</status>
      <modifiedWord/>
      <trackRevisions>false</trackRevisions>
    </reviewItem>
    <reviewItem>
      <errorID>351ad31d-6c04-4ead-855a-5480eb51875d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6163A2E2</paraID>
      <start>0</start>
      <end>2</end>
      <status>unmodified</status>
      <modifiedWord/>
      <trackRevisions>false</trackRevisions>
    </reviewItem>
    <reviewItem>
      <errorID>72a91557-d2ec-4f86-89cb-03eac077dc34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75BA9CDB</paraID>
      <start>0</start>
      <end>2</end>
      <status>unmodified</status>
      <modifiedWord/>
      <trackRevisions>false</trackRevisions>
    </reviewItem>
    <reviewItem>
      <errorID>61740d0b-bd8a-4f29-a29a-14ea8548e0b7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1BB2A8EF</paraID>
      <start>0</start>
      <end>2</end>
      <status>unmodified</status>
      <modifiedWord/>
      <trackRevisions>false</trackRevisions>
    </reviewItem>
    <reviewItem>
      <errorID>0bbfcd75-a468-48b4-8874-5094f637264e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32423874</paraID>
      <start>0</start>
      <end>2</end>
      <status>unmodified</status>
      <modifiedWord/>
      <trackRevisions>false</trackRevisions>
    </reviewItem>
    <reviewItem>
      <errorID>63ca67d2-d837-43fb-89f2-4b8f1a7000e4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47143B82</paraID>
      <start>0</start>
      <end>2</end>
      <status>unmodified</status>
      <modifiedWord/>
      <trackRevisions>false</trackRevisions>
    </reviewItem>
    <reviewItem>
      <errorID>89d31d61-a0e5-45fa-9f37-771a351957cb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3644FF0B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73c8b9-5cac-44c4-b548-7e56506719a2}">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48</Words>
  <Characters>58</Characters>
  <Lines>0</Lines>
  <Paragraphs>0</Paragraphs>
  <TotalTime>0</TotalTime>
  <ScaleCrop>false</ScaleCrop>
  <LinksUpToDate>false</LinksUpToDate>
  <CharactersWithSpaces>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2025-04-03T05:09:00Z</dcterms:created>
  <dc:creator>HP</dc:creator>
  <cp:lastModifiedBy>仲杰</cp:lastModifiedBy>
  <dcterms:modified xsi:type="dcterms:W3CDTF">2026-10-29T01:40:55Z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