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C6A561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36"/>
          <w:highlight w:val="none"/>
          <w:lang w:val="en-US" w:eastAsia="zh-CN"/>
        </w:rPr>
      </w:pPr>
    </w:p>
    <w:p w14:paraId="05F143FD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36"/>
          <w:highlight w:val="none"/>
          <w:lang w:val="en-US" w:eastAsia="zh-CN"/>
        </w:rPr>
      </w:pPr>
    </w:p>
    <w:p w14:paraId="7C29A4C3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36"/>
          <w:highlight w:val="none"/>
          <w:lang w:val="en-US" w:eastAsia="zh-CN"/>
        </w:rPr>
      </w:pPr>
    </w:p>
    <w:p w14:paraId="75D3CC17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  <w:t>图形工作站</w:t>
      </w:r>
    </w:p>
    <w:p w14:paraId="3A6F3C59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  <w:t>比选文件</w:t>
      </w:r>
    </w:p>
    <w:p w14:paraId="746E0DD5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</w:pPr>
    </w:p>
    <w:p w14:paraId="7F5B1C2D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</w:pPr>
    </w:p>
    <w:p w14:paraId="0B84232F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  <w:t>项目编号：</w:t>
      </w:r>
      <w:r>
        <w:rPr>
          <w:rFonts w:hint="eastAsia" w:ascii="方正兰亭黑简体" w:hAnsi="方正兰亭黑简体" w:eastAsia="方正兰亭黑简体" w:cs="方正兰亭黑简体"/>
          <w:color w:val="auto"/>
          <w:sz w:val="28"/>
          <w:szCs w:val="28"/>
          <w:highlight w:val="none"/>
          <w:lang w:val="en-US" w:eastAsia="zh-CN"/>
        </w:rPr>
        <w:t>HFBX2026109</w:t>
      </w:r>
    </w:p>
    <w:p w14:paraId="43E1A511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564BAADD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1CBECD87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77AEA8DD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6AFBFE6C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18A2CE08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69F671C1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0E2559B5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采购人：上海海事大学</w:t>
      </w:r>
    </w:p>
    <w:p w14:paraId="64BB9721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二〇二六年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十月</w:t>
      </w:r>
    </w:p>
    <w:p w14:paraId="4258C5C0">
      <w:pP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br w:type="page"/>
      </w:r>
    </w:p>
    <w:p w14:paraId="5637B82A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第一章 比选公告</w:t>
      </w:r>
    </w:p>
    <w:p w14:paraId="54E46ED1">
      <w:pPr>
        <w:ind w:firstLine="440" w:firstLineChars="200"/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为公开、公正、公平地做好各项货物与服务的采购工作，进一步提高采购过程的透明度，有利于我校选择性价比更高的产品及更优质的服务，欢迎各供应单位本着务实友好的工作态度，积极参与，并做好成本核算，进行一次性报价。我校将本着公开、公正、公平的工作原则，对各供应单位所提供的资料，进行综合评议，择优选购。为确保本次比选采购项目采购工作的顺利开展，请各报价单位按照下述要求提供报价单等相关资料。具体要求及相关注意事项如下：</w:t>
      </w:r>
    </w:p>
    <w:p w14:paraId="5694D68E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一、项目基本情况</w:t>
      </w:r>
    </w:p>
    <w:p w14:paraId="6ED9240D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项目编号：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HFBX2026109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；</w:t>
      </w:r>
    </w:p>
    <w:p w14:paraId="40680CD9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项目名称：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图形工作站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；</w:t>
      </w:r>
    </w:p>
    <w:p w14:paraId="49D3EF92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采购方式：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学校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比选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；</w:t>
      </w:r>
    </w:p>
    <w:p w14:paraId="11D14FFE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预算金额（亦是最高限价）：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人民币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15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万元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；</w:t>
      </w:r>
    </w:p>
    <w:p w14:paraId="192657F0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采购需求：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本项目根据实验教学需求，拟购置图形工作站22台（含主机、显示器、网络同传还原系统、键鼠配套设备）。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（具体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要求详见比选文件—第二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章节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采购需求）</w:t>
      </w:r>
    </w:p>
    <w:p w14:paraId="07A4D9AA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交付地址：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上海市海港大道1550号。</w:t>
      </w:r>
    </w:p>
    <w:p w14:paraId="1B7A6D3F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交付时间：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zh-CN" w:eastAsia="zh-CN"/>
        </w:rPr>
        <w:t>合同签订后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10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zh-CN" w:eastAsia="zh-CN"/>
        </w:rPr>
        <w:t>天内完成设备供货、安装及调试工作。</w:t>
      </w:r>
    </w:p>
    <w:p w14:paraId="52623BFF">
      <w:pPr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质保时间：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zh-CN" w:eastAsia="zh-CN"/>
        </w:rPr>
        <w:t>整机（含显示器、键盘、鼠标）提供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不少于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zh-CN" w:eastAsia="zh-CN"/>
        </w:rPr>
        <w:t>3年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的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zh-CN" w:eastAsia="zh-CN"/>
        </w:rPr>
        <w:t>免费质保服务及三年免费上门服务，自验收合格之日起计算；</w:t>
      </w:r>
    </w:p>
    <w:p w14:paraId="27BDE804">
      <w:pP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付款方式：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zh-CN" w:eastAsia="zh-CN"/>
        </w:rPr>
        <w:t>合同签订、设备到货安装并验收合格后10个工作日内一次性支付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。合同内全部款项均以“银行转账”方式予以支付。</w:t>
      </w:r>
    </w:p>
    <w:p w14:paraId="41BEA8D1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二、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报价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人的资格要求</w:t>
      </w:r>
    </w:p>
    <w:p w14:paraId="022E8766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1、符合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《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中华人民共和国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政府采购法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》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第二十二条之供应商资格规定。</w:t>
      </w:r>
    </w:p>
    <w:p w14:paraId="6441606B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2、供应商未被列入“信用中国”网站（www.creditchina.gov.cn）失信执行人名单、重大税收违法案件当事人名单和中国政府采购网（www.ccgp.gov.cn）政府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采购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严重违法失信行为记录名单的供应商。</w:t>
      </w:r>
    </w:p>
    <w:p w14:paraId="3A3BF07A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3、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经营范围及拟投标货物（服务）符合本次比选要求，具有与本次投标货物（服务）相应的经营、代理（经销）资质，能全程参与并完成本项目，且具有较强的服务能力，以及畅通的问题响应机制和渠道等；</w:t>
      </w:r>
    </w:p>
    <w:p w14:paraId="3710B34B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三、报名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要求</w:t>
      </w:r>
    </w:p>
    <w:p w14:paraId="04917284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报名邮箱、时间：不单独组织报名，意向单位可在截止日期前递交响应文件。</w:t>
      </w:r>
    </w:p>
    <w:p w14:paraId="24CD6CDE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四、获取采购文件</w:t>
      </w:r>
    </w:p>
    <w:p w14:paraId="5050A625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获取方式：公告页面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下方自行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下载</w:t>
      </w:r>
    </w:p>
    <w:p w14:paraId="4D745344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bookmarkStart w:id="0" w:name="_Toc28359005"/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五、现场踏勘</w:t>
      </w:r>
      <w:bookmarkEnd w:id="0"/>
    </w:p>
    <w:p w14:paraId="2C262256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不组织。</w:t>
      </w:r>
    </w:p>
    <w:p w14:paraId="213C8131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六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、响应文件提交</w:t>
      </w:r>
    </w:p>
    <w:p w14:paraId="231DF229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</w:pPr>
      <w:bookmarkStart w:id="1" w:name="_Toc35393795"/>
      <w:bookmarkEnd w:id="1"/>
      <w:bookmarkStart w:id="2" w:name="_Toc35393626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截止</w:t>
      </w:r>
      <w:bookmarkEnd w:id="2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时间：202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6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年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11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月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3</w:t>
      </w:r>
      <w:bookmarkStart w:id="4" w:name="_GoBack"/>
      <w:bookmarkEnd w:id="4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日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（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周二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）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上午11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时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00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分</w:t>
      </w:r>
    </w:p>
    <w:p w14:paraId="52EA2719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提交方式：发送盖章扫描版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PDF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到指定邮箱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，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邮件名称：项目编号+公司名称</w:t>
      </w:r>
    </w:p>
    <w:p w14:paraId="45738F2D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邮箱地址：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u w:val="none"/>
        </w:rPr>
        <w:t>quotation@shmtu.edu.cn</w:t>
      </w:r>
    </w:p>
    <w:p w14:paraId="7C16205B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七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、其他补充事宜</w:t>
      </w:r>
    </w:p>
    <w:p w14:paraId="3C9CF2D2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1.中标结果将通过发布比选公告的媒介进行公示，公示期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为1个工作日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，公示期内如对中标结果有异议可向校方提出书面质疑。</w:t>
      </w:r>
      <w:bookmarkStart w:id="3" w:name="_Toc35393627"/>
    </w:p>
    <w:p w14:paraId="17FB2B9E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2.</w:t>
      </w:r>
      <w:bookmarkEnd w:id="3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凡对本次采购提出询问，请按以下方式联系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：</w:t>
      </w:r>
    </w:p>
    <w:p w14:paraId="53930B0F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商务信息：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仲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老师021-3828470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7</w:t>
      </w:r>
    </w:p>
    <w:p w14:paraId="1CEF1F38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技术信息：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沈老师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17811918990</w:t>
      </w:r>
    </w:p>
    <w:p w14:paraId="4B9C0EF3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br w:type="page"/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第二章 采购需求</w:t>
      </w:r>
    </w:p>
    <w:p w14:paraId="7DE6D34A">
      <w:pPr>
        <w:spacing w:line="360" w:lineRule="auto"/>
        <w:rPr>
          <w:rFonts w:hint="default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  <w:lang w:val="en-US" w:eastAsia="zh-CN"/>
        </w:rPr>
      </w:pPr>
      <w:r>
        <w:rPr>
          <w:rFonts w:hint="eastAsia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  <w:lang w:val="en-US" w:eastAsia="zh-CN"/>
        </w:rPr>
        <w:t>一、采购内容清单</w:t>
      </w:r>
    </w:p>
    <w:tbl>
      <w:tblPr>
        <w:tblStyle w:val="14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2"/>
        <w:gridCol w:w="1399"/>
        <w:gridCol w:w="837"/>
        <w:gridCol w:w="1042"/>
        <w:gridCol w:w="5798"/>
      </w:tblGrid>
      <w:tr w14:paraId="19782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443" w:type="pct"/>
            <w:vAlign w:val="center"/>
          </w:tcPr>
          <w:p w14:paraId="2293D7C2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702" w:type="pct"/>
            <w:vAlign w:val="center"/>
          </w:tcPr>
          <w:p w14:paraId="1CC8EB85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  <w:t>名称</w:t>
            </w:r>
          </w:p>
        </w:tc>
        <w:tc>
          <w:tcPr>
            <w:tcW w:w="420" w:type="pct"/>
            <w:vAlign w:val="center"/>
          </w:tcPr>
          <w:p w14:paraId="1475A30A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  <w:t>单位</w:t>
            </w:r>
          </w:p>
        </w:tc>
        <w:tc>
          <w:tcPr>
            <w:tcW w:w="523" w:type="pct"/>
            <w:vAlign w:val="center"/>
          </w:tcPr>
          <w:p w14:paraId="7FFC6CF4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  <w:t>数量</w:t>
            </w:r>
          </w:p>
        </w:tc>
        <w:tc>
          <w:tcPr>
            <w:tcW w:w="2910" w:type="pct"/>
            <w:vAlign w:val="center"/>
          </w:tcPr>
          <w:p w14:paraId="11ECC0EF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  <w:t>主要规格</w:t>
            </w:r>
          </w:p>
        </w:tc>
      </w:tr>
      <w:tr w14:paraId="37258D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43" w:type="pct"/>
            <w:vAlign w:val="center"/>
          </w:tcPr>
          <w:p w14:paraId="322CAF5F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702" w:type="pct"/>
            <w:vAlign w:val="center"/>
          </w:tcPr>
          <w:p w14:paraId="7750AAD9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图形工作站主机</w:t>
            </w:r>
          </w:p>
        </w:tc>
        <w:tc>
          <w:tcPr>
            <w:tcW w:w="420" w:type="pct"/>
            <w:vAlign w:val="center"/>
          </w:tcPr>
          <w:p w14:paraId="4AD73C80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523" w:type="pct"/>
            <w:vAlign w:val="center"/>
          </w:tcPr>
          <w:p w14:paraId="3E38DE3B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22</w:t>
            </w:r>
          </w:p>
        </w:tc>
        <w:tc>
          <w:tcPr>
            <w:tcW w:w="2910" w:type="pct"/>
          </w:tcPr>
          <w:p w14:paraId="26B24E35">
            <w:pPr>
              <w:widowControl/>
              <w:spacing w:line="276" w:lineRule="auto"/>
              <w:rPr>
                <w:rFonts w:hint="eastAsia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1.CPU：intel非移动版桌面级处理器（非低功耗移动版/嵌入式型号）</w:t>
            </w:r>
            <w:r>
              <w:rPr>
                <w:rFonts w:hint="eastAsia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eastAsia="zh-CN"/>
              </w:rPr>
              <w:t>；</w:t>
            </w:r>
          </w:p>
          <w:p w14:paraId="216F19C1">
            <w:pP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2.主板：B760、B650、Q670/W680等同代或更高性能芯片组；供电相数≥8+1+1相混合数字供电；PCIe扩展插槽≥2个；前置USB-C3.2Gen2（10Gbps）；后置视频输出（HDMI、DP）及USB接口齐备；</w:t>
            </w:r>
          </w:p>
          <w:p w14:paraId="3E3BB411">
            <w:pP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3.内存：≥16GB，双通道；DDR43200MHz或DDR54800MHz及以上规格，是否DDR4/DDR5不作限制，与所选CPU平台匹配即可；</w:t>
            </w:r>
          </w:p>
          <w:p w14:paraId="6F5F5FD6">
            <w:pP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4.硬盘：512GBNVMeM.2SSD；</w:t>
            </w:r>
          </w:p>
          <w:p w14:paraId="7C035260">
            <w:pP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5.显卡：集成显卡；</w:t>
            </w:r>
          </w:p>
          <w:p w14:paraId="6BB26E26">
            <w:pP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6.声卡：集成声卡；</w:t>
            </w:r>
          </w:p>
          <w:p w14:paraId="73846CB1">
            <w:pP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7.网卡：2.5Gbps有线网卡+Wi-Fi6无线网卡</w:t>
            </w:r>
          </w:p>
          <w:p w14:paraId="6A5CF526">
            <w:pP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8.电源：标配电源，满足整机功耗需求并留有冗余；</w:t>
            </w:r>
          </w:p>
          <w:p w14:paraId="635F3529">
            <w:pP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9.机箱：黑色立式商用机箱，具备前置USB及音频接口；</w:t>
            </w:r>
          </w:p>
          <w:p w14:paraId="5F8F2E1E">
            <w:pP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.操作系统：预装正版Windows11；</w:t>
            </w:r>
          </w:p>
        </w:tc>
      </w:tr>
      <w:tr w14:paraId="0DEF7A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443" w:type="pct"/>
            <w:vAlign w:val="center"/>
          </w:tcPr>
          <w:p w14:paraId="36B04B52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702" w:type="pct"/>
            <w:vAlign w:val="center"/>
          </w:tcPr>
          <w:p w14:paraId="24465AC3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23.8英寸液晶显示器</w:t>
            </w:r>
          </w:p>
        </w:tc>
        <w:tc>
          <w:tcPr>
            <w:tcW w:w="420" w:type="pct"/>
            <w:vAlign w:val="center"/>
          </w:tcPr>
          <w:p w14:paraId="48266BC4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523" w:type="pct"/>
            <w:vAlign w:val="center"/>
          </w:tcPr>
          <w:p w14:paraId="05010B75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22</w:t>
            </w:r>
          </w:p>
        </w:tc>
        <w:tc>
          <w:tcPr>
            <w:tcW w:w="2910" w:type="pct"/>
          </w:tcPr>
          <w:p w14:paraId="14214566">
            <w:pPr>
              <w:widowControl/>
              <w:spacing w:line="276" w:lineRule="auto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1.≥23.8英寸IPS面板，16:9，分辨率≥1920×1080；</w:t>
            </w:r>
          </w:p>
          <w:p w14:paraId="5B700EE1">
            <w:pP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2.刷新率≥100Hz，响应时间≤5ms；</w:t>
            </w:r>
          </w:p>
          <w:p w14:paraId="74F7A9BF">
            <w:pP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3.色域覆盖≥99%sRGB；具备≥1个HDMI及≥1个DP接口；支持VESA壁挂；</w:t>
            </w:r>
          </w:p>
          <w:p w14:paraId="5C3806B0">
            <w:pP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4.具备3C认证及节能环保认证。</w:t>
            </w:r>
          </w:p>
        </w:tc>
      </w:tr>
      <w:tr w14:paraId="2799D9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4" w:hRule="atLeast"/>
        </w:trPr>
        <w:tc>
          <w:tcPr>
            <w:tcW w:w="443" w:type="pct"/>
            <w:vAlign w:val="center"/>
          </w:tcPr>
          <w:p w14:paraId="37326D41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702" w:type="pct"/>
            <w:vAlign w:val="center"/>
          </w:tcPr>
          <w:p w14:paraId="24961555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USB有线键鼠套装</w:t>
            </w:r>
          </w:p>
        </w:tc>
        <w:tc>
          <w:tcPr>
            <w:tcW w:w="420" w:type="pct"/>
            <w:vAlign w:val="center"/>
          </w:tcPr>
          <w:p w14:paraId="6C807F88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套</w:t>
            </w:r>
          </w:p>
        </w:tc>
        <w:tc>
          <w:tcPr>
            <w:tcW w:w="523" w:type="pct"/>
            <w:vAlign w:val="center"/>
          </w:tcPr>
          <w:p w14:paraId="18A96478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22</w:t>
            </w:r>
          </w:p>
        </w:tc>
        <w:tc>
          <w:tcPr>
            <w:tcW w:w="2910" w:type="pct"/>
            <w:vAlign w:val="center"/>
          </w:tcPr>
          <w:p w14:paraId="357FFDFA">
            <w:pPr>
              <w:widowControl/>
              <w:spacing w:line="276" w:lineRule="auto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1.USB有线光电鼠标（≥1000DPI）；</w:t>
            </w:r>
          </w:p>
          <w:p w14:paraId="0A3F2402">
            <w:pP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2.USB有线键盘（≥104键），具备防水泼溅能力。</w:t>
            </w:r>
          </w:p>
        </w:tc>
      </w:tr>
      <w:tr w14:paraId="48A68A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443" w:type="pct"/>
            <w:vAlign w:val="center"/>
          </w:tcPr>
          <w:p w14:paraId="3DDD96BF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702" w:type="pct"/>
            <w:vAlign w:val="center"/>
          </w:tcPr>
          <w:p w14:paraId="78ECFABF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网络同传还原系统保护卡（软或硬）</w:t>
            </w:r>
          </w:p>
        </w:tc>
        <w:tc>
          <w:tcPr>
            <w:tcW w:w="420" w:type="pct"/>
            <w:vAlign w:val="center"/>
          </w:tcPr>
          <w:p w14:paraId="0F9BEC5A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套</w:t>
            </w:r>
          </w:p>
        </w:tc>
        <w:tc>
          <w:tcPr>
            <w:tcW w:w="523" w:type="pct"/>
            <w:vAlign w:val="center"/>
          </w:tcPr>
          <w:p w14:paraId="6BC6F922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22</w:t>
            </w:r>
          </w:p>
        </w:tc>
        <w:tc>
          <w:tcPr>
            <w:tcW w:w="2910" w:type="pct"/>
          </w:tcPr>
          <w:p w14:paraId="105A60BE">
            <w:pPr>
              <w:rPr>
                <w:rFonts w:hint="eastAsia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1.</w:t>
            </w: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产品为底层驱动级硬盘保护、机房集中运维管理软件，支持分区保护、重启自动还原</w:t>
            </w:r>
            <w:r>
              <w:rPr>
                <w:rFonts w:hint="eastAsia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eastAsia="zh-CN"/>
              </w:rPr>
              <w:t>；</w:t>
            </w:r>
          </w:p>
          <w:p w14:paraId="256DA1FA">
            <w:pP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2.</w:t>
            </w: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具备 PXE 裸机网络同传功能</w:t>
            </w:r>
            <w:r>
              <w:rPr>
                <w:rFonts w:hint="eastAsia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；</w:t>
            </w:r>
          </w:p>
          <w:p w14:paraId="6817D3ED">
            <w:pP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3.交付前完成安装、配置与逐台测试</w:t>
            </w:r>
            <w:r>
              <w:rPr>
                <w:rFonts w:hint="eastAsia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eastAsia="zh-CN"/>
              </w:rPr>
              <w:t>。</w:t>
            </w:r>
          </w:p>
        </w:tc>
      </w:tr>
    </w:tbl>
    <w:p w14:paraId="23686934">
      <w:pPr>
        <w:spacing w:line="360" w:lineRule="auto"/>
        <w:rPr>
          <w:rFonts w:hint="eastAsia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  <w:lang w:val="en-US" w:eastAsia="zh-CN"/>
        </w:rPr>
      </w:pPr>
    </w:p>
    <w:p w14:paraId="4CE1082C">
      <w:pPr>
        <w:widowControl/>
        <w:shd w:val="clear" w:color="auto" w:fill="FFFFFF"/>
        <w:spacing w:line="360" w:lineRule="auto"/>
        <w:jc w:val="left"/>
        <w:rPr>
          <w:rFonts w:hint="default" w:ascii="Times New Roman" w:hAnsi="Times New Roman" w:eastAsia="方正兰亭黑简体" w:cs="Times New Roman"/>
          <w:b/>
          <w:bCs/>
          <w:color w:val="auto"/>
          <w:kern w:val="2"/>
          <w:sz w:val="22"/>
          <w:szCs w:val="22"/>
          <w:highlight w:val="none"/>
          <w:lang w:val="en-US" w:eastAsia="zh-CN" w:bidi="ar-SA"/>
        </w:rPr>
      </w:pPr>
      <w:r>
        <w:rPr>
          <w:rFonts w:hint="eastAsia" w:ascii="Times New Roman" w:hAnsi="Times New Roman" w:eastAsia="方正兰亭黑简体" w:cs="Times New Roman"/>
          <w:b/>
          <w:bCs/>
          <w:color w:val="auto"/>
          <w:kern w:val="2"/>
          <w:sz w:val="22"/>
          <w:szCs w:val="22"/>
          <w:highlight w:val="none"/>
          <w:lang w:val="en-US" w:eastAsia="zh-CN" w:bidi="ar-SA"/>
        </w:rPr>
        <w:t>三、技术要求</w:t>
      </w:r>
    </w:p>
    <w:p w14:paraId="03F6A155">
      <w:pPr>
        <w:widowControl/>
        <w:shd w:val="clear" w:color="auto" w:fill="FFFFFF"/>
        <w:spacing w:line="360" w:lineRule="auto"/>
        <w:ind w:left="0" w:leftChars="0" w:firstLine="0" w:firstLineChars="0"/>
        <w:jc w:val="left"/>
        <w:rPr>
          <w:rFonts w:hint="default" w:ascii="Times New Roman" w:hAnsi="Times New Roman" w:eastAsia="方正兰亭黑简体" w:cs="Times New Roman"/>
          <w:color w:val="auto"/>
          <w:kern w:val="0"/>
          <w:sz w:val="22"/>
          <w:szCs w:val="22"/>
          <w:highlight w:val="none"/>
          <w:u w:val="none"/>
        </w:rPr>
      </w:pPr>
      <w:r>
        <w:rPr>
          <w:rFonts w:hint="default" w:ascii="Times New Roman" w:hAnsi="Times New Roman" w:eastAsia="方正兰亭黑简体" w:cs="Times New Roman"/>
          <w:color w:val="auto"/>
          <w:kern w:val="0"/>
          <w:sz w:val="22"/>
          <w:szCs w:val="22"/>
          <w:highlight w:val="none"/>
          <w:u w:val="none"/>
        </w:rPr>
        <w:t>1.功能要求</w:t>
      </w:r>
    </w:p>
    <w:p w14:paraId="2797F8BF">
      <w:pPr>
        <w:widowControl/>
        <w:shd w:val="clear" w:color="auto" w:fill="FFFFFF"/>
        <w:spacing w:line="360" w:lineRule="auto"/>
        <w:ind w:left="0" w:leftChars="0" w:firstLine="0" w:firstLineChars="0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  <w:u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  <w:u w:val="none"/>
        </w:rPr>
        <w:t>具备稳定的高性能计算和图形处理能力，满足实验课程教学需求；须为全新原装正品，非二手、非翻新、非拆机件；</w:t>
      </w:r>
    </w:p>
    <w:p w14:paraId="0C2E7A14">
      <w:pPr>
        <w:widowControl/>
        <w:shd w:val="clear" w:color="auto" w:fill="FFFFFF"/>
        <w:spacing w:line="360" w:lineRule="auto"/>
        <w:ind w:left="0" w:leftChars="0" w:firstLine="0" w:firstLineChars="0"/>
        <w:jc w:val="left"/>
        <w:rPr>
          <w:rFonts w:hint="default" w:ascii="Times New Roman" w:hAnsi="Times New Roman" w:eastAsia="方正兰亭黑简体" w:cs="Times New Roman"/>
          <w:color w:val="auto"/>
          <w:kern w:val="0"/>
          <w:sz w:val="22"/>
          <w:szCs w:val="22"/>
          <w:highlight w:val="none"/>
          <w:u w:val="none"/>
        </w:rPr>
      </w:pPr>
      <w:r>
        <w:rPr>
          <w:rFonts w:hint="default" w:ascii="Times New Roman" w:hAnsi="Times New Roman" w:eastAsia="方正兰亭黑简体" w:cs="Times New Roman"/>
          <w:color w:val="auto"/>
          <w:kern w:val="0"/>
          <w:sz w:val="22"/>
          <w:szCs w:val="22"/>
          <w:highlight w:val="none"/>
          <w:u w:val="none"/>
        </w:rPr>
        <w:t>2.应遵循的相关国家标准、行业标准、地方标准等标准、规范</w:t>
      </w:r>
    </w:p>
    <w:p w14:paraId="6E0DF7B4">
      <w:pPr>
        <w:widowControl/>
        <w:shd w:val="clear" w:color="auto" w:fill="FFFFFF"/>
        <w:spacing w:line="360" w:lineRule="auto"/>
        <w:ind w:left="0" w:leftChars="0" w:firstLine="0" w:firstLineChars="0"/>
        <w:jc w:val="left"/>
        <w:rPr>
          <w:rFonts w:hint="default" w:ascii="Times New Roman" w:hAnsi="Times New Roman" w:eastAsia="方正兰亭黑简体" w:cs="Times New Roman"/>
          <w:color w:val="auto"/>
          <w:kern w:val="0"/>
          <w:sz w:val="22"/>
          <w:szCs w:val="22"/>
          <w:highlight w:val="none"/>
          <w:u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  <w:u w:val="none"/>
        </w:rPr>
        <w:t>机房计算机设备的设计、生产、检验、包装、运输、环保、安全和服务应符合国家现行法律法规及标准规范，主要执行标准包括但不限于：GB 4943.1（信息技术设备安全）、GB 21520（显示器能效限定值及能效等级）、GB 28380（微型计算机能效限定值及能效等级）、GB/T 9813（微型计算机通用规范）；显示器须具备CCC强制性产品认证；台式计算机主机及显示器须属于《节能产品政府采购品目清单》《环境标志产品政府采购品目清单》范围内产品，并提供有效期内的节能产品认证证书、环境标志产品认证证书。</w:t>
      </w:r>
    </w:p>
    <w:p w14:paraId="28E49533">
      <w:pPr>
        <w:widowControl/>
        <w:shd w:val="clear" w:color="auto" w:fill="FFFFFF"/>
        <w:spacing w:line="360" w:lineRule="auto"/>
        <w:ind w:left="0" w:leftChars="0" w:firstLine="0" w:firstLineChars="0"/>
        <w:jc w:val="left"/>
        <w:rPr>
          <w:rFonts w:hint="default" w:ascii="Times New Roman" w:hAnsi="Times New Roman" w:eastAsia="方正兰亭黑简体" w:cs="Times New Roman"/>
          <w:color w:val="auto"/>
          <w:kern w:val="0"/>
          <w:sz w:val="22"/>
          <w:szCs w:val="22"/>
          <w:highlight w:val="none"/>
          <w:u w:val="none"/>
        </w:rPr>
      </w:pPr>
      <w:r>
        <w:rPr>
          <w:rFonts w:hint="default" w:ascii="Times New Roman" w:hAnsi="Times New Roman" w:eastAsia="方正兰亭黑简体" w:cs="Times New Roman"/>
          <w:color w:val="auto"/>
          <w:kern w:val="0"/>
          <w:sz w:val="22"/>
          <w:szCs w:val="22"/>
          <w:highlight w:val="none"/>
          <w:u w:val="none"/>
        </w:rPr>
        <w:t>3.后续运营维护、升级更新、备品备件等要求</w:t>
      </w:r>
    </w:p>
    <w:p w14:paraId="643C9314">
      <w:pPr>
        <w:widowControl/>
        <w:shd w:val="clear" w:color="auto" w:fill="FFFFFF"/>
        <w:spacing w:line="360" w:lineRule="auto"/>
        <w:ind w:left="0" w:leftChars="0" w:firstLine="0" w:firstLineChars="0"/>
        <w:jc w:val="left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  <w:u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  <w:u w:val="none"/>
        </w:rPr>
        <w:t>整机（含所有配件）提供≥3年免费质保服务及三年免费上门服务，自验收合格之日起计算，质保期内包含零部件更换、人工、上门服务等费用；提供售后服务承诺函并加盖公章；具备7×24小时技术支持热线，故障报修后2小时内响应、24小时内到达现场、48小时内修复，超过48小时未能修复的须提供同档次备用机；备品备件：供应商须在本地备有键盘、鼠标、电源、硬盘、内存等常用备件，质保期内免费更换；质保期满后提供不少于3年的有偿维保服务，维保价格须在投标文件中单列承诺；软件产品提供≥3年免费升级及技术支持。</w:t>
      </w:r>
    </w:p>
    <w:p w14:paraId="02E34009">
      <w:pPr>
        <w:widowControl/>
        <w:shd w:val="clear" w:color="auto" w:fill="FFFFFF"/>
        <w:spacing w:line="360" w:lineRule="auto"/>
        <w:ind w:left="0" w:leftChars="0" w:firstLine="0" w:firstLineChars="0"/>
        <w:jc w:val="left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  <w:u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  <w:u w:val="none"/>
        </w:rPr>
        <w:t>4.各项指标要求</w:t>
      </w:r>
    </w:p>
    <w:tbl>
      <w:tblPr>
        <w:tblStyle w:val="14"/>
        <w:tblW w:w="498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3"/>
        <w:gridCol w:w="1617"/>
        <w:gridCol w:w="895"/>
        <w:gridCol w:w="5578"/>
        <w:gridCol w:w="1207"/>
      </w:tblGrid>
      <w:tr w14:paraId="3FAF6C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323" w:type="pct"/>
            <w:vAlign w:val="center"/>
          </w:tcPr>
          <w:p w14:paraId="631C3D9C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813" w:type="pct"/>
            <w:vAlign w:val="center"/>
          </w:tcPr>
          <w:p w14:paraId="4D74672F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指标名称</w:t>
            </w:r>
          </w:p>
        </w:tc>
        <w:tc>
          <w:tcPr>
            <w:tcW w:w="450" w:type="pct"/>
            <w:vAlign w:val="center"/>
          </w:tcPr>
          <w:p w14:paraId="05A75AEE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是否核心指标</w:t>
            </w:r>
          </w:p>
        </w:tc>
        <w:tc>
          <w:tcPr>
            <w:tcW w:w="2804" w:type="pct"/>
            <w:vAlign w:val="center"/>
          </w:tcPr>
          <w:p w14:paraId="005822AC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指标要求</w:t>
            </w:r>
          </w:p>
        </w:tc>
        <w:tc>
          <w:tcPr>
            <w:tcW w:w="607" w:type="pct"/>
            <w:vAlign w:val="center"/>
          </w:tcPr>
          <w:p w14:paraId="5036DB87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是否需要</w:t>
            </w:r>
          </w:p>
          <w:p w14:paraId="6390A8FA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证明材料</w:t>
            </w:r>
          </w:p>
        </w:tc>
      </w:tr>
      <w:tr w14:paraId="0A2029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323" w:type="pct"/>
            <w:vAlign w:val="center"/>
          </w:tcPr>
          <w:p w14:paraId="47DD1B0E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813" w:type="pct"/>
            <w:vAlign w:val="center"/>
          </w:tcPr>
          <w:p w14:paraId="0863B7D0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处理器（CPU）</w:t>
            </w:r>
          </w:p>
        </w:tc>
        <w:tc>
          <w:tcPr>
            <w:tcW w:w="450" w:type="pct"/>
            <w:vAlign w:val="center"/>
          </w:tcPr>
          <w:p w14:paraId="748F643A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是</w:t>
            </w:r>
          </w:p>
        </w:tc>
        <w:tc>
          <w:tcPr>
            <w:tcW w:w="2804" w:type="pct"/>
            <w:vAlign w:val="center"/>
          </w:tcPr>
          <w:p w14:paraId="3C04F1B8">
            <w:pPr>
              <w:widowControl/>
              <w:spacing w:line="360" w:lineRule="auto"/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★</w:t>
            </w:r>
            <w:r>
              <w:rPr>
                <w:rFonts w:hint="eastAsia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≥</w:t>
            </w:r>
            <w:r>
              <w:rPr>
                <w:rFonts w:hint="eastAsia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color w:val="auto"/>
                <w:sz w:val="21"/>
                <w:szCs w:val="21"/>
                <w:highlight w:val="none"/>
              </w:rPr>
              <w:t>Intel I5-13400 10核心、2.5GHz主频，16T  20M缓存</w:t>
            </w:r>
          </w:p>
        </w:tc>
        <w:tc>
          <w:tcPr>
            <w:tcW w:w="607" w:type="pct"/>
            <w:vAlign w:val="center"/>
          </w:tcPr>
          <w:p w14:paraId="24B9E202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是</w:t>
            </w:r>
          </w:p>
        </w:tc>
      </w:tr>
      <w:tr w14:paraId="786536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323" w:type="pct"/>
            <w:vAlign w:val="center"/>
          </w:tcPr>
          <w:p w14:paraId="0ED614D4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813" w:type="pct"/>
            <w:vAlign w:val="center"/>
          </w:tcPr>
          <w:p w14:paraId="45E9D3F2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主板</w:t>
            </w:r>
          </w:p>
        </w:tc>
        <w:tc>
          <w:tcPr>
            <w:tcW w:w="450" w:type="pct"/>
            <w:vAlign w:val="center"/>
          </w:tcPr>
          <w:p w14:paraId="3674B6F8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是</w:t>
            </w:r>
          </w:p>
        </w:tc>
        <w:tc>
          <w:tcPr>
            <w:tcW w:w="2804" w:type="pct"/>
            <w:vAlign w:val="center"/>
          </w:tcPr>
          <w:p w14:paraId="369C0995">
            <w:pPr>
              <w:widowControl/>
              <w:spacing w:line="360" w:lineRule="auto"/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★</w:t>
            </w:r>
            <w:r>
              <w:rPr>
                <w:rFonts w:hint="eastAsia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color w:val="auto"/>
                <w:sz w:val="21"/>
                <w:szCs w:val="21"/>
                <w:highlight w:val="none"/>
              </w:rPr>
              <w:t>≥Intel B760及以上芯片组</w:t>
            </w:r>
            <w:r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；</w:t>
            </w:r>
          </w:p>
        </w:tc>
        <w:tc>
          <w:tcPr>
            <w:tcW w:w="607" w:type="pct"/>
            <w:vAlign w:val="center"/>
          </w:tcPr>
          <w:p w14:paraId="1B286988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是</w:t>
            </w:r>
          </w:p>
        </w:tc>
      </w:tr>
      <w:tr w14:paraId="58A5DE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323" w:type="pct"/>
            <w:vAlign w:val="center"/>
          </w:tcPr>
          <w:p w14:paraId="5DD7CB5E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813" w:type="pct"/>
            <w:vAlign w:val="center"/>
          </w:tcPr>
          <w:p w14:paraId="3AA1C0F9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内存</w:t>
            </w:r>
          </w:p>
        </w:tc>
        <w:tc>
          <w:tcPr>
            <w:tcW w:w="450" w:type="pct"/>
            <w:vAlign w:val="center"/>
          </w:tcPr>
          <w:p w14:paraId="6A74D28B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是</w:t>
            </w:r>
          </w:p>
        </w:tc>
        <w:tc>
          <w:tcPr>
            <w:tcW w:w="2804" w:type="pct"/>
            <w:vAlign w:val="center"/>
          </w:tcPr>
          <w:p w14:paraId="1EBE0048">
            <w:pPr>
              <w:widowControl/>
              <w:spacing w:line="360" w:lineRule="auto"/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★容量≥16GB；双通道架构；DDR43200MHz或DDR54800MHz及以上规格均可，不限定具体内存代数。</w:t>
            </w:r>
          </w:p>
        </w:tc>
        <w:tc>
          <w:tcPr>
            <w:tcW w:w="607" w:type="pct"/>
            <w:vAlign w:val="center"/>
          </w:tcPr>
          <w:p w14:paraId="7A1D7F34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是</w:t>
            </w:r>
          </w:p>
        </w:tc>
      </w:tr>
      <w:tr w14:paraId="32688C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323" w:type="pct"/>
            <w:vAlign w:val="center"/>
          </w:tcPr>
          <w:p w14:paraId="6E617AD8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813" w:type="pct"/>
            <w:vAlign w:val="center"/>
          </w:tcPr>
          <w:p w14:paraId="2CB2B3E5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硬盘</w:t>
            </w:r>
          </w:p>
        </w:tc>
        <w:tc>
          <w:tcPr>
            <w:tcW w:w="450" w:type="pct"/>
            <w:vAlign w:val="center"/>
          </w:tcPr>
          <w:p w14:paraId="5EAC22BE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是</w:t>
            </w:r>
          </w:p>
        </w:tc>
        <w:tc>
          <w:tcPr>
            <w:tcW w:w="2804" w:type="pct"/>
            <w:vAlign w:val="center"/>
          </w:tcPr>
          <w:p w14:paraId="0CBDC8F7">
            <w:pPr>
              <w:widowControl/>
              <w:spacing w:line="360" w:lineRule="auto"/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★系统盘≥512GBNVMeM.2SSD，连续读取速度≥3500MB/s；</w:t>
            </w:r>
          </w:p>
        </w:tc>
        <w:tc>
          <w:tcPr>
            <w:tcW w:w="607" w:type="pct"/>
            <w:vAlign w:val="center"/>
          </w:tcPr>
          <w:p w14:paraId="67D35B75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是</w:t>
            </w:r>
          </w:p>
        </w:tc>
      </w:tr>
      <w:tr w14:paraId="0DB132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323" w:type="pct"/>
            <w:vAlign w:val="center"/>
          </w:tcPr>
          <w:p w14:paraId="6FDEBFF4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5</w:t>
            </w:r>
          </w:p>
        </w:tc>
        <w:tc>
          <w:tcPr>
            <w:tcW w:w="813" w:type="pct"/>
            <w:vAlign w:val="center"/>
          </w:tcPr>
          <w:p w14:paraId="4F76D57F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显卡</w:t>
            </w:r>
          </w:p>
        </w:tc>
        <w:tc>
          <w:tcPr>
            <w:tcW w:w="450" w:type="pct"/>
            <w:vAlign w:val="center"/>
          </w:tcPr>
          <w:p w14:paraId="1CE94BAB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是</w:t>
            </w:r>
          </w:p>
        </w:tc>
        <w:tc>
          <w:tcPr>
            <w:tcW w:w="2804" w:type="pct"/>
            <w:vAlign w:val="center"/>
          </w:tcPr>
          <w:p w14:paraId="3D08B37E">
            <w:pPr>
              <w:widowControl/>
              <w:spacing w:line="360" w:lineRule="auto"/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集成显卡方案；显卡品牌及架构代次不作限定，满足上述性能即可。</w:t>
            </w:r>
          </w:p>
        </w:tc>
        <w:tc>
          <w:tcPr>
            <w:tcW w:w="607" w:type="pct"/>
            <w:vAlign w:val="center"/>
          </w:tcPr>
          <w:p w14:paraId="11DAB07C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否</w:t>
            </w:r>
          </w:p>
        </w:tc>
      </w:tr>
      <w:tr w14:paraId="519F1F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323" w:type="pct"/>
            <w:vAlign w:val="center"/>
          </w:tcPr>
          <w:p w14:paraId="61D8299A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6</w:t>
            </w:r>
          </w:p>
        </w:tc>
        <w:tc>
          <w:tcPr>
            <w:tcW w:w="813" w:type="pct"/>
            <w:vAlign w:val="center"/>
          </w:tcPr>
          <w:p w14:paraId="3CC0DF99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声卡</w:t>
            </w:r>
          </w:p>
        </w:tc>
        <w:tc>
          <w:tcPr>
            <w:tcW w:w="450" w:type="pct"/>
            <w:vAlign w:val="center"/>
          </w:tcPr>
          <w:p w14:paraId="4E4EC493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否</w:t>
            </w:r>
          </w:p>
        </w:tc>
        <w:tc>
          <w:tcPr>
            <w:tcW w:w="2804" w:type="pct"/>
            <w:vAlign w:val="center"/>
          </w:tcPr>
          <w:p w14:paraId="3ED82CFE">
            <w:pPr>
              <w:widowControl/>
              <w:spacing w:line="360" w:lineRule="auto"/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集成声卡，支持多声道音频输出；最高24bit/192kHzLPCM输出；前面板提供≥2个音频接口。</w:t>
            </w:r>
          </w:p>
        </w:tc>
        <w:tc>
          <w:tcPr>
            <w:tcW w:w="607" w:type="pct"/>
            <w:vAlign w:val="center"/>
          </w:tcPr>
          <w:p w14:paraId="0642F434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否</w:t>
            </w:r>
          </w:p>
        </w:tc>
      </w:tr>
      <w:tr w14:paraId="5572FE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323" w:type="pct"/>
            <w:vAlign w:val="center"/>
          </w:tcPr>
          <w:p w14:paraId="60976616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7</w:t>
            </w:r>
          </w:p>
        </w:tc>
        <w:tc>
          <w:tcPr>
            <w:tcW w:w="813" w:type="pct"/>
            <w:vAlign w:val="center"/>
          </w:tcPr>
          <w:p w14:paraId="2B34484A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网卡</w:t>
            </w:r>
          </w:p>
        </w:tc>
        <w:tc>
          <w:tcPr>
            <w:tcW w:w="450" w:type="pct"/>
            <w:vAlign w:val="center"/>
          </w:tcPr>
          <w:p w14:paraId="0FC600C0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否</w:t>
            </w:r>
          </w:p>
        </w:tc>
        <w:tc>
          <w:tcPr>
            <w:tcW w:w="2804" w:type="pct"/>
            <w:vAlign w:val="center"/>
          </w:tcPr>
          <w:p w14:paraId="3A176C44">
            <w:pPr>
              <w:widowControl/>
              <w:spacing w:line="360" w:lineRule="auto"/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主板集成</w:t>
            </w:r>
            <w:r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网卡。</w:t>
            </w:r>
          </w:p>
        </w:tc>
        <w:tc>
          <w:tcPr>
            <w:tcW w:w="607" w:type="pct"/>
            <w:vAlign w:val="center"/>
          </w:tcPr>
          <w:p w14:paraId="2FA12E1E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否</w:t>
            </w:r>
          </w:p>
        </w:tc>
      </w:tr>
      <w:tr w14:paraId="7979A6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323" w:type="pct"/>
            <w:vAlign w:val="center"/>
          </w:tcPr>
          <w:p w14:paraId="3793B6A8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8</w:t>
            </w:r>
          </w:p>
        </w:tc>
        <w:tc>
          <w:tcPr>
            <w:tcW w:w="813" w:type="pct"/>
            <w:vAlign w:val="center"/>
          </w:tcPr>
          <w:p w14:paraId="38D31237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电源</w:t>
            </w:r>
          </w:p>
        </w:tc>
        <w:tc>
          <w:tcPr>
            <w:tcW w:w="450" w:type="pct"/>
            <w:vAlign w:val="center"/>
          </w:tcPr>
          <w:p w14:paraId="146E90E4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是</w:t>
            </w:r>
          </w:p>
        </w:tc>
        <w:tc>
          <w:tcPr>
            <w:tcW w:w="2804" w:type="pct"/>
            <w:vAlign w:val="center"/>
          </w:tcPr>
          <w:p w14:paraId="70B92430">
            <w:pPr>
              <w:widowControl/>
              <w:spacing w:line="360" w:lineRule="auto"/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额定功率满足整机满载功耗需求并留有冗余；通过相关安规认证。</w:t>
            </w:r>
          </w:p>
        </w:tc>
        <w:tc>
          <w:tcPr>
            <w:tcW w:w="607" w:type="pct"/>
            <w:vAlign w:val="center"/>
          </w:tcPr>
          <w:p w14:paraId="09AE2978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否</w:t>
            </w:r>
          </w:p>
        </w:tc>
      </w:tr>
      <w:tr w14:paraId="4C09F3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323" w:type="pct"/>
            <w:vAlign w:val="center"/>
          </w:tcPr>
          <w:p w14:paraId="4B06A79F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9</w:t>
            </w:r>
          </w:p>
        </w:tc>
        <w:tc>
          <w:tcPr>
            <w:tcW w:w="813" w:type="pct"/>
            <w:vAlign w:val="center"/>
          </w:tcPr>
          <w:p w14:paraId="5959559A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机箱</w:t>
            </w:r>
          </w:p>
        </w:tc>
        <w:tc>
          <w:tcPr>
            <w:tcW w:w="450" w:type="pct"/>
            <w:vAlign w:val="center"/>
          </w:tcPr>
          <w:p w14:paraId="5335E2CA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是</w:t>
            </w:r>
          </w:p>
        </w:tc>
        <w:tc>
          <w:tcPr>
            <w:tcW w:w="2804" w:type="pct"/>
            <w:vAlign w:val="center"/>
          </w:tcPr>
          <w:p w14:paraId="554A4429">
            <w:pPr>
              <w:widowControl/>
              <w:spacing w:line="360" w:lineRule="auto"/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黑色外观；容量≤30L；立式或可卧式结构；具备前置USB及音频接口；前面板提供电源指示灯、硬盘指示灯。</w:t>
            </w:r>
          </w:p>
        </w:tc>
        <w:tc>
          <w:tcPr>
            <w:tcW w:w="607" w:type="pct"/>
            <w:vAlign w:val="center"/>
          </w:tcPr>
          <w:p w14:paraId="1D25BE80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否</w:t>
            </w:r>
          </w:p>
        </w:tc>
      </w:tr>
      <w:tr w14:paraId="75DF18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323" w:type="pct"/>
            <w:vAlign w:val="center"/>
          </w:tcPr>
          <w:p w14:paraId="2854B75A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11</w:t>
            </w:r>
          </w:p>
        </w:tc>
        <w:tc>
          <w:tcPr>
            <w:tcW w:w="813" w:type="pct"/>
            <w:vAlign w:val="center"/>
          </w:tcPr>
          <w:p w14:paraId="550ACF5C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键鼠</w:t>
            </w:r>
          </w:p>
        </w:tc>
        <w:tc>
          <w:tcPr>
            <w:tcW w:w="450" w:type="pct"/>
            <w:vAlign w:val="center"/>
          </w:tcPr>
          <w:p w14:paraId="1AC1EA32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否</w:t>
            </w:r>
          </w:p>
        </w:tc>
        <w:tc>
          <w:tcPr>
            <w:tcW w:w="2804" w:type="pct"/>
            <w:vAlign w:val="center"/>
          </w:tcPr>
          <w:p w14:paraId="1C42379D">
            <w:pPr>
              <w:widowControl/>
              <w:spacing w:line="360" w:lineRule="auto"/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USB有线光电鼠标（≥1000DPI）；USB有线键盘；键鼠具备防水泼溅能力，须为原厂同品牌配套或同等品质产品。</w:t>
            </w:r>
          </w:p>
        </w:tc>
        <w:tc>
          <w:tcPr>
            <w:tcW w:w="607" w:type="pct"/>
            <w:vAlign w:val="center"/>
          </w:tcPr>
          <w:p w14:paraId="335C4566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否</w:t>
            </w:r>
          </w:p>
        </w:tc>
      </w:tr>
      <w:tr w14:paraId="712009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643" w:type="dxa"/>
            <w:vAlign w:val="center"/>
          </w:tcPr>
          <w:p w14:paraId="0AC8F88E">
            <w:pPr>
              <w:spacing w:line="360" w:lineRule="auto"/>
              <w:jc w:val="center"/>
              <w:rPr>
                <w:rFonts w:hint="eastAsia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1</w:t>
            </w:r>
            <w:r>
              <w:rPr>
                <w:rFonts w:hint="eastAsia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1617" w:type="dxa"/>
            <w:vAlign w:val="center"/>
          </w:tcPr>
          <w:p w14:paraId="5AF40A38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显示器</w:t>
            </w:r>
          </w:p>
        </w:tc>
        <w:tc>
          <w:tcPr>
            <w:tcW w:w="895" w:type="dxa"/>
            <w:vAlign w:val="center"/>
          </w:tcPr>
          <w:p w14:paraId="5F38EDBE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是</w:t>
            </w:r>
          </w:p>
        </w:tc>
        <w:tc>
          <w:tcPr>
            <w:tcW w:w="5578" w:type="dxa"/>
            <w:vAlign w:val="center"/>
          </w:tcPr>
          <w:p w14:paraId="26058557">
            <w:pPr>
              <w:widowControl/>
              <w:spacing w:line="360" w:lineRule="auto"/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≥23.8英寸IPS面板、16:9、分辨率≥1920×1080；★刷新率≥100Hz，响应时间≤5ms；色域覆盖≥99%sRGB；具备≥1个HDMI及≥1个DP接口，支持VESA壁挂；具备CCC强制性产品认证，并同时具备节能产品认证和环境标志产品认证。</w:t>
            </w:r>
          </w:p>
        </w:tc>
        <w:tc>
          <w:tcPr>
            <w:tcW w:w="1207" w:type="dxa"/>
            <w:vAlign w:val="center"/>
          </w:tcPr>
          <w:p w14:paraId="3CD922FD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是</w:t>
            </w:r>
          </w:p>
        </w:tc>
      </w:tr>
      <w:tr w14:paraId="3B7442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323" w:type="pct"/>
            <w:vAlign w:val="center"/>
          </w:tcPr>
          <w:p w14:paraId="504A61AC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13</w:t>
            </w:r>
          </w:p>
        </w:tc>
        <w:tc>
          <w:tcPr>
            <w:tcW w:w="813" w:type="pct"/>
            <w:shd w:val="clear" w:color="auto" w:fill="auto"/>
            <w:vAlign w:val="center"/>
          </w:tcPr>
          <w:p w14:paraId="1C164BFE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整机质保与服务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07991AAC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是</w:t>
            </w:r>
          </w:p>
        </w:tc>
        <w:tc>
          <w:tcPr>
            <w:tcW w:w="2804" w:type="pct"/>
            <w:shd w:val="clear" w:color="auto" w:fill="auto"/>
            <w:vAlign w:val="center"/>
          </w:tcPr>
          <w:p w14:paraId="6958675C">
            <w:pPr>
              <w:widowControl/>
              <w:spacing w:line="360" w:lineRule="auto"/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整机（含所有配件）提供≥3年免费质保服务；提供售后服务承诺函（加盖公章）；具备7×24小时技术支持热线，故障报修后2小时内响应、24小时内到达现场、48小时内修复。</w:t>
            </w:r>
          </w:p>
        </w:tc>
        <w:tc>
          <w:tcPr>
            <w:tcW w:w="607" w:type="pct"/>
            <w:shd w:val="clear" w:color="auto" w:fill="auto"/>
            <w:vAlign w:val="center"/>
          </w:tcPr>
          <w:p w14:paraId="713BC067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是</w:t>
            </w:r>
          </w:p>
        </w:tc>
      </w:tr>
      <w:tr w14:paraId="0BF895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323" w:type="pct"/>
            <w:vAlign w:val="center"/>
          </w:tcPr>
          <w:p w14:paraId="750E83DB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813" w:type="pct"/>
            <w:vAlign w:val="center"/>
          </w:tcPr>
          <w:p w14:paraId="48E55295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450" w:type="pct"/>
            <w:vAlign w:val="center"/>
          </w:tcPr>
          <w:p w14:paraId="209DF8DF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2804" w:type="pct"/>
            <w:vAlign w:val="center"/>
          </w:tcPr>
          <w:p w14:paraId="67613536">
            <w:pPr>
              <w:widowControl/>
              <w:spacing w:line="360" w:lineRule="auto"/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607" w:type="pct"/>
            <w:vAlign w:val="center"/>
          </w:tcPr>
          <w:p w14:paraId="17434D49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</w:p>
        </w:tc>
      </w:tr>
      <w:tr w14:paraId="5CBA88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323" w:type="pct"/>
            <w:vAlign w:val="center"/>
          </w:tcPr>
          <w:p w14:paraId="5A9AA098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14</w:t>
            </w:r>
          </w:p>
        </w:tc>
        <w:tc>
          <w:tcPr>
            <w:tcW w:w="813" w:type="pct"/>
            <w:vAlign w:val="center"/>
          </w:tcPr>
          <w:p w14:paraId="790FC879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操作系统</w:t>
            </w:r>
          </w:p>
        </w:tc>
        <w:tc>
          <w:tcPr>
            <w:tcW w:w="450" w:type="pct"/>
            <w:vAlign w:val="center"/>
          </w:tcPr>
          <w:p w14:paraId="6D8AC151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是</w:t>
            </w:r>
          </w:p>
        </w:tc>
        <w:tc>
          <w:tcPr>
            <w:tcW w:w="2804" w:type="pct"/>
            <w:vAlign w:val="center"/>
          </w:tcPr>
          <w:p w14:paraId="7F2727E6">
            <w:pPr>
              <w:widowControl/>
              <w:spacing w:line="360" w:lineRule="auto"/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预装正版Windows11；</w:t>
            </w:r>
          </w:p>
        </w:tc>
        <w:tc>
          <w:tcPr>
            <w:tcW w:w="607" w:type="pct"/>
            <w:vAlign w:val="center"/>
          </w:tcPr>
          <w:p w14:paraId="1C329CEA">
            <w:pPr>
              <w:widowControl/>
              <w:spacing w:line="360" w:lineRule="auto"/>
              <w:jc w:val="center"/>
              <w:rPr>
                <w:rFonts w:hint="eastAsia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是</w:t>
            </w:r>
          </w:p>
        </w:tc>
      </w:tr>
      <w:tr w14:paraId="780858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323" w:type="pct"/>
            <w:vAlign w:val="center"/>
          </w:tcPr>
          <w:p w14:paraId="0C812999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15</w:t>
            </w:r>
          </w:p>
        </w:tc>
        <w:tc>
          <w:tcPr>
            <w:tcW w:w="813" w:type="pct"/>
            <w:vAlign w:val="center"/>
          </w:tcPr>
          <w:p w14:paraId="52259199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同传还原·部署与集中运维</w:t>
            </w:r>
          </w:p>
        </w:tc>
        <w:tc>
          <w:tcPr>
            <w:tcW w:w="450" w:type="pct"/>
            <w:vAlign w:val="center"/>
          </w:tcPr>
          <w:p w14:paraId="064F6B35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否</w:t>
            </w:r>
          </w:p>
        </w:tc>
        <w:tc>
          <w:tcPr>
            <w:tcW w:w="2804" w:type="pct"/>
            <w:vAlign w:val="center"/>
          </w:tcPr>
          <w:p w14:paraId="2FD094D1">
            <w:pPr>
              <w:widowControl/>
              <w:spacing w:line="360" w:lineRule="auto"/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支持U盘、PXE等多种引导安装方式，支持外部交换机DHCP、固定IP、自动获取三种网络配置方式；；具备BT服务端与BT客户端能力以保障同传速度；</w:t>
            </w:r>
          </w:p>
        </w:tc>
        <w:tc>
          <w:tcPr>
            <w:tcW w:w="607" w:type="pct"/>
            <w:vAlign w:val="center"/>
          </w:tcPr>
          <w:p w14:paraId="6FE9D11E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否</w:t>
            </w:r>
          </w:p>
        </w:tc>
      </w:tr>
      <w:tr w14:paraId="04152C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323" w:type="pct"/>
            <w:vAlign w:val="center"/>
          </w:tcPr>
          <w:p w14:paraId="60A4CF62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16</w:t>
            </w:r>
          </w:p>
        </w:tc>
        <w:tc>
          <w:tcPr>
            <w:tcW w:w="813" w:type="pct"/>
            <w:vAlign w:val="center"/>
          </w:tcPr>
          <w:p w14:paraId="2DB4C7FB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硬件证明材料</w:t>
            </w:r>
          </w:p>
        </w:tc>
        <w:tc>
          <w:tcPr>
            <w:tcW w:w="450" w:type="pct"/>
            <w:vAlign w:val="center"/>
          </w:tcPr>
          <w:p w14:paraId="0B68B8CF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是</w:t>
            </w:r>
          </w:p>
        </w:tc>
        <w:tc>
          <w:tcPr>
            <w:tcW w:w="2804" w:type="pct"/>
            <w:vAlign w:val="center"/>
          </w:tcPr>
          <w:p w14:paraId="4B86A1C2">
            <w:pPr>
              <w:widowControl/>
              <w:spacing w:line="360" w:lineRule="auto"/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投标时须提供以下证明材料：各主要部件（CPU、主板、内存、硬盘、显卡、电源、显示器）原厂参数规格书、产品彩页或官网截图之一；整机三年质保售后服务承诺函（加盖公章）。未提供或证明材料不足以证明满足要求的，视为该指标不满足。</w:t>
            </w:r>
          </w:p>
        </w:tc>
        <w:tc>
          <w:tcPr>
            <w:tcW w:w="607" w:type="pct"/>
            <w:vAlign w:val="center"/>
          </w:tcPr>
          <w:p w14:paraId="06F87109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是</w:t>
            </w:r>
          </w:p>
        </w:tc>
      </w:tr>
      <w:tr w14:paraId="06DD71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323" w:type="pct"/>
            <w:vAlign w:val="center"/>
          </w:tcPr>
          <w:p w14:paraId="29436E06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17</w:t>
            </w:r>
          </w:p>
        </w:tc>
        <w:tc>
          <w:tcPr>
            <w:tcW w:w="813" w:type="pct"/>
            <w:vAlign w:val="center"/>
          </w:tcPr>
          <w:p w14:paraId="1AE0ACCE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投标响应要求</w:t>
            </w:r>
          </w:p>
        </w:tc>
        <w:tc>
          <w:tcPr>
            <w:tcW w:w="450" w:type="pct"/>
            <w:vAlign w:val="center"/>
          </w:tcPr>
          <w:p w14:paraId="38521F65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是</w:t>
            </w:r>
          </w:p>
        </w:tc>
        <w:tc>
          <w:tcPr>
            <w:tcW w:w="2804" w:type="pct"/>
            <w:vAlign w:val="center"/>
          </w:tcPr>
          <w:p w14:paraId="418B4740">
            <w:pPr>
              <w:widowControl/>
              <w:spacing w:line="360" w:lineRule="auto"/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投标方须按本采购需求书逐项响应，逐条说明“完全响应”或“偏离”并注明偏离内容；带★参数须提供对应证明材料，未提供或材料不足以证明的视为不满足；技术偏离表须加盖投标单位公章；中标方须在安装部署完成后配合采购人到指定机房逐项实测，实测不合格的须在5日内整改，整改后仍不合格或存在以虚假材料谋取中标情形的，按《</w:t>
            </w:r>
            <w:r>
              <w:rPr>
                <w:rFonts w:hint="eastAsia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  <w:lang w:eastAsia="zh-CN"/>
              </w:rPr>
              <w:t>中华人民共和国政府采购法</w:t>
            </w:r>
            <w:r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》及合同约定处理。</w:t>
            </w:r>
          </w:p>
        </w:tc>
        <w:tc>
          <w:tcPr>
            <w:tcW w:w="607" w:type="pct"/>
            <w:vAlign w:val="center"/>
          </w:tcPr>
          <w:p w14:paraId="173928C3">
            <w:pPr>
              <w:widowControl/>
              <w:spacing w:line="360" w:lineRule="auto"/>
              <w:rPr>
                <w:rFonts w:hint="default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兰亭黑简体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  是</w:t>
            </w:r>
          </w:p>
        </w:tc>
      </w:tr>
    </w:tbl>
    <w:p w14:paraId="005E0DCB">
      <w:pPr>
        <w:autoSpaceDE w:val="0"/>
        <w:autoSpaceDN w:val="0"/>
        <w:adjustRightInd w:val="0"/>
        <w:snapToGrid w:val="0"/>
        <w:spacing w:before="156" w:beforeLines="50" w:line="360" w:lineRule="auto"/>
        <w:jc w:val="left"/>
        <w:rPr>
          <w:rFonts w:hint="default" w:ascii="Times New Roman" w:hAnsi="Times New Roman" w:eastAsia="方正兰亭黑简体" w:cs="Times New Roman"/>
          <w:b/>
          <w:snapToGrid w:val="0"/>
          <w:color w:val="auto"/>
          <w:kern w:val="0"/>
          <w:sz w:val="22"/>
          <w:szCs w:val="22"/>
          <w:highlight w:val="none"/>
          <w:lang w:val="zh-CN"/>
        </w:rPr>
      </w:pPr>
      <w:r>
        <w:rPr>
          <w:rFonts w:hint="default" w:ascii="Times New Roman" w:hAnsi="Times New Roman" w:eastAsia="方正兰亭黑简体" w:cs="Times New Roman"/>
          <w:b/>
          <w:snapToGrid w:val="0"/>
          <w:color w:val="auto"/>
          <w:kern w:val="0"/>
          <w:sz w:val="22"/>
          <w:szCs w:val="22"/>
          <w:highlight w:val="none"/>
          <w:lang w:val="zh-CN"/>
        </w:rPr>
        <w:t>说明：</w:t>
      </w:r>
    </w:p>
    <w:p w14:paraId="7D3E52EC">
      <w:pPr>
        <w:numPr>
          <w:ilvl w:val="0"/>
          <w:numId w:val="0"/>
        </w:numPr>
        <w:adjustRightInd w:val="0"/>
        <w:snapToGrid w:val="0"/>
        <w:spacing w:line="360" w:lineRule="auto"/>
        <w:jc w:val="left"/>
        <w:rPr>
          <w:rFonts w:hint="default" w:ascii="Times New Roman" w:hAnsi="Times New Roman" w:eastAsia="方正兰亭黑简体" w:cs="Times New Roman"/>
          <w:snapToGrid w:val="0"/>
          <w:color w:val="auto"/>
          <w:kern w:val="0"/>
          <w:sz w:val="22"/>
          <w:szCs w:val="22"/>
          <w:highlight w:val="none"/>
          <w:lang w:val="zh-CN"/>
        </w:rPr>
      </w:pPr>
      <w:r>
        <w:rPr>
          <w:rFonts w:hint="default" w:ascii="Times New Roman" w:hAnsi="Times New Roman" w:eastAsia="方正兰亭黑简体" w:cs="Times New Roman"/>
          <w:snapToGrid w:val="0"/>
          <w:color w:val="auto"/>
          <w:kern w:val="0"/>
          <w:sz w:val="22"/>
          <w:szCs w:val="22"/>
          <w:highlight w:val="none"/>
          <w:lang w:val="zh-CN"/>
        </w:rPr>
        <w:t>一、实质性条款（带★）共</w:t>
      </w:r>
      <w:r>
        <w:rPr>
          <w:rFonts w:hint="default" w:ascii="Times New Roman" w:hAnsi="Times New Roman" w:eastAsia="方正兰亭黑简体" w:cs="Times New Roman"/>
          <w:snapToGrid w:val="0"/>
          <w:color w:val="auto"/>
          <w:kern w:val="0"/>
          <w:sz w:val="22"/>
          <w:szCs w:val="22"/>
          <w:highlight w:val="none"/>
        </w:rPr>
        <w:t>5</w:t>
      </w:r>
      <w:r>
        <w:rPr>
          <w:rFonts w:hint="default" w:ascii="Times New Roman" w:hAnsi="Times New Roman" w:eastAsia="方正兰亭黑简体" w:cs="Times New Roman"/>
          <w:snapToGrid w:val="0"/>
          <w:color w:val="auto"/>
          <w:kern w:val="0"/>
          <w:sz w:val="22"/>
          <w:szCs w:val="22"/>
          <w:highlight w:val="none"/>
          <w:lang w:val="zh-CN"/>
        </w:rPr>
        <w:t>项，集中于CPU、主板、内存、硬盘、显卡、电源、显示器</w:t>
      </w:r>
      <w:r>
        <w:rPr>
          <w:rFonts w:hint="eastAsia" w:ascii="Times New Roman" w:hAnsi="Times New Roman" w:eastAsia="方正兰亭黑简体" w:cs="Times New Roman"/>
          <w:snapToGrid w:val="0"/>
          <w:color w:val="auto"/>
          <w:kern w:val="0"/>
          <w:sz w:val="22"/>
          <w:szCs w:val="22"/>
          <w:highlight w:val="none"/>
          <w:lang w:val="zh-CN"/>
        </w:rPr>
        <w:t>刷新率</w:t>
      </w:r>
      <w:r>
        <w:rPr>
          <w:rFonts w:hint="default" w:ascii="Times New Roman" w:hAnsi="Times New Roman" w:eastAsia="方正兰亭黑简体" w:cs="Times New Roman"/>
          <w:snapToGrid w:val="0"/>
          <w:color w:val="auto"/>
          <w:kern w:val="0"/>
          <w:sz w:val="22"/>
          <w:szCs w:val="22"/>
          <w:highlight w:val="none"/>
          <w:lang w:val="zh-CN"/>
        </w:rPr>
        <w:t>等影响教学效果不可替代的核心性能，★条款若不满足将导致响应被拒绝。</w:t>
      </w:r>
    </w:p>
    <w:p w14:paraId="3E4EEF8C">
      <w:pPr>
        <w:numPr>
          <w:ilvl w:val="0"/>
          <w:numId w:val="0"/>
        </w:numPr>
        <w:adjustRightInd w:val="0"/>
        <w:snapToGrid w:val="0"/>
        <w:spacing w:line="360" w:lineRule="auto"/>
        <w:jc w:val="left"/>
        <w:rPr>
          <w:rFonts w:hint="default" w:ascii="Times New Roman" w:hAnsi="Times New Roman" w:eastAsia="方正兰亭黑简体" w:cs="Times New Roman"/>
          <w:snapToGrid w:val="0"/>
          <w:color w:val="auto"/>
          <w:kern w:val="0"/>
          <w:sz w:val="22"/>
          <w:szCs w:val="22"/>
          <w:highlight w:val="none"/>
          <w:lang w:val="zh-CN"/>
        </w:rPr>
      </w:pPr>
      <w:r>
        <w:rPr>
          <w:rFonts w:hint="eastAsia" w:ascii="Times New Roman" w:hAnsi="Times New Roman" w:eastAsia="方正兰亭黑简体" w:cs="Times New Roman"/>
          <w:snapToGrid w:val="0"/>
          <w:color w:val="auto"/>
          <w:kern w:val="0"/>
          <w:sz w:val="22"/>
          <w:szCs w:val="22"/>
          <w:highlight w:val="none"/>
          <w:lang w:val="zh-CN" w:eastAsia="zh-CN" w:bidi="ar-SA"/>
        </w:rPr>
        <w:t>二、</w:t>
      </w:r>
      <w:r>
        <w:rPr>
          <w:rFonts w:hint="default" w:ascii="Times New Roman" w:hAnsi="Times New Roman" w:eastAsia="方正兰亭黑简体" w:cs="Times New Roman"/>
          <w:snapToGrid w:val="0"/>
          <w:color w:val="auto"/>
          <w:kern w:val="0"/>
          <w:sz w:val="22"/>
          <w:szCs w:val="22"/>
          <w:highlight w:val="none"/>
          <w:lang w:val="zh-CN"/>
        </w:rPr>
        <w:t>非★技术指标按偏离处理，偏离项在评分中扣减，不构成否决条件。</w:t>
      </w:r>
    </w:p>
    <w:p w14:paraId="3343C710">
      <w:pPr>
        <w:numPr>
          <w:ilvl w:val="0"/>
          <w:numId w:val="0"/>
        </w:numPr>
        <w:adjustRightInd w:val="0"/>
        <w:snapToGrid w:val="0"/>
        <w:spacing w:line="360" w:lineRule="auto"/>
        <w:jc w:val="left"/>
        <w:rPr>
          <w:rFonts w:hint="default" w:ascii="Times New Roman" w:hAnsi="Times New Roman" w:eastAsia="方正兰亭黑简体" w:cs="Times New Roman"/>
          <w:snapToGrid w:val="0"/>
          <w:color w:val="auto"/>
          <w:kern w:val="0"/>
          <w:sz w:val="22"/>
          <w:szCs w:val="22"/>
          <w:highlight w:val="none"/>
          <w:lang w:val="zh-CN"/>
        </w:rPr>
      </w:pPr>
      <w:r>
        <w:rPr>
          <w:rFonts w:hint="eastAsia" w:ascii="Times New Roman" w:hAnsi="Times New Roman" w:eastAsia="方正兰亭黑简体" w:cs="Times New Roman"/>
          <w:snapToGrid w:val="0"/>
          <w:color w:val="auto"/>
          <w:kern w:val="0"/>
          <w:sz w:val="22"/>
          <w:szCs w:val="22"/>
          <w:highlight w:val="none"/>
          <w:lang w:val="zh-CN" w:eastAsia="zh-CN" w:bidi="ar-SA"/>
        </w:rPr>
        <w:t>三、</w:t>
      </w:r>
      <w:r>
        <w:rPr>
          <w:rFonts w:hint="default" w:ascii="Times New Roman" w:hAnsi="Times New Roman" w:eastAsia="方正兰亭黑简体" w:cs="Times New Roman"/>
          <w:snapToGrid w:val="0"/>
          <w:color w:val="auto"/>
          <w:kern w:val="0"/>
          <w:sz w:val="22"/>
          <w:szCs w:val="22"/>
          <w:highlight w:val="none"/>
          <w:lang w:val="zh-CN"/>
        </w:rPr>
        <w:t>三、指标表中的“是否核心指标”列标识该条对教学效果的重要性，其中标★者为实质性条款；非★但标“是”的条目在评分中作为重要指标加权，不单独构成否决。</w:t>
      </w:r>
    </w:p>
    <w:p w14:paraId="4A3891FF">
      <w:pPr>
        <w:numPr>
          <w:ilvl w:val="0"/>
          <w:numId w:val="0"/>
        </w:numPr>
        <w:adjustRightInd w:val="0"/>
        <w:snapToGrid w:val="0"/>
        <w:spacing w:line="360" w:lineRule="auto"/>
        <w:jc w:val="left"/>
        <w:rPr>
          <w:rFonts w:hint="default" w:ascii="Times New Roman" w:hAnsi="Times New Roman" w:eastAsia="方正兰亭黑简体" w:cs="Times New Roman"/>
          <w:snapToGrid w:val="0"/>
          <w:color w:val="auto"/>
          <w:kern w:val="0"/>
          <w:sz w:val="22"/>
          <w:szCs w:val="22"/>
          <w:highlight w:val="none"/>
          <w:lang w:val="zh-CN"/>
        </w:rPr>
      </w:pPr>
      <w:r>
        <w:rPr>
          <w:rFonts w:hint="default" w:ascii="Times New Roman" w:hAnsi="Times New Roman" w:eastAsia="方正兰亭黑简体" w:cs="Times New Roman"/>
          <w:snapToGrid w:val="0"/>
          <w:color w:val="auto"/>
          <w:kern w:val="0"/>
          <w:sz w:val="22"/>
          <w:szCs w:val="22"/>
          <w:highlight w:val="none"/>
          <w:lang w:val="zh-CN"/>
        </w:rPr>
        <w:t>四、“是否需要证明材料”项可填“是”和“否”。填“是”的，供应商须提供包含相关指标项的证明材料，证明材料可采信生产厂家官方网站截图、产品彩页、用户手册、白皮书、第三方检测报告或原厂出具的盖章证明等任一种；未提供有效证明材料、或材料中内容与填报指标不一致的，该指标按不满足处理。显示器刷新率、色域等性能指标以厂家官方规格表或第三方检测报告为准，不以单一形式限定。</w:t>
      </w:r>
    </w:p>
    <w:p w14:paraId="4AC145B9">
      <w:pPr>
        <w:numPr>
          <w:ilvl w:val="0"/>
          <w:numId w:val="0"/>
        </w:numPr>
        <w:adjustRightInd w:val="0"/>
        <w:snapToGrid w:val="0"/>
        <w:spacing w:line="360" w:lineRule="auto"/>
        <w:jc w:val="left"/>
        <w:rPr>
          <w:rFonts w:hint="default" w:ascii="Times New Roman" w:hAnsi="Times New Roman" w:eastAsia="方正兰亭黑简体" w:cs="Times New Roman"/>
          <w:snapToGrid w:val="0"/>
          <w:color w:val="auto"/>
          <w:kern w:val="0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snapToGrid w:val="0"/>
          <w:color w:val="auto"/>
          <w:kern w:val="0"/>
          <w:sz w:val="22"/>
          <w:szCs w:val="22"/>
          <w:highlight w:val="none"/>
        </w:rPr>
        <w:t>五、对于标的不唯一的项目，可以按照上述格式分类去描述；对于标的复杂的项目可以根据需要调整格式，形式不受限制，但内容应具体全面。</w:t>
      </w:r>
    </w:p>
    <w:p w14:paraId="6B7DEDE8">
      <w:pPr>
        <w:numPr>
          <w:ilvl w:val="0"/>
          <w:numId w:val="0"/>
        </w:numPr>
        <w:adjustRightInd w:val="0"/>
        <w:snapToGrid w:val="0"/>
        <w:spacing w:line="360" w:lineRule="auto"/>
        <w:jc w:val="left"/>
        <w:rPr>
          <w:rFonts w:hint="default" w:ascii="Times New Roman" w:hAnsi="Times New Roman" w:eastAsia="方正兰亭黑简体" w:cs="Times New Roman"/>
          <w:snapToGrid w:val="0"/>
          <w:color w:val="auto"/>
          <w:kern w:val="0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snapToGrid w:val="0"/>
          <w:color w:val="auto"/>
          <w:kern w:val="0"/>
          <w:sz w:val="22"/>
          <w:szCs w:val="22"/>
          <w:highlight w:val="none"/>
        </w:rPr>
        <w:t>六、本项目须执行政府采购支持节能产品、环境标志产品的有关规定，台式计算机及显示器须提供有效期内的节能产品、环境标志产品认证证书。</w:t>
      </w:r>
    </w:p>
    <w:p w14:paraId="262B6CCE">
      <w:pPr>
        <w:numPr>
          <w:ilvl w:val="0"/>
          <w:numId w:val="0"/>
        </w:numPr>
        <w:adjustRightInd w:val="0"/>
        <w:snapToGrid w:val="0"/>
        <w:spacing w:line="360" w:lineRule="auto"/>
        <w:jc w:val="left"/>
        <w:rPr>
          <w:rFonts w:hint="default" w:ascii="Times New Roman" w:hAnsi="Times New Roman" w:eastAsia="方正兰亭黑简体" w:cs="Times New Roman"/>
          <w:snapToGrid w:val="0"/>
          <w:color w:val="auto"/>
          <w:kern w:val="0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snapToGrid w:val="0"/>
          <w:color w:val="auto"/>
          <w:kern w:val="0"/>
          <w:sz w:val="22"/>
          <w:szCs w:val="22"/>
          <w:highlight w:val="none"/>
        </w:rPr>
        <w:t>七、验收要求：到货后由采购人、供应商共同按本需求书逐项核验，整机逐台加电测试并连续拷机不少于8小时，抽检比例不低于10%进行性能实测；软件须完成全机房部署并逐台验证功能；验收不合格的，供应商须在10日内整改完毕，整改后仍不合格的按合同约定处理。</w:t>
      </w:r>
    </w:p>
    <w:p w14:paraId="7745BC0D">
      <w:pPr>
        <w:numPr>
          <w:ilvl w:val="0"/>
          <w:numId w:val="0"/>
        </w:numPr>
        <w:adjustRightInd w:val="0"/>
        <w:snapToGrid w:val="0"/>
        <w:spacing w:line="360" w:lineRule="auto"/>
        <w:jc w:val="left"/>
        <w:rPr>
          <w:rFonts w:hint="default" w:ascii="Times New Roman" w:hAnsi="Times New Roman" w:eastAsia="方正兰亭黑简体" w:cs="Times New Roman"/>
          <w:snapToGrid w:val="0"/>
          <w:color w:val="auto"/>
          <w:kern w:val="0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snapToGrid w:val="0"/>
          <w:color w:val="auto"/>
          <w:kern w:val="0"/>
          <w:sz w:val="22"/>
          <w:szCs w:val="22"/>
          <w:highlight w:val="none"/>
        </w:rPr>
        <w:t>八、本项目预算金额及最高限价为</w:t>
      </w:r>
      <w:r>
        <w:rPr>
          <w:rFonts w:hint="default" w:ascii="Times New Roman" w:hAnsi="Times New Roman" w:eastAsia="方正兰亭黑简体" w:cs="Times New Roman"/>
          <w:snapToGrid w:val="0"/>
          <w:color w:val="auto"/>
          <w:kern w:val="0"/>
          <w:sz w:val="22"/>
          <w:szCs w:val="22"/>
          <w:highlight w:val="none"/>
          <w:lang w:val="en-US" w:eastAsia="zh-CN"/>
        </w:rPr>
        <w:t>14.96</w:t>
      </w:r>
      <w:r>
        <w:rPr>
          <w:rFonts w:hint="default" w:ascii="Times New Roman" w:hAnsi="Times New Roman" w:eastAsia="方正兰亭黑简体" w:cs="Times New Roman"/>
          <w:snapToGrid w:val="0"/>
          <w:color w:val="auto"/>
          <w:kern w:val="0"/>
          <w:sz w:val="22"/>
          <w:szCs w:val="22"/>
          <w:highlight w:val="none"/>
        </w:rPr>
        <w:t>万元（含税），投标报价超过最高限价的，其投标无效。</w:t>
      </w:r>
    </w:p>
    <w:p w14:paraId="37AE8E0E">
      <w:pPr>
        <w:widowControl/>
        <w:shd w:val="clear" w:color="auto" w:fill="FFFFFF"/>
        <w:spacing w:line="360" w:lineRule="auto"/>
        <w:jc w:val="left"/>
        <w:rPr>
          <w:rFonts w:hint="eastAsia" w:ascii="Times New Roman" w:hAnsi="Times New Roman" w:eastAsia="方正兰亭黑简体" w:cs="Times New Roman"/>
          <w:b/>
          <w:bCs/>
          <w:color w:val="auto"/>
          <w:kern w:val="2"/>
          <w:sz w:val="22"/>
          <w:szCs w:val="22"/>
          <w:highlight w:val="none"/>
          <w:lang w:val="en-US" w:eastAsia="zh-CN" w:bidi="ar-SA"/>
        </w:rPr>
      </w:pPr>
    </w:p>
    <w:p w14:paraId="34E97200">
      <w:pPr>
        <w:widowControl/>
        <w:shd w:val="clear" w:color="auto" w:fill="FFFFFF"/>
        <w:spacing w:line="360" w:lineRule="auto"/>
        <w:jc w:val="left"/>
        <w:rPr>
          <w:rFonts w:hint="eastAsia" w:ascii="方正兰亭黑简体" w:hAnsi="方正兰亭黑简体" w:eastAsia="方正兰亭黑简体" w:cs="方正兰亭黑简体"/>
          <w:color w:val="auto"/>
          <w:kern w:val="0"/>
          <w:sz w:val="22"/>
          <w:szCs w:val="22"/>
          <w:highlight w:val="none"/>
          <w:lang w:val="en-US" w:eastAsia="zh-CN"/>
        </w:rPr>
      </w:pPr>
      <w:r>
        <w:rPr>
          <w:rFonts w:hint="eastAsia" w:ascii="Times New Roman" w:hAnsi="Times New Roman" w:eastAsia="方正兰亭黑简体" w:cs="Times New Roman"/>
          <w:b/>
          <w:bCs/>
          <w:color w:val="auto"/>
          <w:kern w:val="2"/>
          <w:sz w:val="22"/>
          <w:szCs w:val="22"/>
          <w:highlight w:val="none"/>
          <w:lang w:val="en-US" w:eastAsia="zh-CN" w:bidi="ar-SA"/>
        </w:rPr>
        <w:t>四、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kern w:val="0"/>
          <w:sz w:val="22"/>
          <w:szCs w:val="22"/>
          <w:highlight w:val="none"/>
          <w:lang w:val="en-US" w:eastAsia="zh-CN"/>
        </w:rPr>
        <w:t>其他要求</w:t>
      </w:r>
    </w:p>
    <w:p w14:paraId="06889B5B">
      <w:pPr>
        <w:widowControl/>
        <w:spacing w:line="360" w:lineRule="auto"/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1.质保服务：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zh-CN" w:eastAsia="zh-CN"/>
        </w:rPr>
        <w:t>整机（含显示器、键盘、鼠标）提供≥3年免费质保服务及三年免费上门服务，自验收合格之日起计算；质保期内包含零部件更换、人工、上门服务等费用；须提供售后服务承诺函并加盖公章。</w:t>
      </w:r>
    </w:p>
    <w:p w14:paraId="01471F35">
      <w:pPr>
        <w:widowControl/>
        <w:spacing w:line="360" w:lineRule="auto"/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2.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zh-CN" w:eastAsia="zh-CN"/>
        </w:rPr>
        <w:t>供应商须免费将设备送达采购人指定地点，完成就位、操作系统与配套软件安装、还原保护策略配置及逐台测试，确认正常可用后交付；整机（含显示器、键盘、鼠标）提供≥3年免费质保及三年免费上门服务，具备7×24小时技术支持热线；接到报修后响应时间不超过4小时、一般故障24小时内到场处理，关键部位故障维修周期不超过5个工作日；上述费用均包含在货物报价中，不另行收取。</w:t>
      </w:r>
    </w:p>
    <w:p w14:paraId="40EF63AA">
      <w:pPr>
        <w:widowControl/>
        <w:spacing w:line="360" w:lineRule="auto"/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3.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zh-CN" w:eastAsia="zh-CN"/>
        </w:rPr>
        <w:t>提供不少于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2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zh-CN" w:eastAsia="zh-CN"/>
        </w:rPr>
        <w:t>课时的免费现场培训，同传还原系统的配置与恢复、常见故障的排查处理。</w:t>
      </w:r>
    </w:p>
    <w:p w14:paraId="647263E5">
      <w:pPr>
        <w:widowControl/>
        <w:spacing w:line="360" w:lineRule="auto"/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zh-CN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4.履约验收：以采购文件及合同约定标准组织验收，由验收小组开展验收工作，核对设备名称、数量、硬件配置，查验产品资料；完成部署后对配套软件开展功能验证，设备试运行稳定后方可验收，验收不合格由供应商限期整改。</w:t>
      </w:r>
    </w:p>
    <w:p w14:paraId="104324FB">
      <w:pPr>
        <w:widowControl/>
        <w:spacing w:line="360" w:lineRule="auto"/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7325EA59">
      <w:pP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br w:type="page"/>
      </w:r>
    </w:p>
    <w:p w14:paraId="6F08D747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第三章 评审办法</w:t>
      </w:r>
    </w:p>
    <w:p w14:paraId="69EFEE19">
      <w:pPr>
        <w:ind w:firstLine="440" w:firstLineChars="200"/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综合本项目的特点，根据相关法律法规的规定，本着保护竞争，维护采购工作公开、公平、公正原则，特制定本评审办法，作为选定本次采购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中标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人的依据。</w:t>
      </w:r>
    </w:p>
    <w:p w14:paraId="117C4525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1、成立比选评审小组</w:t>
      </w:r>
    </w:p>
    <w:p w14:paraId="49C58FDA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采购人将根据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货物与服务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的特点，依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规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组建比选小组，比选小组由3人或以上的单数组成。</w:t>
      </w:r>
    </w:p>
    <w:p w14:paraId="123C9161">
      <w:pPr>
        <w:numPr>
          <w:ilvl w:val="0"/>
          <w:numId w:val="0"/>
        </w:num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2、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具体评分细则如下：</w:t>
      </w:r>
    </w:p>
    <w:tbl>
      <w:tblPr>
        <w:tblStyle w:val="14"/>
        <w:tblW w:w="498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3"/>
        <w:gridCol w:w="1734"/>
        <w:gridCol w:w="713"/>
        <w:gridCol w:w="6830"/>
      </w:tblGrid>
      <w:tr w14:paraId="64002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29" w:type="pct"/>
            <w:noWrap w:val="0"/>
            <w:vAlign w:val="center"/>
          </w:tcPr>
          <w:p w14:paraId="742FB554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  <w:t>序号</w:t>
            </w:r>
          </w:p>
        </w:tc>
        <w:tc>
          <w:tcPr>
            <w:tcW w:w="873" w:type="pct"/>
            <w:noWrap w:val="0"/>
            <w:vAlign w:val="center"/>
          </w:tcPr>
          <w:p w14:paraId="5F54B63A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  <w:t>评审因素</w:t>
            </w:r>
          </w:p>
        </w:tc>
        <w:tc>
          <w:tcPr>
            <w:tcW w:w="359" w:type="pct"/>
            <w:noWrap w:val="0"/>
            <w:vAlign w:val="center"/>
          </w:tcPr>
          <w:p w14:paraId="25FE165D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  <w:t>分值</w:t>
            </w:r>
          </w:p>
        </w:tc>
        <w:tc>
          <w:tcPr>
            <w:tcW w:w="3436" w:type="pct"/>
            <w:noWrap w:val="0"/>
            <w:vAlign w:val="center"/>
          </w:tcPr>
          <w:p w14:paraId="1A737473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  <w:t>评分说明</w:t>
            </w:r>
          </w:p>
        </w:tc>
      </w:tr>
      <w:tr w14:paraId="41C4C7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5000" w:type="pct"/>
            <w:gridSpan w:val="4"/>
            <w:noWrap w:val="0"/>
            <w:vAlign w:val="center"/>
          </w:tcPr>
          <w:p w14:paraId="3FFFCA77">
            <w:pPr>
              <w:spacing w:line="36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一、价格部分</w:t>
            </w:r>
          </w:p>
        </w:tc>
      </w:tr>
      <w:tr w14:paraId="7E29D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29" w:type="pct"/>
            <w:noWrap w:val="0"/>
            <w:vAlign w:val="center"/>
          </w:tcPr>
          <w:p w14:paraId="10CE2961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1</w:t>
            </w:r>
          </w:p>
        </w:tc>
        <w:tc>
          <w:tcPr>
            <w:tcW w:w="873" w:type="pct"/>
            <w:noWrap w:val="0"/>
            <w:vAlign w:val="center"/>
          </w:tcPr>
          <w:p w14:paraId="69DFDD83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价格得分</w:t>
            </w:r>
          </w:p>
          <w:p w14:paraId="5224EE0B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客观分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）</w:t>
            </w:r>
          </w:p>
        </w:tc>
        <w:tc>
          <w:tcPr>
            <w:tcW w:w="359" w:type="pct"/>
            <w:noWrap w:val="0"/>
            <w:vAlign w:val="center"/>
          </w:tcPr>
          <w:p w14:paraId="4CB6FE52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30</w:t>
            </w:r>
          </w:p>
        </w:tc>
        <w:tc>
          <w:tcPr>
            <w:tcW w:w="3436" w:type="pct"/>
            <w:noWrap w:val="0"/>
            <w:vAlign w:val="center"/>
          </w:tcPr>
          <w:p w14:paraId="7EE17ECD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采用低价优先法计算，即满足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比选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文件要求且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最低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的报价为基准价，其价格分为满分30分。其他报价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单位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的报价得分计算公式如下：</w:t>
            </w:r>
          </w:p>
          <w:p w14:paraId="00A2DA11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报价得分＝30×（评标基准价/投标报价）。</w:t>
            </w:r>
          </w:p>
        </w:tc>
      </w:tr>
      <w:tr w14:paraId="1CE67C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5000" w:type="pct"/>
            <w:gridSpan w:val="4"/>
            <w:noWrap w:val="0"/>
            <w:vAlign w:val="center"/>
          </w:tcPr>
          <w:p w14:paraId="14AC1211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二、商务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、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技术部分</w:t>
            </w:r>
          </w:p>
        </w:tc>
      </w:tr>
      <w:tr w14:paraId="603C3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29" w:type="pct"/>
            <w:noWrap w:val="0"/>
            <w:vAlign w:val="center"/>
          </w:tcPr>
          <w:p w14:paraId="69B44514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873" w:type="pct"/>
            <w:noWrap w:val="0"/>
            <w:vAlign w:val="center"/>
          </w:tcPr>
          <w:p w14:paraId="4BAF2162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经验业绩</w:t>
            </w:r>
          </w:p>
          <w:p w14:paraId="654A2B2C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客观分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）</w:t>
            </w:r>
          </w:p>
        </w:tc>
        <w:tc>
          <w:tcPr>
            <w:tcW w:w="359" w:type="pct"/>
            <w:noWrap w:val="0"/>
            <w:vAlign w:val="center"/>
          </w:tcPr>
          <w:p w14:paraId="7C2DAE44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1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3436" w:type="pct"/>
            <w:noWrap w:val="0"/>
            <w:vAlign w:val="center"/>
          </w:tcPr>
          <w:p w14:paraId="4A5A3383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提供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近3年（合同签订日期自202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3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年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10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月起至今）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业绩案例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。（每提供1个得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5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分；最高得1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5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分）注：需提供相关业绩的合同复印件，否则将不予认可。</w:t>
            </w:r>
          </w:p>
        </w:tc>
      </w:tr>
      <w:tr w14:paraId="4674DA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29" w:type="pct"/>
            <w:noWrap w:val="0"/>
            <w:vAlign w:val="center"/>
          </w:tcPr>
          <w:p w14:paraId="147D3766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3</w:t>
            </w:r>
          </w:p>
        </w:tc>
        <w:tc>
          <w:tcPr>
            <w:tcW w:w="873" w:type="pct"/>
            <w:noWrap w:val="0"/>
            <w:vAlign w:val="center"/>
          </w:tcPr>
          <w:p w14:paraId="069DEA50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技术响应程度</w:t>
            </w:r>
          </w:p>
          <w:p w14:paraId="1793C67A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客观分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）</w:t>
            </w:r>
          </w:p>
        </w:tc>
        <w:tc>
          <w:tcPr>
            <w:tcW w:w="359" w:type="pct"/>
            <w:noWrap w:val="0"/>
            <w:vAlign w:val="center"/>
          </w:tcPr>
          <w:p w14:paraId="70332D36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30</w:t>
            </w:r>
          </w:p>
        </w:tc>
        <w:tc>
          <w:tcPr>
            <w:tcW w:w="3436" w:type="pct"/>
            <w:shd w:val="clear" w:color="auto" w:fill="auto"/>
            <w:noWrap w:val="0"/>
            <w:vAlign w:val="center"/>
          </w:tcPr>
          <w:p w14:paraId="7461B042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针对第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二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章中的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采购需求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：不满足技术条款的，每项扣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5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分；扣完为止。</w:t>
            </w:r>
          </w:p>
        </w:tc>
      </w:tr>
      <w:tr w14:paraId="321557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29" w:type="pct"/>
            <w:noWrap w:val="0"/>
            <w:vAlign w:val="center"/>
          </w:tcPr>
          <w:p w14:paraId="67884245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4</w:t>
            </w:r>
          </w:p>
        </w:tc>
        <w:tc>
          <w:tcPr>
            <w:tcW w:w="87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083A718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产品性能介绍</w:t>
            </w:r>
          </w:p>
          <w:p w14:paraId="1A5865D0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主观分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）</w:t>
            </w:r>
          </w:p>
        </w:tc>
        <w:tc>
          <w:tcPr>
            <w:tcW w:w="359" w:type="pct"/>
            <w:noWrap w:val="0"/>
            <w:vAlign w:val="center"/>
          </w:tcPr>
          <w:p w14:paraId="3662F0A0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3436" w:type="pct"/>
            <w:noWrap w:val="0"/>
            <w:vAlign w:val="center"/>
          </w:tcPr>
          <w:p w14:paraId="37F6985E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优秀（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8～10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分）：详细介绍了产品的各项性能参数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。</w:t>
            </w:r>
          </w:p>
          <w:p w14:paraId="62A7189F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良好（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5～7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分）：较全面地介绍了产品的性能参数。</w:t>
            </w:r>
          </w:p>
          <w:p w14:paraId="70A493C7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一般（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2～4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分）：介绍了部分性能参数，但不够全面或详细。</w:t>
            </w:r>
          </w:p>
          <w:p w14:paraId="0BEE09AF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较差（0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～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1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分）：性能参数介绍不完整或存在明显错误。</w:t>
            </w:r>
          </w:p>
        </w:tc>
      </w:tr>
      <w:tr w14:paraId="261A6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29" w:type="pct"/>
            <w:noWrap w:val="0"/>
            <w:vAlign w:val="center"/>
          </w:tcPr>
          <w:p w14:paraId="063649C8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873" w:type="pct"/>
            <w:noWrap w:val="0"/>
            <w:vAlign w:val="center"/>
          </w:tcPr>
          <w:p w14:paraId="555CFAE5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技术支持与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售后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服务</w:t>
            </w:r>
          </w:p>
          <w:p w14:paraId="1F53F634">
            <w:pPr>
              <w:pStyle w:val="13"/>
              <w:spacing w:line="360" w:lineRule="auto"/>
              <w:ind w:firstLine="200" w:firstLineChars="100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主观分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）</w:t>
            </w:r>
          </w:p>
        </w:tc>
        <w:tc>
          <w:tcPr>
            <w:tcW w:w="359" w:type="pct"/>
            <w:noWrap w:val="0"/>
            <w:vAlign w:val="center"/>
          </w:tcPr>
          <w:p w14:paraId="7D753253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15</w:t>
            </w:r>
          </w:p>
        </w:tc>
        <w:tc>
          <w:tcPr>
            <w:tcW w:w="3436" w:type="pct"/>
            <w:noWrap w:val="0"/>
            <w:vAlign w:val="center"/>
          </w:tcPr>
          <w:p w14:paraId="566D5B29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优秀（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12～15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分）：提供了详尽的技术支持方案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以及售后服务方案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，包括快速响应机制、服务承诺等。</w:t>
            </w:r>
          </w:p>
          <w:p w14:paraId="1B650857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良好（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8～11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分）：提供了较为全面的技术支持方案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和售后服务方案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，但计划不够详细。</w:t>
            </w:r>
          </w:p>
          <w:p w14:paraId="2E6A021F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一般（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4～7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分）：方案较为简单，缺乏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具体的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计划。</w:t>
            </w:r>
          </w:p>
          <w:p w14:paraId="4BA27702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较差（0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～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3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分）：未提供技术支持方案或售后服务承诺。</w:t>
            </w:r>
          </w:p>
        </w:tc>
      </w:tr>
    </w:tbl>
    <w:p w14:paraId="6EA2E643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sectPr>
          <w:footerReference r:id="rId3" w:type="default"/>
          <w:type w:val="continuous"/>
          <w:pgSz w:w="11906" w:h="16838"/>
          <w:pgMar w:top="1440" w:right="1080" w:bottom="1440" w:left="1080" w:header="851" w:footer="992" w:gutter="0"/>
          <w:pgNumType w:fmt="decimal"/>
          <w:cols w:space="425" w:num="1"/>
          <w:docGrid w:type="lines" w:linePitch="312" w:charSpace="0"/>
        </w:sectPr>
      </w:pPr>
    </w:p>
    <w:p w14:paraId="3E74C2BD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第四章 格式附件</w:t>
      </w:r>
    </w:p>
    <w:p w14:paraId="636BB61B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附件1：报价单</w:t>
      </w:r>
    </w:p>
    <w:p w14:paraId="52D9A168">
      <w:pPr>
        <w:spacing w:line="440" w:lineRule="exact"/>
        <w:jc w:val="center"/>
        <w:rPr>
          <w:rFonts w:hint="default" w:ascii="宋体" w:hAnsi="宋体" w:eastAsia="宋体"/>
          <w:color w:val="auto"/>
          <w:sz w:val="24"/>
          <w:highlight w:val="none"/>
          <w:lang w:val="en-US" w:eastAsia="zh-CN"/>
        </w:rPr>
      </w:pP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</w:rPr>
        <w:t>报   价   单</w:t>
      </w:r>
    </w:p>
    <w:p w14:paraId="50E6B72B">
      <w:pPr>
        <w:spacing w:line="440" w:lineRule="exact"/>
        <w:jc w:val="left"/>
        <w:rPr>
          <w:rFonts w:hint="default" w:ascii="黑体" w:hAnsi="华文楷体" w:eastAsia="黑体"/>
          <w:color w:val="auto"/>
          <w:sz w:val="24"/>
          <w:highlight w:val="none"/>
          <w:lang w:val="en-US" w:eastAsia="zh-CN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 xml:space="preserve">TO: </w:t>
      </w:r>
      <w:r>
        <w:rPr>
          <w:rFonts w:hint="eastAsia" w:ascii="黑体" w:hAnsi="华文楷体" w:eastAsia="黑体"/>
          <w:color w:val="auto"/>
          <w:sz w:val="24"/>
          <w:highlight w:val="none"/>
        </w:rPr>
        <w:t xml:space="preserve"> 上海海事大学 </w:t>
      </w:r>
      <w:r>
        <w:rPr>
          <w:rFonts w:hint="eastAsia" w:ascii="黑体" w:hAnsi="华文楷体" w:eastAsia="黑体"/>
          <w:color w:val="auto"/>
          <w:sz w:val="24"/>
          <w:highlight w:val="none"/>
          <w:lang w:val="en-US" w:eastAsia="zh-CN"/>
        </w:rPr>
        <w:t>采购与招投标管理中心</w:t>
      </w: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</w:rPr>
        <w:t xml:space="preserve">   </w:t>
      </w: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  <w:lang w:val="en-US" w:eastAsia="zh-CN"/>
        </w:rPr>
        <w:t xml:space="preserve">          </w:t>
      </w:r>
      <w:r>
        <w:rPr>
          <w:rFonts w:hint="eastAsia" w:ascii="黑体" w:hAnsi="华文楷体" w:eastAsia="黑体"/>
          <w:color w:val="auto"/>
          <w:sz w:val="24"/>
          <w:highlight w:val="none"/>
          <w:lang w:val="en-US" w:eastAsia="zh-CN"/>
        </w:rPr>
        <w:t>项目编号：HFBX2026109</w:t>
      </w: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</w:rPr>
        <w:t xml:space="preserve">               </w:t>
      </w: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  <w:lang w:val="en-US" w:eastAsia="zh-CN"/>
        </w:rPr>
        <w:t xml:space="preserve">                    </w:t>
      </w:r>
    </w:p>
    <w:p w14:paraId="192C9FAF">
      <w:pPr>
        <w:spacing w:line="440" w:lineRule="exact"/>
        <w:rPr>
          <w:rFonts w:hint="eastAsia" w:ascii="方正仿宋_GB2312" w:hAnsi="方正仿宋_GB2312" w:eastAsia="方正仿宋_GB2312" w:cs="方正仿宋_GB2312"/>
          <w:b/>
          <w:color w:val="auto"/>
          <w:sz w:val="24"/>
          <w:highlight w:val="none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>电子邮箱：</w:t>
      </w:r>
      <w:r>
        <w:rPr>
          <w:rFonts w:ascii="黑体" w:hAnsi="华文楷体" w:eastAsia="黑体"/>
          <w:b/>
          <w:color w:val="auto"/>
          <w:sz w:val="24"/>
          <w:highlight w:val="none"/>
        </w:rPr>
        <w:fldChar w:fldCharType="begin"/>
      </w:r>
      <w:r>
        <w:rPr>
          <w:rFonts w:ascii="黑体" w:hAnsi="华文楷体" w:eastAsia="黑体"/>
          <w:b/>
          <w:color w:val="auto"/>
          <w:sz w:val="24"/>
          <w:highlight w:val="none"/>
        </w:rPr>
        <w:instrText xml:space="preserve"> HYPERLINK "mailto:quotation@shmtu.edu.cn" </w:instrText>
      </w:r>
      <w:r>
        <w:rPr>
          <w:rFonts w:ascii="黑体" w:hAnsi="华文楷体" w:eastAsia="黑体"/>
          <w:b/>
          <w:color w:val="auto"/>
          <w:sz w:val="24"/>
          <w:highlight w:val="none"/>
        </w:rPr>
        <w:fldChar w:fldCharType="separate"/>
      </w:r>
      <w:r>
        <w:rPr>
          <w:rStyle w:val="18"/>
          <w:rFonts w:ascii="黑体" w:hAnsi="华文楷体" w:eastAsia="黑体"/>
          <w:b/>
          <w:color w:val="auto"/>
          <w:sz w:val="24"/>
          <w:highlight w:val="none"/>
        </w:rPr>
        <w:t>quotation@shmtu.edu.cn</w:t>
      </w:r>
      <w:r>
        <w:rPr>
          <w:rFonts w:ascii="黑体" w:hAnsi="华文楷体" w:eastAsia="黑体"/>
          <w:b/>
          <w:color w:val="auto"/>
          <w:sz w:val="24"/>
          <w:highlight w:val="none"/>
        </w:rPr>
        <w:fldChar w:fldCharType="end"/>
      </w:r>
    </w:p>
    <w:p w14:paraId="1D25A65B">
      <w:pPr>
        <w:spacing w:line="440" w:lineRule="exact"/>
        <w:rPr>
          <w:rFonts w:ascii="黑体" w:hAnsi="华文楷体" w:eastAsia="黑体"/>
          <w:b/>
          <w:color w:val="auto"/>
          <w:sz w:val="24"/>
          <w:highlight w:val="none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>公司名称：</w:t>
      </w:r>
      <w:r>
        <w:rPr>
          <w:rFonts w:hint="eastAsia" w:ascii="黑体" w:hAnsi="华文楷体" w:eastAsia="黑体"/>
          <w:color w:val="auto"/>
          <w:sz w:val="24"/>
          <w:highlight w:val="none"/>
        </w:rPr>
        <w:t xml:space="preserve">                                                </w:t>
      </w:r>
      <w:r>
        <w:rPr>
          <w:rFonts w:hint="eastAsia" w:ascii="黑体" w:hAnsi="华文楷体" w:eastAsia="黑体"/>
          <w:b/>
          <w:color w:val="auto"/>
          <w:sz w:val="24"/>
          <w:highlight w:val="none"/>
        </w:rPr>
        <w:t>联系人：</w:t>
      </w:r>
    </w:p>
    <w:p w14:paraId="0416696A">
      <w:pPr>
        <w:spacing w:line="440" w:lineRule="exact"/>
        <w:rPr>
          <w:rFonts w:ascii="黑体" w:hAnsi="华文楷体" w:eastAsia="黑体"/>
          <w:b/>
          <w:color w:val="auto"/>
          <w:sz w:val="24"/>
          <w:highlight w:val="none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>电子邮箱：                                                公司地址：</w:t>
      </w:r>
    </w:p>
    <w:p w14:paraId="096E10B9">
      <w:pPr>
        <w:spacing w:line="440" w:lineRule="exact"/>
        <w:rPr>
          <w:rFonts w:hint="eastAsia" w:ascii="黑体" w:hAnsi="华文楷体" w:eastAsia="黑体"/>
          <w:b/>
          <w:color w:val="auto"/>
          <w:sz w:val="24"/>
          <w:highlight w:val="none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>电话：                                                    联系人手机：</w:t>
      </w:r>
    </w:p>
    <w:p w14:paraId="35F2988C">
      <w:pPr>
        <w:spacing w:line="440" w:lineRule="exact"/>
        <w:rPr>
          <w:rFonts w:hint="eastAsia" w:ascii="黑体" w:hAnsi="华文楷体" w:eastAsia="黑体"/>
          <w:b/>
          <w:color w:val="auto"/>
          <w:sz w:val="24"/>
          <w:highlight w:val="none"/>
        </w:rPr>
      </w:pPr>
    </w:p>
    <w:tbl>
      <w:tblPr>
        <w:tblStyle w:val="14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4"/>
        <w:gridCol w:w="2062"/>
        <w:gridCol w:w="971"/>
        <w:gridCol w:w="1463"/>
        <w:gridCol w:w="581"/>
        <w:gridCol w:w="876"/>
        <w:gridCol w:w="876"/>
        <w:gridCol w:w="1230"/>
        <w:gridCol w:w="1397"/>
      </w:tblGrid>
      <w:tr w14:paraId="481475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" w:type="pct"/>
            <w:tcBorders>
              <w:top w:val="single" w:color="auto" w:sz="12" w:space="0"/>
              <w:left w:val="single" w:color="auto" w:sz="12" w:space="0"/>
              <w:bottom w:val="double" w:color="auto" w:sz="4" w:space="0"/>
            </w:tcBorders>
            <w:noWrap w:val="0"/>
            <w:vAlign w:val="center"/>
          </w:tcPr>
          <w:p w14:paraId="67E92170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序号</w:t>
            </w:r>
          </w:p>
        </w:tc>
        <w:tc>
          <w:tcPr>
            <w:tcW w:w="1036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5FFC86E8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产品名称</w:t>
            </w:r>
          </w:p>
        </w:tc>
        <w:tc>
          <w:tcPr>
            <w:tcW w:w="488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5F8969CF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品牌</w:t>
            </w:r>
          </w:p>
        </w:tc>
        <w:tc>
          <w:tcPr>
            <w:tcW w:w="733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16AB36D0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型号规格</w:t>
            </w:r>
          </w:p>
        </w:tc>
        <w:tc>
          <w:tcPr>
            <w:tcW w:w="292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7A41A9BF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数量</w:t>
            </w:r>
          </w:p>
        </w:tc>
        <w:tc>
          <w:tcPr>
            <w:tcW w:w="440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22044959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单价</w:t>
            </w:r>
          </w:p>
        </w:tc>
        <w:tc>
          <w:tcPr>
            <w:tcW w:w="440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61A1F830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金额</w:t>
            </w:r>
          </w:p>
        </w:tc>
        <w:tc>
          <w:tcPr>
            <w:tcW w:w="618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2F9A1E62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质保时间</w:t>
            </w:r>
          </w:p>
        </w:tc>
        <w:tc>
          <w:tcPr>
            <w:tcW w:w="700" w:type="pct"/>
            <w:tcBorders>
              <w:top w:val="single" w:color="auto" w:sz="12" w:space="0"/>
              <w:bottom w:val="double" w:color="auto" w:sz="4" w:space="0"/>
              <w:right w:val="single" w:color="auto" w:sz="12" w:space="0"/>
            </w:tcBorders>
            <w:noWrap w:val="0"/>
            <w:vAlign w:val="center"/>
          </w:tcPr>
          <w:p w14:paraId="09E42E8D">
            <w:pPr>
              <w:spacing w:line="440" w:lineRule="exact"/>
              <w:jc w:val="center"/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  <w:lang w:eastAsia="zh-CN"/>
              </w:rPr>
            </w:pPr>
            <w:r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  <w:t>最快供货</w:t>
            </w: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  <w:lang w:val="en-US" w:eastAsia="zh-CN"/>
              </w:rPr>
              <w:t>时间</w:t>
            </w:r>
          </w:p>
        </w:tc>
      </w:tr>
      <w:tr w14:paraId="6076EB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" w:type="pct"/>
            <w:tcBorders>
              <w:top w:val="double" w:color="auto" w:sz="4" w:space="0"/>
              <w:left w:val="single" w:color="auto" w:sz="12" w:space="0"/>
            </w:tcBorders>
            <w:noWrap w:val="0"/>
            <w:vAlign w:val="top"/>
          </w:tcPr>
          <w:p w14:paraId="6904F50E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2312" w:hAnsi="华文楷体" w:eastAsia="方正仿宋_GB2312"/>
                <w:color w:val="auto"/>
                <w:kern w:val="0"/>
                <w:sz w:val="24"/>
                <w:highlight w:val="none"/>
              </w:rPr>
              <w:t>1</w:t>
            </w:r>
          </w:p>
        </w:tc>
        <w:tc>
          <w:tcPr>
            <w:tcW w:w="1036" w:type="pct"/>
            <w:tcBorders>
              <w:top w:val="double" w:color="auto" w:sz="4" w:space="0"/>
            </w:tcBorders>
            <w:noWrap w:val="0"/>
            <w:vAlign w:val="center"/>
          </w:tcPr>
          <w:p w14:paraId="2716FB82">
            <w:pPr>
              <w:ind w:left="-63" w:leftChars="-30" w:right="-63" w:rightChars="-30"/>
              <w:jc w:val="center"/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488" w:type="pct"/>
            <w:tcBorders>
              <w:top w:val="double" w:color="auto" w:sz="4" w:space="0"/>
            </w:tcBorders>
            <w:noWrap w:val="0"/>
            <w:vAlign w:val="top"/>
          </w:tcPr>
          <w:p w14:paraId="68C63CC3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33" w:type="pct"/>
            <w:tcBorders>
              <w:top w:val="double" w:color="auto" w:sz="4" w:space="0"/>
            </w:tcBorders>
            <w:noWrap w:val="0"/>
            <w:vAlign w:val="top"/>
          </w:tcPr>
          <w:p w14:paraId="2062DBEC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292" w:type="pct"/>
            <w:tcBorders>
              <w:top w:val="double" w:color="auto" w:sz="4" w:space="0"/>
            </w:tcBorders>
            <w:noWrap w:val="0"/>
            <w:vAlign w:val="top"/>
          </w:tcPr>
          <w:p w14:paraId="5576A539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top w:val="double" w:color="auto" w:sz="4" w:space="0"/>
            </w:tcBorders>
            <w:noWrap w:val="0"/>
            <w:vAlign w:val="top"/>
          </w:tcPr>
          <w:p w14:paraId="3366DAB2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top w:val="double" w:color="auto" w:sz="4" w:space="0"/>
            </w:tcBorders>
            <w:noWrap w:val="0"/>
            <w:vAlign w:val="top"/>
          </w:tcPr>
          <w:p w14:paraId="45D03D7C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618" w:type="pct"/>
            <w:tcBorders>
              <w:top w:val="double" w:color="auto" w:sz="4" w:space="0"/>
            </w:tcBorders>
            <w:noWrap w:val="0"/>
            <w:vAlign w:val="top"/>
          </w:tcPr>
          <w:p w14:paraId="014679F0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00" w:type="pct"/>
            <w:tcBorders>
              <w:top w:val="double" w:color="auto" w:sz="4" w:space="0"/>
              <w:right w:val="single" w:color="auto" w:sz="12" w:space="0"/>
            </w:tcBorders>
            <w:noWrap w:val="0"/>
            <w:vAlign w:val="top"/>
          </w:tcPr>
          <w:p w14:paraId="605E89B2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</w:tr>
      <w:tr w14:paraId="32388A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" w:type="pct"/>
            <w:tcBorders>
              <w:left w:val="single" w:color="auto" w:sz="12" w:space="0"/>
            </w:tcBorders>
            <w:noWrap w:val="0"/>
            <w:vAlign w:val="top"/>
          </w:tcPr>
          <w:p w14:paraId="29977C73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2312" w:hAnsi="华文楷体" w:eastAsia="方正仿宋_GB2312"/>
                <w:color w:val="auto"/>
                <w:kern w:val="0"/>
                <w:sz w:val="24"/>
                <w:highlight w:val="none"/>
              </w:rPr>
              <w:t>2</w:t>
            </w:r>
          </w:p>
        </w:tc>
        <w:tc>
          <w:tcPr>
            <w:tcW w:w="1036" w:type="pct"/>
            <w:noWrap w:val="0"/>
            <w:vAlign w:val="center"/>
          </w:tcPr>
          <w:p w14:paraId="2866E2D0">
            <w:pPr>
              <w:ind w:left="-63" w:leftChars="-30" w:right="-63" w:rightChars="-30"/>
              <w:jc w:val="center"/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488" w:type="pct"/>
            <w:noWrap w:val="0"/>
            <w:vAlign w:val="top"/>
          </w:tcPr>
          <w:p w14:paraId="0669C2FF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33" w:type="pct"/>
            <w:noWrap w:val="0"/>
            <w:vAlign w:val="top"/>
          </w:tcPr>
          <w:p w14:paraId="4D504156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292" w:type="pct"/>
            <w:noWrap w:val="0"/>
            <w:vAlign w:val="top"/>
          </w:tcPr>
          <w:p w14:paraId="74F4D8E1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noWrap w:val="0"/>
            <w:vAlign w:val="top"/>
          </w:tcPr>
          <w:p w14:paraId="27571361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noWrap w:val="0"/>
            <w:vAlign w:val="top"/>
          </w:tcPr>
          <w:p w14:paraId="45E1288F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618" w:type="pct"/>
            <w:noWrap w:val="0"/>
            <w:vAlign w:val="top"/>
          </w:tcPr>
          <w:p w14:paraId="5DDB1CC9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00" w:type="pct"/>
            <w:tcBorders>
              <w:right w:val="single" w:color="auto" w:sz="12" w:space="0"/>
            </w:tcBorders>
            <w:noWrap w:val="0"/>
            <w:vAlign w:val="top"/>
          </w:tcPr>
          <w:p w14:paraId="6BB70514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</w:tr>
      <w:tr w14:paraId="669286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" w:type="pct"/>
            <w:tcBorders>
              <w:left w:val="single" w:color="auto" w:sz="12" w:space="0"/>
              <w:bottom w:val="single" w:color="auto" w:sz="4" w:space="0"/>
            </w:tcBorders>
            <w:noWrap w:val="0"/>
            <w:vAlign w:val="top"/>
          </w:tcPr>
          <w:p w14:paraId="5E49ACAD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2312" w:hAnsi="华文楷体" w:eastAsia="方正仿宋_GB2312"/>
                <w:color w:val="auto"/>
                <w:kern w:val="0"/>
                <w:sz w:val="24"/>
                <w:highlight w:val="none"/>
              </w:rPr>
              <w:t>3</w:t>
            </w:r>
          </w:p>
        </w:tc>
        <w:tc>
          <w:tcPr>
            <w:tcW w:w="1036" w:type="pct"/>
            <w:tcBorders>
              <w:bottom w:val="single" w:color="auto" w:sz="4" w:space="0"/>
            </w:tcBorders>
            <w:noWrap w:val="0"/>
            <w:vAlign w:val="center"/>
          </w:tcPr>
          <w:p w14:paraId="2D958EE1">
            <w:pPr>
              <w:ind w:left="-42" w:leftChars="-20" w:right="-42" w:rightChars="-20"/>
              <w:jc w:val="center"/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488" w:type="pct"/>
            <w:tcBorders>
              <w:bottom w:val="single" w:color="auto" w:sz="4" w:space="0"/>
            </w:tcBorders>
            <w:noWrap w:val="0"/>
            <w:vAlign w:val="top"/>
          </w:tcPr>
          <w:p w14:paraId="6B0A81D6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33" w:type="pct"/>
            <w:tcBorders>
              <w:bottom w:val="single" w:color="auto" w:sz="4" w:space="0"/>
            </w:tcBorders>
            <w:noWrap w:val="0"/>
            <w:vAlign w:val="top"/>
          </w:tcPr>
          <w:p w14:paraId="58841A2F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292" w:type="pct"/>
            <w:tcBorders>
              <w:bottom w:val="single" w:color="auto" w:sz="4" w:space="0"/>
            </w:tcBorders>
            <w:noWrap w:val="0"/>
            <w:vAlign w:val="top"/>
          </w:tcPr>
          <w:p w14:paraId="26802B6E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bottom w:val="single" w:color="auto" w:sz="4" w:space="0"/>
            </w:tcBorders>
            <w:noWrap w:val="0"/>
            <w:vAlign w:val="top"/>
          </w:tcPr>
          <w:p w14:paraId="2ECBBA3C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bottom w:val="single" w:color="auto" w:sz="4" w:space="0"/>
            </w:tcBorders>
            <w:noWrap w:val="0"/>
            <w:vAlign w:val="top"/>
          </w:tcPr>
          <w:p w14:paraId="747E5F99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618" w:type="pct"/>
            <w:tcBorders>
              <w:bottom w:val="single" w:color="auto" w:sz="4" w:space="0"/>
            </w:tcBorders>
            <w:noWrap w:val="0"/>
            <w:vAlign w:val="top"/>
          </w:tcPr>
          <w:p w14:paraId="5140F715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00" w:type="pct"/>
            <w:tcBorders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 w14:paraId="7F3F6EF0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</w:tr>
      <w:tr w14:paraId="5A9D00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" w:type="pct"/>
            <w:tcBorders>
              <w:left w:val="single" w:color="auto" w:sz="12" w:space="0"/>
              <w:bottom w:val="single" w:color="auto" w:sz="4" w:space="0"/>
            </w:tcBorders>
            <w:noWrap w:val="0"/>
            <w:vAlign w:val="top"/>
          </w:tcPr>
          <w:p w14:paraId="22131CE2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2312" w:hAnsi="华文楷体" w:eastAsia="方正仿宋_GB2312"/>
                <w:color w:val="auto"/>
                <w:kern w:val="0"/>
                <w:sz w:val="24"/>
                <w:highlight w:val="none"/>
              </w:rPr>
              <w:t>4</w:t>
            </w:r>
          </w:p>
        </w:tc>
        <w:tc>
          <w:tcPr>
            <w:tcW w:w="1036" w:type="pct"/>
            <w:tcBorders>
              <w:bottom w:val="single" w:color="auto" w:sz="4" w:space="0"/>
            </w:tcBorders>
            <w:noWrap w:val="0"/>
            <w:vAlign w:val="top"/>
          </w:tcPr>
          <w:p w14:paraId="6938BE08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88" w:type="pct"/>
            <w:tcBorders>
              <w:bottom w:val="single" w:color="auto" w:sz="4" w:space="0"/>
            </w:tcBorders>
            <w:noWrap w:val="0"/>
            <w:vAlign w:val="top"/>
          </w:tcPr>
          <w:p w14:paraId="4CD1A541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33" w:type="pct"/>
            <w:tcBorders>
              <w:bottom w:val="single" w:color="auto" w:sz="4" w:space="0"/>
            </w:tcBorders>
            <w:noWrap w:val="0"/>
            <w:vAlign w:val="top"/>
          </w:tcPr>
          <w:p w14:paraId="337FC115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292" w:type="pct"/>
            <w:tcBorders>
              <w:bottom w:val="single" w:color="auto" w:sz="4" w:space="0"/>
            </w:tcBorders>
            <w:noWrap w:val="0"/>
            <w:vAlign w:val="top"/>
          </w:tcPr>
          <w:p w14:paraId="3C03B4F1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bottom w:val="single" w:color="auto" w:sz="4" w:space="0"/>
            </w:tcBorders>
            <w:noWrap w:val="0"/>
            <w:vAlign w:val="top"/>
          </w:tcPr>
          <w:p w14:paraId="47DA722A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bottom w:val="single" w:color="auto" w:sz="4" w:space="0"/>
            </w:tcBorders>
            <w:noWrap w:val="0"/>
            <w:vAlign w:val="top"/>
          </w:tcPr>
          <w:p w14:paraId="76A33D3C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618" w:type="pct"/>
            <w:tcBorders>
              <w:bottom w:val="single" w:color="auto" w:sz="4" w:space="0"/>
            </w:tcBorders>
            <w:noWrap w:val="0"/>
            <w:vAlign w:val="top"/>
          </w:tcPr>
          <w:p w14:paraId="751F0F09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00" w:type="pct"/>
            <w:tcBorders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 w14:paraId="0B4D1DA3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</w:tr>
      <w:tr w14:paraId="72A11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" w:type="pct"/>
            <w:tcBorders>
              <w:left w:val="single" w:color="auto" w:sz="12" w:space="0"/>
              <w:bottom w:val="single" w:color="auto" w:sz="4" w:space="0"/>
            </w:tcBorders>
            <w:noWrap w:val="0"/>
            <w:vAlign w:val="top"/>
          </w:tcPr>
          <w:p w14:paraId="6A9F333C">
            <w:pPr>
              <w:spacing w:line="440" w:lineRule="exact"/>
              <w:jc w:val="center"/>
              <w:rPr>
                <w:rFonts w:hint="eastAsia"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2312" w:hAnsi="华文楷体" w:eastAsia="方正仿宋_GB2312"/>
                <w:color w:val="auto"/>
                <w:kern w:val="0"/>
                <w:sz w:val="24"/>
                <w:highlight w:val="none"/>
              </w:rPr>
              <w:t>5</w:t>
            </w:r>
          </w:p>
        </w:tc>
        <w:tc>
          <w:tcPr>
            <w:tcW w:w="1036" w:type="pct"/>
            <w:tcBorders>
              <w:bottom w:val="single" w:color="auto" w:sz="4" w:space="0"/>
            </w:tcBorders>
            <w:noWrap w:val="0"/>
            <w:vAlign w:val="top"/>
          </w:tcPr>
          <w:p w14:paraId="5ED63A4B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88" w:type="pct"/>
            <w:tcBorders>
              <w:bottom w:val="single" w:color="auto" w:sz="4" w:space="0"/>
            </w:tcBorders>
            <w:noWrap w:val="0"/>
            <w:vAlign w:val="top"/>
          </w:tcPr>
          <w:p w14:paraId="49A78B8A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33" w:type="pct"/>
            <w:tcBorders>
              <w:bottom w:val="single" w:color="auto" w:sz="4" w:space="0"/>
            </w:tcBorders>
            <w:noWrap w:val="0"/>
            <w:vAlign w:val="top"/>
          </w:tcPr>
          <w:p w14:paraId="2EEE3065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292" w:type="pct"/>
            <w:tcBorders>
              <w:bottom w:val="single" w:color="auto" w:sz="4" w:space="0"/>
            </w:tcBorders>
            <w:noWrap w:val="0"/>
            <w:vAlign w:val="top"/>
          </w:tcPr>
          <w:p w14:paraId="270F8717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bottom w:val="single" w:color="auto" w:sz="4" w:space="0"/>
            </w:tcBorders>
            <w:noWrap w:val="0"/>
            <w:vAlign w:val="top"/>
          </w:tcPr>
          <w:p w14:paraId="2A4C7C00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bottom w:val="single" w:color="auto" w:sz="4" w:space="0"/>
            </w:tcBorders>
            <w:noWrap w:val="0"/>
            <w:vAlign w:val="top"/>
          </w:tcPr>
          <w:p w14:paraId="6028EA0C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618" w:type="pct"/>
            <w:tcBorders>
              <w:bottom w:val="single" w:color="auto" w:sz="4" w:space="0"/>
            </w:tcBorders>
            <w:noWrap w:val="0"/>
            <w:vAlign w:val="top"/>
          </w:tcPr>
          <w:p w14:paraId="7530FD9C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00" w:type="pct"/>
            <w:tcBorders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 w14:paraId="1CF8882E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</w:tr>
      <w:tr w14:paraId="512FFB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7" w:type="pct"/>
            <w:gridSpan w:val="4"/>
            <w:tcBorders>
              <w:top w:val="double" w:color="auto" w:sz="4" w:space="0"/>
              <w:left w:val="single" w:color="auto" w:sz="12" w:space="0"/>
              <w:bottom w:val="single" w:color="auto" w:sz="12" w:space="0"/>
            </w:tcBorders>
            <w:noWrap w:val="0"/>
            <w:vAlign w:val="top"/>
          </w:tcPr>
          <w:p w14:paraId="57ECA68A">
            <w:pPr>
              <w:spacing w:line="440" w:lineRule="exact"/>
              <w:jc w:val="center"/>
              <w:rPr>
                <w:rFonts w:hint="eastAsia" w:ascii="黑体" w:hAnsi="华文楷体" w:eastAsia="黑体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 w:cs="Times New Roman"/>
                <w:color w:val="auto"/>
                <w:kern w:val="0"/>
                <w:sz w:val="24"/>
                <w:highlight w:val="none"/>
              </w:rPr>
              <w:t>合计金额（人民币）</w:t>
            </w:r>
          </w:p>
        </w:tc>
        <w:tc>
          <w:tcPr>
            <w:tcW w:w="2492" w:type="pct"/>
            <w:gridSpan w:val="5"/>
            <w:tcBorders>
              <w:top w:val="double" w:color="auto" w:sz="4" w:space="0"/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 w14:paraId="5C538379">
            <w:pPr>
              <w:spacing w:line="440" w:lineRule="exact"/>
              <w:jc w:val="center"/>
              <w:rPr>
                <w:rFonts w:hint="eastAsia" w:ascii="黑体" w:hAnsi="华文楷体" w:eastAsia="黑体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 w:cs="Times New Roman"/>
                <w:color w:val="auto"/>
                <w:kern w:val="0"/>
                <w:sz w:val="24"/>
                <w:highlight w:val="none"/>
              </w:rPr>
              <w:t xml:space="preserve">￥           （大写）：                               </w:t>
            </w:r>
          </w:p>
        </w:tc>
      </w:tr>
    </w:tbl>
    <w:p w14:paraId="655247D5">
      <w:pPr>
        <w:spacing w:line="440" w:lineRule="exact"/>
        <w:rPr>
          <w:rFonts w:hint="eastAsia" w:ascii="黑体" w:hAnsi="华文楷体" w:eastAsia="黑体"/>
          <w:b/>
          <w:color w:val="auto"/>
          <w:sz w:val="24"/>
          <w:highlight w:val="none"/>
        </w:rPr>
      </w:pPr>
    </w:p>
    <w:p w14:paraId="2181F384">
      <w:pPr>
        <w:spacing w:line="440" w:lineRule="exact"/>
        <w:rPr>
          <w:rFonts w:hint="eastAsia" w:ascii="黑体" w:hAnsi="华文楷体" w:eastAsia="黑体"/>
          <w:b/>
          <w:color w:val="auto"/>
          <w:sz w:val="24"/>
          <w:highlight w:val="none"/>
        </w:rPr>
      </w:pPr>
    </w:p>
    <w:p w14:paraId="5E23D6EF">
      <w:pPr>
        <w:pStyle w:val="13"/>
        <w:ind w:left="0" w:leftChars="0" w:firstLine="0" w:firstLineChars="0"/>
        <w:rPr>
          <w:rFonts w:hint="eastAsia"/>
          <w:color w:val="auto"/>
          <w:highlight w:val="none"/>
        </w:rPr>
      </w:pPr>
    </w:p>
    <w:p w14:paraId="296AA70E">
      <w:pPr>
        <w:spacing w:line="440" w:lineRule="exact"/>
        <w:rPr>
          <w:rFonts w:ascii="黑体" w:hAnsi="华文楷体" w:eastAsia="黑体"/>
          <w:color w:val="auto"/>
          <w:sz w:val="24"/>
          <w:highlight w:val="none"/>
        </w:rPr>
      </w:pPr>
      <w:r>
        <w:rPr>
          <w:rFonts w:hint="eastAsia" w:ascii="黑体" w:hAnsi="华文楷体" w:eastAsia="黑体"/>
          <w:color w:val="auto"/>
          <w:sz w:val="24"/>
          <w:highlight w:val="none"/>
        </w:rPr>
        <w:t>公司名称（盖章）：          委托代理人（签字）：        报价日期：      年    月   日</w:t>
      </w:r>
    </w:p>
    <w:p w14:paraId="345567A0">
      <w:pPr>
        <w:rPr>
          <w:rFonts w:hint="eastAsia" w:ascii="黑体" w:hAnsi="华文楷体" w:eastAsia="黑体"/>
          <w:color w:val="auto"/>
          <w:szCs w:val="21"/>
          <w:highlight w:val="none"/>
        </w:rPr>
      </w:pPr>
    </w:p>
    <w:p w14:paraId="24F3C11F">
      <w:pPr>
        <w:rPr>
          <w:rFonts w:ascii="黑体" w:hAnsi="华文楷体" w:eastAsia="黑体"/>
          <w:color w:val="auto"/>
          <w:szCs w:val="21"/>
          <w:highlight w:val="none"/>
        </w:rPr>
      </w:pPr>
      <w:r>
        <w:rPr>
          <w:rFonts w:hint="eastAsia" w:ascii="黑体" w:hAnsi="华文楷体" w:eastAsia="黑体"/>
          <w:color w:val="auto"/>
          <w:szCs w:val="21"/>
          <w:highlight w:val="none"/>
        </w:rPr>
        <w:t>报价说明：1、报价公司提供的上述产品，应完全满足或者优于我校提出的需求。</w:t>
      </w:r>
    </w:p>
    <w:p w14:paraId="6C546935">
      <w:pPr>
        <w:rPr>
          <w:rFonts w:ascii="黑体" w:hAnsi="华文楷体" w:eastAsia="黑体"/>
          <w:color w:val="auto"/>
          <w:szCs w:val="21"/>
          <w:highlight w:val="none"/>
        </w:rPr>
      </w:pPr>
      <w:r>
        <w:rPr>
          <w:rFonts w:hint="eastAsia" w:ascii="黑体" w:hAnsi="华文楷体" w:eastAsia="黑体"/>
          <w:color w:val="auto"/>
          <w:szCs w:val="21"/>
          <w:highlight w:val="none"/>
        </w:rPr>
        <w:t xml:space="preserve">          2、如属非标配产品，其技术指标（特别是优于我校需求的部分）请另行附页说明。</w:t>
      </w:r>
    </w:p>
    <w:p w14:paraId="360E75B8">
      <w:pPr>
        <w:rPr>
          <w:rFonts w:ascii="黑体" w:hAnsi="华文楷体" w:eastAsia="黑体"/>
          <w:color w:val="auto"/>
          <w:szCs w:val="21"/>
          <w:highlight w:val="none"/>
        </w:rPr>
      </w:pPr>
      <w:r>
        <w:rPr>
          <w:rFonts w:hint="eastAsia" w:ascii="黑体" w:hAnsi="华文楷体" w:eastAsia="黑体"/>
          <w:color w:val="auto"/>
          <w:szCs w:val="21"/>
          <w:highlight w:val="none"/>
        </w:rPr>
        <w:t xml:space="preserve">          3、特殊的售后服务措施、代理证明情况等需要说明的，请另行附页说明。</w:t>
      </w:r>
    </w:p>
    <w:p w14:paraId="4A21681F">
      <w:pPr>
        <w:rPr>
          <w:rFonts w:hint="eastAsia" w:ascii="黑体" w:hAnsi="华文楷体" w:eastAsia="黑体"/>
          <w:color w:val="auto"/>
          <w:szCs w:val="21"/>
          <w:highlight w:val="none"/>
        </w:rPr>
      </w:pPr>
      <w:r>
        <w:rPr>
          <w:rFonts w:hint="eastAsia" w:ascii="黑体" w:hAnsi="华文楷体" w:eastAsia="黑体"/>
          <w:color w:val="auto"/>
          <w:szCs w:val="21"/>
          <w:highlight w:val="none"/>
        </w:rPr>
        <w:t xml:space="preserve">          4、报价单附页（如有）共</w:t>
      </w:r>
      <w:r>
        <w:rPr>
          <w:rFonts w:hint="eastAsia" w:ascii="黑体" w:hAnsi="华文楷体" w:eastAsia="黑体"/>
          <w:color w:val="auto"/>
          <w:szCs w:val="21"/>
          <w:highlight w:val="none"/>
          <w:u w:val="single"/>
        </w:rPr>
        <w:t xml:space="preserve">      </w:t>
      </w:r>
      <w:r>
        <w:rPr>
          <w:rFonts w:hint="eastAsia" w:ascii="黑体" w:hAnsi="华文楷体" w:eastAsia="黑体"/>
          <w:color w:val="auto"/>
          <w:szCs w:val="21"/>
          <w:highlight w:val="none"/>
        </w:rPr>
        <w:t>页。</w:t>
      </w:r>
    </w:p>
    <w:p w14:paraId="4403A77C">
      <w:pPr>
        <w:rPr>
          <w:rFonts w:hint="eastAsia" w:ascii="仿宋" w:hAnsi="仿宋" w:eastAsia="仿宋"/>
          <w:b/>
          <w:bCs/>
          <w:color w:val="auto"/>
          <w:kern w:val="0"/>
          <w:sz w:val="36"/>
          <w:szCs w:val="36"/>
          <w:highlight w:val="none"/>
          <w:lang w:val="en-US" w:eastAsia="zh-CN"/>
        </w:rPr>
      </w:pPr>
      <w:r>
        <w:rPr>
          <w:rFonts w:hint="eastAsia" w:ascii="仿宋" w:hAnsi="仿宋" w:eastAsia="仿宋"/>
          <w:b/>
          <w:bCs/>
          <w:color w:val="auto"/>
          <w:kern w:val="0"/>
          <w:sz w:val="36"/>
          <w:szCs w:val="36"/>
          <w:highlight w:val="none"/>
          <w:lang w:val="en-US" w:eastAsia="zh-CN"/>
        </w:rPr>
        <w:br w:type="page"/>
      </w:r>
    </w:p>
    <w:p w14:paraId="0D7FB27B">
      <w:pPr>
        <w:spacing w:after="120" w:afterLines="50" w:line="240" w:lineRule="auto"/>
        <w:ind w:left="0" w:leftChars="0" w:firstLine="0" w:firstLineChars="0"/>
        <w:jc w:val="center"/>
        <w:rPr>
          <w:rFonts w:ascii="仿宋" w:hAnsi="仿宋" w:eastAsia="仿宋"/>
          <w:b/>
          <w:bCs/>
          <w:color w:val="auto"/>
          <w:kern w:val="0"/>
          <w:sz w:val="36"/>
          <w:szCs w:val="36"/>
          <w:highlight w:val="none"/>
        </w:rPr>
      </w:pPr>
      <w:r>
        <w:rPr>
          <w:rFonts w:hint="eastAsia" w:ascii="仿宋" w:hAnsi="仿宋" w:eastAsia="仿宋"/>
          <w:b/>
          <w:bCs/>
          <w:color w:val="auto"/>
          <w:kern w:val="0"/>
          <w:sz w:val="36"/>
          <w:szCs w:val="36"/>
          <w:highlight w:val="none"/>
          <w:lang w:val="en-US" w:eastAsia="zh-CN"/>
        </w:rPr>
        <w:t>报价</w:t>
      </w:r>
      <w:r>
        <w:rPr>
          <w:rFonts w:hint="eastAsia" w:ascii="仿宋" w:hAnsi="仿宋" w:eastAsia="仿宋"/>
          <w:b/>
          <w:bCs/>
          <w:color w:val="auto"/>
          <w:kern w:val="0"/>
          <w:sz w:val="36"/>
          <w:szCs w:val="36"/>
          <w:highlight w:val="none"/>
        </w:rPr>
        <w:t>承诺函</w:t>
      </w:r>
    </w:p>
    <w:p w14:paraId="154139ED">
      <w:pPr>
        <w:spacing w:after="120" w:afterLines="50" w:line="240" w:lineRule="auto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致：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上海海事大学</w:t>
      </w:r>
    </w:p>
    <w:p w14:paraId="37C42137">
      <w:pPr>
        <w:spacing w:after="120" w:afterLines="50" w:line="240" w:lineRule="auto"/>
        <w:ind w:left="0" w:leftChars="0" w:firstLine="480" w:firstLineChars="200"/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我</w:t>
      </w:r>
      <w:r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  <w:t>公司在参加本次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比选采购</w:t>
      </w:r>
      <w:r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  <w:t>活动中，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作出如下</w:t>
      </w:r>
      <w:r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  <w:t>承诺：</w:t>
      </w:r>
    </w:p>
    <w:p w14:paraId="46C0BB39">
      <w:pPr>
        <w:spacing w:after="120" w:afterLines="50" w:line="240" w:lineRule="auto"/>
        <w:ind w:left="0" w:leftChars="0" w:firstLine="480" w:firstLineChars="200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一、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具备独立法人资格，能够独立承担民事责任。</w:t>
      </w:r>
    </w:p>
    <w:p w14:paraId="50EE2300">
      <w:pPr>
        <w:spacing w:after="120" w:afterLines="50" w:line="240" w:lineRule="auto"/>
        <w:ind w:left="0" w:leftChars="0" w:firstLine="480" w:firstLineChars="200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二、我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财务状况良好，具备履行合同所需资金实力。</w:t>
      </w:r>
    </w:p>
    <w:p w14:paraId="3F8FCAE5">
      <w:pPr>
        <w:spacing w:after="120" w:afterLines="50" w:line="240" w:lineRule="auto"/>
        <w:ind w:left="0" w:leftChars="0" w:firstLine="480" w:firstLineChars="200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三、我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拥有履行项目所需的专业技术人员和先进的生产设备。</w:t>
      </w:r>
    </w:p>
    <w:p w14:paraId="45943AA8">
      <w:pPr>
        <w:spacing w:after="120" w:afterLines="50" w:line="240" w:lineRule="auto"/>
        <w:ind w:left="0" w:leftChars="0" w:firstLine="480" w:firstLineChars="200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四、我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依法纳税，并按时缴纳社会保险费。</w:t>
      </w:r>
    </w:p>
    <w:p w14:paraId="0F0C6E90">
      <w:pPr>
        <w:spacing w:after="120" w:afterLines="50" w:line="240" w:lineRule="auto"/>
        <w:ind w:left="0" w:leftChars="0" w:firstLine="480" w:firstLineChars="200"/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五、我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在最近三年内无任何违法违规行为，信誉良好。</w:t>
      </w:r>
    </w:p>
    <w:p w14:paraId="3EF4200C">
      <w:pPr>
        <w:spacing w:after="120" w:afterLines="50" w:line="240" w:lineRule="auto"/>
        <w:ind w:left="0" w:leftChars="0" w:firstLine="480" w:firstLineChars="200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六、我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完全符合政府采购法及其他相关法律法规的规定。</w:t>
      </w:r>
    </w:p>
    <w:p w14:paraId="072F3ABB">
      <w:pPr>
        <w:spacing w:after="120" w:afterLines="50" w:line="240" w:lineRule="auto"/>
        <w:ind w:left="0" w:leftChars="0" w:firstLine="480" w:firstLineChars="200"/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七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、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公司提供的相关文件均真实、有效。</w:t>
      </w:r>
    </w:p>
    <w:p w14:paraId="1E86BCEA">
      <w:pPr>
        <w:spacing w:after="120" w:afterLines="50" w:line="240" w:lineRule="auto"/>
        <w:ind w:left="0" w:leftChars="0" w:firstLine="480" w:firstLineChars="200"/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八、我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公司未挂靠、借用资质进行投标等违法违规行为。</w:t>
      </w:r>
    </w:p>
    <w:p w14:paraId="1961C25F">
      <w:pPr>
        <w:spacing w:after="120" w:afterLines="50" w:line="240" w:lineRule="auto"/>
        <w:ind w:left="0" w:leftChars="0" w:firstLine="480" w:firstLineChars="200"/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九、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我公司承诺在参加本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次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采购活动中，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不存在串标围标行为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，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不存在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损害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校方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或者其他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报价单位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利益的行为。</w:t>
      </w:r>
    </w:p>
    <w:p w14:paraId="1B3C8AA7">
      <w:pPr>
        <w:spacing w:after="120" w:afterLines="50" w:line="240" w:lineRule="auto"/>
        <w:ind w:left="0" w:leftChars="0" w:firstLine="480" w:firstLineChars="200"/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十、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公司管理层中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没有从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贵校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离职或退休3年以内的人员担任控股股东或实际控股人、董事、监事，也没有聘用从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贵校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离职或退休3年以内的人员。</w:t>
      </w:r>
    </w:p>
    <w:p w14:paraId="3FE2B1FA">
      <w:pPr>
        <w:spacing w:after="120" w:afterLines="50" w:line="240" w:lineRule="auto"/>
        <w:ind w:left="0" w:leftChars="0" w:firstLine="480" w:firstLineChars="200"/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我公司保证上述声明真实无误，如有不实，愿承担相应法律责任。</w:t>
      </w:r>
    </w:p>
    <w:p w14:paraId="2C38F8B9">
      <w:pPr>
        <w:spacing w:after="120" w:afterLines="50" w:line="240" w:lineRule="auto"/>
        <w:ind w:left="0" w:leftChars="0" w:firstLine="0" w:firstLineChars="0"/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</w:pPr>
    </w:p>
    <w:p w14:paraId="4A13A388">
      <w:pPr>
        <w:spacing w:after="120" w:afterLines="50" w:line="240" w:lineRule="auto"/>
        <w:ind w:left="0" w:leftChars="0" w:firstLine="0" w:firstLineChars="0"/>
        <w:rPr>
          <w:rFonts w:ascii="黑体" w:hAnsi="华文楷体" w:eastAsia="黑体"/>
          <w:b/>
          <w:bCs/>
          <w:color w:val="auto"/>
          <w:sz w:val="32"/>
          <w:szCs w:val="32"/>
          <w:highlight w:val="none"/>
        </w:rPr>
      </w:pPr>
      <w:r>
        <w:rPr>
          <w:rFonts w:hint="eastAsia" w:ascii="黑体" w:hAnsi="华文楷体" w:eastAsia="黑体"/>
          <w:color w:val="auto"/>
          <w:sz w:val="24"/>
          <w:szCs w:val="24"/>
          <w:highlight w:val="none"/>
        </w:rPr>
        <w:t>公司名称（盖章）：                              委托代理人（签字）：</w:t>
      </w:r>
    </w:p>
    <w:p w14:paraId="476D3484">
      <w:pPr>
        <w:pStyle w:val="7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</w:p>
    <w:p w14:paraId="3F5F1DB4">
      <w:pPr>
        <w:pStyle w:val="7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</w:p>
    <w:p w14:paraId="74EC9A37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sectPr>
          <w:pgSz w:w="11906" w:h="16838"/>
          <w:pgMar w:top="1440" w:right="1083" w:bottom="1440" w:left="1083" w:header="851" w:footer="992" w:gutter="0"/>
          <w:pgNumType w:fmt="decimal"/>
          <w:cols w:space="0" w:num="1"/>
          <w:rtlGutter w:val="0"/>
          <w:docGrid w:type="lines" w:linePitch="314" w:charSpace="0"/>
        </w:sectPr>
      </w:pPr>
    </w:p>
    <w:p w14:paraId="7CDE4BA2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附件2：其他材料</w:t>
      </w:r>
    </w:p>
    <w:p w14:paraId="7D103AD2">
      <w:pPr>
        <w:pStyle w:val="6"/>
        <w:ind w:left="0" w:leftChars="0" w:firstLine="0" w:firstLineChars="0"/>
        <w:rPr>
          <w:rFonts w:hint="default"/>
          <w:color w:val="auto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包括但不限于：</w:t>
      </w:r>
    </w:p>
    <w:p w14:paraId="6163A2E2">
      <w:pPr>
        <w:pStyle w:val="6"/>
        <w:numPr>
          <w:ilvl w:val="0"/>
          <w:numId w:val="0"/>
        </w:numPr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1、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营业执照扫描件</w:t>
      </w:r>
    </w:p>
    <w:p w14:paraId="75BA9CDB">
      <w:pPr>
        <w:pStyle w:val="6"/>
        <w:numPr>
          <w:ilvl w:val="0"/>
          <w:numId w:val="0"/>
        </w:numPr>
        <w:ind w:left="0" w:leftChars="0" w:firstLine="0" w:firstLineChars="0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default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2、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产品资料（产品参数及性能）</w:t>
      </w:r>
    </w:p>
    <w:p w14:paraId="1BB2A8EF">
      <w:pPr>
        <w:pStyle w:val="6"/>
        <w:numPr>
          <w:ilvl w:val="0"/>
          <w:numId w:val="0"/>
        </w:numPr>
        <w:ind w:left="0" w:leftChars="0" w:firstLine="0" w:firstLineChars="0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default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3、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实施计划</w:t>
      </w:r>
    </w:p>
    <w:p w14:paraId="32423874">
      <w:pPr>
        <w:pStyle w:val="6"/>
        <w:numPr>
          <w:ilvl w:val="0"/>
          <w:numId w:val="0"/>
        </w:numPr>
        <w:ind w:left="0" w:leftChars="0" w:firstLine="0" w:firstLineChars="0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default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4、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售后方案</w:t>
      </w:r>
    </w:p>
    <w:p w14:paraId="47143B82">
      <w:pPr>
        <w:pStyle w:val="6"/>
        <w:numPr>
          <w:ilvl w:val="0"/>
          <w:numId w:val="0"/>
        </w:numPr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default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5、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业绩案例</w:t>
      </w:r>
    </w:p>
    <w:p w14:paraId="3644FF0B">
      <w:pPr>
        <w:pStyle w:val="6"/>
        <w:numPr>
          <w:ilvl w:val="0"/>
          <w:numId w:val="0"/>
        </w:numPr>
        <w:ind w:left="0" w:leftChars="0" w:firstLine="0" w:firstLineChars="0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6、其他所必需的相关材料</w:t>
      </w:r>
    </w:p>
    <w:sectPr>
      <w:pgSz w:w="11906" w:h="16838"/>
      <w:pgMar w:top="1440" w:right="1083" w:bottom="1440" w:left="1083" w:header="851" w:footer="992" w:gutter="0"/>
      <w:pgNumType w:fmt="decimal"/>
      <w:cols w:space="0" w:num="1"/>
      <w:rtlGutter w:val="0"/>
      <w:docGrid w:type="lines" w:linePitch="31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A930738-AA31-4063-8AA3-EDB8CE676DC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Times NR MT Pro Medium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兰亭黑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B0BAC18D-D7D9-4B39-8F98-27AA6DF9733E}"/>
  </w:font>
  <w:font w:name="华文楷体">
    <w:panose1 w:val="02010600040101010101"/>
    <w:charset w:val="86"/>
    <w:family w:val="auto"/>
    <w:pitch w:val="default"/>
    <w:sig w:usb0="A00002BF" w:usb1="78CF7CFB" w:usb2="00000016" w:usb3="00000000" w:csb0="6006009F" w:csb1="DFD70000"/>
    <w:embedRegular r:id="rId3" w:fontKey="{918CF0B8-B4AF-4D02-AE41-407EE8EAFB2C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D3896366-EEDF-43A7-8310-CD9006769C29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379C46DD-3D25-4002-8D5A-6AA1F476A83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004925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C62FB9A">
                          <w:pPr>
                            <w:pStyle w:val="8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14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C62FB9A">
                    <w:pPr>
                      <w:pStyle w:val="8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14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7722401"/>
    <w:multiLevelType w:val="multilevel"/>
    <w:tmpl w:val="17722401"/>
    <w:lvl w:ilvl="0" w:tentative="0">
      <w:start w:val="1"/>
      <w:numFmt w:val="japaneseCounting"/>
      <w:pStyle w:val="2"/>
      <w:lvlText w:val="%1、"/>
      <w:lvlJc w:val="left"/>
      <w:pPr>
        <w:ind w:left="464" w:hanging="720"/>
      </w:pPr>
      <w:rPr>
        <w:rFonts w:hint="default"/>
      </w:rPr>
    </w:lvl>
    <w:lvl w:ilvl="1" w:tentative="0">
      <w:start w:val="1"/>
      <w:numFmt w:val="decimalEnclosedCircle"/>
      <w:lvlText w:val="%2"/>
      <w:lvlJc w:val="left"/>
      <w:pPr>
        <w:ind w:left="544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ind w:left="1064" w:hanging="440"/>
      </w:pPr>
    </w:lvl>
    <w:lvl w:ilvl="3" w:tentative="0">
      <w:start w:val="1"/>
      <w:numFmt w:val="decimal"/>
      <w:lvlText w:val="%4."/>
      <w:lvlJc w:val="left"/>
      <w:pPr>
        <w:ind w:left="1504" w:hanging="440"/>
      </w:pPr>
    </w:lvl>
    <w:lvl w:ilvl="4" w:tentative="0">
      <w:start w:val="1"/>
      <w:numFmt w:val="lowerLetter"/>
      <w:lvlText w:val="%5)"/>
      <w:lvlJc w:val="left"/>
      <w:pPr>
        <w:ind w:left="1944" w:hanging="440"/>
      </w:pPr>
    </w:lvl>
    <w:lvl w:ilvl="5" w:tentative="0">
      <w:start w:val="1"/>
      <w:numFmt w:val="lowerRoman"/>
      <w:lvlText w:val="%6."/>
      <w:lvlJc w:val="right"/>
      <w:pPr>
        <w:ind w:left="2384" w:hanging="440"/>
      </w:pPr>
    </w:lvl>
    <w:lvl w:ilvl="6" w:tentative="0">
      <w:start w:val="1"/>
      <w:numFmt w:val="decimal"/>
      <w:lvlText w:val="%7."/>
      <w:lvlJc w:val="left"/>
      <w:pPr>
        <w:ind w:left="2824" w:hanging="440"/>
      </w:pPr>
    </w:lvl>
    <w:lvl w:ilvl="7" w:tentative="0">
      <w:start w:val="1"/>
      <w:numFmt w:val="lowerLetter"/>
      <w:lvlText w:val="%8)"/>
      <w:lvlJc w:val="left"/>
      <w:pPr>
        <w:ind w:left="3264" w:hanging="440"/>
      </w:pPr>
    </w:lvl>
    <w:lvl w:ilvl="8" w:tentative="0">
      <w:start w:val="1"/>
      <w:numFmt w:val="lowerRoman"/>
      <w:lvlText w:val="%9."/>
      <w:lvlJc w:val="right"/>
      <w:pPr>
        <w:ind w:left="3704" w:hanging="440"/>
      </w:pPr>
    </w:lvl>
  </w:abstractNum>
  <w:abstractNum w:abstractNumId="1">
    <w:nsid w:val="6EE46474"/>
    <w:multiLevelType w:val="multilevel"/>
    <w:tmpl w:val="6EE46474"/>
    <w:lvl w:ilvl="0" w:tentative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 w:tentative="0">
      <w:start w:val="1"/>
      <w:numFmt w:val="decimal"/>
      <w:pStyle w:val="3"/>
      <w:lvlText w:val="%1.%2"/>
      <w:lvlJc w:val="left"/>
      <w:pPr>
        <w:ind w:left="992" w:hanging="567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7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20092"/>
    <w:rsid w:val="0057493B"/>
    <w:rsid w:val="01F71813"/>
    <w:rsid w:val="02675436"/>
    <w:rsid w:val="028C553E"/>
    <w:rsid w:val="029C08D4"/>
    <w:rsid w:val="035A42B0"/>
    <w:rsid w:val="035F3318"/>
    <w:rsid w:val="03B95F21"/>
    <w:rsid w:val="04336B73"/>
    <w:rsid w:val="04A722F0"/>
    <w:rsid w:val="04B638C9"/>
    <w:rsid w:val="05643848"/>
    <w:rsid w:val="06765AA8"/>
    <w:rsid w:val="0875321F"/>
    <w:rsid w:val="090B6D66"/>
    <w:rsid w:val="0924660B"/>
    <w:rsid w:val="09642E33"/>
    <w:rsid w:val="0A056F7E"/>
    <w:rsid w:val="0A502AB1"/>
    <w:rsid w:val="0A965185"/>
    <w:rsid w:val="0AAB1FDD"/>
    <w:rsid w:val="0B604D13"/>
    <w:rsid w:val="0B7B6E53"/>
    <w:rsid w:val="0D297B72"/>
    <w:rsid w:val="0D494B5D"/>
    <w:rsid w:val="0F2E5C77"/>
    <w:rsid w:val="0F995326"/>
    <w:rsid w:val="100D024F"/>
    <w:rsid w:val="105D3AE9"/>
    <w:rsid w:val="10961D46"/>
    <w:rsid w:val="115C628C"/>
    <w:rsid w:val="14004BCE"/>
    <w:rsid w:val="146C6B60"/>
    <w:rsid w:val="149931DA"/>
    <w:rsid w:val="150C5718"/>
    <w:rsid w:val="15285D7F"/>
    <w:rsid w:val="157E6317"/>
    <w:rsid w:val="15D04D45"/>
    <w:rsid w:val="170E6162"/>
    <w:rsid w:val="177D4464"/>
    <w:rsid w:val="17BE0504"/>
    <w:rsid w:val="185660F9"/>
    <w:rsid w:val="1A111C52"/>
    <w:rsid w:val="1B155D4F"/>
    <w:rsid w:val="1B307278"/>
    <w:rsid w:val="1B612879"/>
    <w:rsid w:val="1C117199"/>
    <w:rsid w:val="1D2B42FB"/>
    <w:rsid w:val="1DF9272E"/>
    <w:rsid w:val="1E54798F"/>
    <w:rsid w:val="20D81670"/>
    <w:rsid w:val="20F60C21"/>
    <w:rsid w:val="20FD05AB"/>
    <w:rsid w:val="21706D4D"/>
    <w:rsid w:val="22834F2F"/>
    <w:rsid w:val="22AA0589"/>
    <w:rsid w:val="22F53939"/>
    <w:rsid w:val="23054204"/>
    <w:rsid w:val="23E33644"/>
    <w:rsid w:val="24050543"/>
    <w:rsid w:val="24084D2B"/>
    <w:rsid w:val="244605D8"/>
    <w:rsid w:val="2593464E"/>
    <w:rsid w:val="26C52776"/>
    <w:rsid w:val="286420D2"/>
    <w:rsid w:val="289F74FE"/>
    <w:rsid w:val="2B1640FE"/>
    <w:rsid w:val="2B3C43ED"/>
    <w:rsid w:val="2BBB0ECF"/>
    <w:rsid w:val="2C1D507D"/>
    <w:rsid w:val="2C6B1F6C"/>
    <w:rsid w:val="2DAA3F84"/>
    <w:rsid w:val="2DF80479"/>
    <w:rsid w:val="2E126E25"/>
    <w:rsid w:val="2E691D1D"/>
    <w:rsid w:val="2F123144"/>
    <w:rsid w:val="2F32147B"/>
    <w:rsid w:val="2F933A9E"/>
    <w:rsid w:val="2FB07FD7"/>
    <w:rsid w:val="305F666A"/>
    <w:rsid w:val="30F42118"/>
    <w:rsid w:val="321B43C1"/>
    <w:rsid w:val="32424281"/>
    <w:rsid w:val="325843D8"/>
    <w:rsid w:val="327E3D4A"/>
    <w:rsid w:val="32CC41E5"/>
    <w:rsid w:val="35AD209F"/>
    <w:rsid w:val="35EF058A"/>
    <w:rsid w:val="365A7C39"/>
    <w:rsid w:val="381D531B"/>
    <w:rsid w:val="39422F00"/>
    <w:rsid w:val="39F94C2D"/>
    <w:rsid w:val="3A0B1DA8"/>
    <w:rsid w:val="3A774F92"/>
    <w:rsid w:val="3B197282"/>
    <w:rsid w:val="3B1D370A"/>
    <w:rsid w:val="3C512802"/>
    <w:rsid w:val="3C585A10"/>
    <w:rsid w:val="3CFB52B6"/>
    <w:rsid w:val="3D543C6F"/>
    <w:rsid w:val="3D6469F5"/>
    <w:rsid w:val="3DBA1AA2"/>
    <w:rsid w:val="3E1127E3"/>
    <w:rsid w:val="3E120265"/>
    <w:rsid w:val="3E4D1E72"/>
    <w:rsid w:val="3E5C4869"/>
    <w:rsid w:val="3FCC680A"/>
    <w:rsid w:val="40202543"/>
    <w:rsid w:val="40543C97"/>
    <w:rsid w:val="40BF3346"/>
    <w:rsid w:val="41007DAA"/>
    <w:rsid w:val="426E308D"/>
    <w:rsid w:val="43D24ED2"/>
    <w:rsid w:val="449934F9"/>
    <w:rsid w:val="45DB0FAA"/>
    <w:rsid w:val="46BD331C"/>
    <w:rsid w:val="47180336"/>
    <w:rsid w:val="471901B2"/>
    <w:rsid w:val="480A63EB"/>
    <w:rsid w:val="482F577C"/>
    <w:rsid w:val="487274EA"/>
    <w:rsid w:val="493D7EB8"/>
    <w:rsid w:val="49582C60"/>
    <w:rsid w:val="49CD3F23"/>
    <w:rsid w:val="4A2362AE"/>
    <w:rsid w:val="4AB30D1E"/>
    <w:rsid w:val="4AFC4A60"/>
    <w:rsid w:val="4CC21E26"/>
    <w:rsid w:val="4DE343D9"/>
    <w:rsid w:val="4E395D14"/>
    <w:rsid w:val="4EFD134C"/>
    <w:rsid w:val="4FCC3EF9"/>
    <w:rsid w:val="500A64E6"/>
    <w:rsid w:val="50A22C57"/>
    <w:rsid w:val="51100F69"/>
    <w:rsid w:val="51455CE4"/>
    <w:rsid w:val="51463765"/>
    <w:rsid w:val="52371B6D"/>
    <w:rsid w:val="52FE2AB7"/>
    <w:rsid w:val="53CE6FAC"/>
    <w:rsid w:val="54653303"/>
    <w:rsid w:val="553810DC"/>
    <w:rsid w:val="553A45E0"/>
    <w:rsid w:val="55CF5109"/>
    <w:rsid w:val="565C6C8A"/>
    <w:rsid w:val="57117CB6"/>
    <w:rsid w:val="573107A3"/>
    <w:rsid w:val="57420238"/>
    <w:rsid w:val="574260FE"/>
    <w:rsid w:val="58265D9B"/>
    <w:rsid w:val="5886440F"/>
    <w:rsid w:val="589F26F3"/>
    <w:rsid w:val="59797E57"/>
    <w:rsid w:val="599B1691"/>
    <w:rsid w:val="5AA575C5"/>
    <w:rsid w:val="5AEA704B"/>
    <w:rsid w:val="5CB31D19"/>
    <w:rsid w:val="5D66061F"/>
    <w:rsid w:val="5D6F7A58"/>
    <w:rsid w:val="5E8720EC"/>
    <w:rsid w:val="5EC94811"/>
    <w:rsid w:val="5EE9209B"/>
    <w:rsid w:val="5F0E3C81"/>
    <w:rsid w:val="60C93F57"/>
    <w:rsid w:val="61DE2784"/>
    <w:rsid w:val="6251635C"/>
    <w:rsid w:val="625719EA"/>
    <w:rsid w:val="62DD78C6"/>
    <w:rsid w:val="632223E3"/>
    <w:rsid w:val="639E5FFE"/>
    <w:rsid w:val="63DF4A20"/>
    <w:rsid w:val="65EF204B"/>
    <w:rsid w:val="667F61A5"/>
    <w:rsid w:val="66C37AA5"/>
    <w:rsid w:val="6739689A"/>
    <w:rsid w:val="674873A3"/>
    <w:rsid w:val="67D312ED"/>
    <w:rsid w:val="680C0D40"/>
    <w:rsid w:val="684F045C"/>
    <w:rsid w:val="699E1F48"/>
    <w:rsid w:val="6AFC1413"/>
    <w:rsid w:val="6C3138A4"/>
    <w:rsid w:val="6D827EB8"/>
    <w:rsid w:val="6E3767B2"/>
    <w:rsid w:val="6F871F82"/>
    <w:rsid w:val="6FC06751"/>
    <w:rsid w:val="6FD131C7"/>
    <w:rsid w:val="70157E72"/>
    <w:rsid w:val="71A626D8"/>
    <w:rsid w:val="71F44E84"/>
    <w:rsid w:val="73793F12"/>
    <w:rsid w:val="73827B0E"/>
    <w:rsid w:val="74100EF4"/>
    <w:rsid w:val="74943026"/>
    <w:rsid w:val="75132823"/>
    <w:rsid w:val="769D2894"/>
    <w:rsid w:val="79302AEB"/>
    <w:rsid w:val="794117F3"/>
    <w:rsid w:val="79F223A1"/>
    <w:rsid w:val="7A8A161B"/>
    <w:rsid w:val="7AF52EC8"/>
    <w:rsid w:val="7B3B2338"/>
    <w:rsid w:val="7BE505D2"/>
    <w:rsid w:val="7C2C43E3"/>
    <w:rsid w:val="7C846E57"/>
    <w:rsid w:val="7D785165"/>
    <w:rsid w:val="7D79646A"/>
    <w:rsid w:val="7ECF7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numPr>
        <w:ilvl w:val="0"/>
        <w:numId w:val="1"/>
      </w:numPr>
      <w:spacing w:before="120" w:after="80"/>
      <w:ind w:firstLineChars="0"/>
      <w:outlineLvl w:val="0"/>
    </w:pPr>
    <w:rPr>
      <w:rFonts w:cs="Times NR MT Pro Medium" w:asciiTheme="majorHAnsi" w:hAnsiTheme="majorHAnsi"/>
      <w:b/>
      <w:bCs/>
      <w:sz w:val="28"/>
      <w:szCs w:val="48"/>
    </w:rPr>
  </w:style>
  <w:style w:type="paragraph" w:styleId="3">
    <w:name w:val="heading 2"/>
    <w:basedOn w:val="1"/>
    <w:next w:val="1"/>
    <w:unhideWhenUsed/>
    <w:qFormat/>
    <w:uiPriority w:val="9"/>
    <w:pPr>
      <w:numPr>
        <w:ilvl w:val="1"/>
        <w:numId w:val="2"/>
      </w:numPr>
      <w:spacing w:before="80" w:after="80"/>
      <w:ind w:firstLineChars="0"/>
      <w:outlineLvl w:val="1"/>
    </w:pPr>
    <w:rPr>
      <w:rFonts w:cs="Times NR MT Pro Medium" w:asciiTheme="majorHAnsi" w:hAnsiTheme="majorHAnsi"/>
      <w:b/>
      <w:bCs/>
      <w:color w:val="000000" w:themeColor="text1"/>
      <w:sz w:val="24"/>
      <w:szCs w:val="40"/>
      <w14:textFill>
        <w14:solidFill>
          <w14:schemeClr w14:val="tx1"/>
        </w14:solidFill>
      </w14:textFill>
    </w:rPr>
  </w:style>
  <w:style w:type="paragraph" w:styleId="4">
    <w:name w:val="heading 3"/>
    <w:basedOn w:val="1"/>
    <w:next w:val="1"/>
    <w:unhideWhenUsed/>
    <w:qFormat/>
    <w:uiPriority w:val="9"/>
    <w:pPr>
      <w:spacing w:before="160" w:after="80"/>
      <w:ind w:left="737" w:firstLine="0" w:firstLineChars="0"/>
      <w:outlineLvl w:val="2"/>
    </w:pPr>
    <w:rPr>
      <w:rFonts w:cs="Times NR MT Pro Medium" w:asciiTheme="majorHAnsi" w:hAnsiTheme="majorHAnsi"/>
      <w:sz w:val="24"/>
      <w:szCs w:val="32"/>
    </w:rPr>
  </w:style>
  <w:style w:type="character" w:default="1" w:styleId="16">
    <w:name w:val="Default Paragraph Font"/>
    <w:semiHidden/>
    <w:qFormat/>
    <w:uiPriority w:val="0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0"/>
    <w:pPr>
      <w:spacing w:after="120"/>
    </w:pPr>
  </w:style>
  <w:style w:type="paragraph" w:styleId="6">
    <w:name w:val="Body Text Indent"/>
    <w:basedOn w:val="1"/>
    <w:qFormat/>
    <w:uiPriority w:val="0"/>
    <w:pPr>
      <w:ind w:left="420" w:leftChars="200"/>
    </w:pPr>
  </w:style>
  <w:style w:type="paragraph" w:styleId="7">
    <w:name w:val="Plain Text"/>
    <w:basedOn w:val="1"/>
    <w:qFormat/>
    <w:uiPriority w:val="0"/>
    <w:rPr>
      <w:rFonts w:ascii="宋体" w:hAnsi="Courier New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toc 1"/>
    <w:basedOn w:val="1"/>
    <w:next w:val="1"/>
    <w:unhideWhenUsed/>
    <w:qFormat/>
    <w:uiPriority w:val="39"/>
    <w:rPr>
      <w:rFonts w:ascii="Calibri" w:hAnsi="Calibri" w:eastAsia="宋体" w:cs="Times New Roman"/>
    </w:rPr>
  </w:style>
  <w:style w:type="paragraph" w:styleId="11">
    <w:name w:val="Body Text Indent 3"/>
    <w:basedOn w:val="1"/>
    <w:qFormat/>
    <w:uiPriority w:val="0"/>
    <w:pPr>
      <w:ind w:firstLine="600" w:firstLineChars="200"/>
    </w:pPr>
    <w:rPr>
      <w:color w:val="FF0000"/>
      <w:sz w:val="30"/>
      <w:szCs w:val="20"/>
    </w:rPr>
  </w:style>
  <w:style w:type="paragraph" w:styleId="1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3">
    <w:name w:val="Body Text First Indent"/>
    <w:basedOn w:val="5"/>
    <w:qFormat/>
    <w:uiPriority w:val="0"/>
    <w:pPr>
      <w:widowControl/>
      <w:spacing w:after="120"/>
      <w:ind w:firstLine="420" w:firstLineChars="100"/>
      <w:jc w:val="left"/>
    </w:pPr>
    <w:rPr>
      <w:rFonts w:ascii="Times New Roman"/>
    </w:rPr>
  </w:style>
  <w:style w:type="table" w:styleId="15">
    <w:name w:val="Table Grid"/>
    <w:basedOn w:val="1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basedOn w:val="16"/>
    <w:qFormat/>
    <w:uiPriority w:val="22"/>
    <w:rPr>
      <w:b/>
      <w:bCs/>
    </w:rPr>
  </w:style>
  <w:style w:type="character" w:styleId="18">
    <w:name w:val="Hyperlink"/>
    <w:basedOn w:val="16"/>
    <w:unhideWhenUsed/>
    <w:qFormat/>
    <w:uiPriority w:val="99"/>
    <w:rPr>
      <w:color w:val="0000FF"/>
      <w:u w:val="single"/>
    </w:rPr>
  </w:style>
  <w:style w:type="paragraph" w:customStyle="1" w:styleId="19">
    <w:name w:val="列表段落1"/>
    <w:basedOn w:val="1"/>
    <w:qFormat/>
    <w:uiPriority w:val="0"/>
    <w:pPr>
      <w:ind w:firstLine="420" w:firstLineChars="200"/>
    </w:pPr>
  </w:style>
  <w:style w:type="paragraph" w:customStyle="1" w:styleId="20">
    <w:name w:val="Default"/>
    <w:qFormat/>
    <w:uiPriority w:val="0"/>
    <w:pPr>
      <w:widowControl w:val="0"/>
      <w:autoSpaceDE w:val="0"/>
      <w:autoSpaceDN w:val="0"/>
      <w:adjustRightInd w:val="0"/>
    </w:pPr>
    <w:rPr>
      <w:rFonts w:ascii="楷体" w:hAnsi="Times New Roman" w:eastAsia="楷体" w:cs="楷体"/>
      <w:color w:val="000000"/>
      <w:sz w:val="24"/>
      <w:szCs w:val="24"/>
      <w:lang w:val="en-US" w:eastAsia="zh-CN" w:bidi="ar-SA"/>
    </w:rPr>
  </w:style>
  <w:style w:type="character" w:customStyle="1" w:styleId="21">
    <w:name w:val="15"/>
    <w:basedOn w:val="16"/>
    <w:qFormat/>
    <w:uiPriority w:val="0"/>
    <w:rPr>
      <w:rFonts w:hint="default" w:ascii="Calibri" w:hAnsi="Calibri" w:cs="Calibri"/>
      <w:b/>
      <w:bCs/>
    </w:rPr>
  </w:style>
  <w:style w:type="paragraph" w:styleId="22">
    <w:name w:val="List Paragraph"/>
    <w:basedOn w:val="1"/>
    <w:qFormat/>
    <w:uiPriority w:val="34"/>
    <w:pPr>
      <w:ind w:left="720"/>
      <w:contextualSpacing/>
    </w:pPr>
  </w:style>
  <w:style w:type="character" w:customStyle="1" w:styleId="23">
    <w:name w:val="楷体 (中文) 楷体"/>
    <w:qFormat/>
    <w:uiPriority w:val="0"/>
    <w:rPr>
      <w:rFonts w:ascii="楷体" w:hAnsi="楷体" w:eastAsia="楷体"/>
      <w:kern w:val="1"/>
      <w:sz w:val="28"/>
    </w:rPr>
  </w:style>
  <w:style w:type="paragraph" w:customStyle="1" w:styleId="24">
    <w:name w:val="正文11"/>
    <w:basedOn w:val="1"/>
    <w:qFormat/>
    <w:uiPriority w:val="0"/>
    <w:pPr>
      <w:ind w:firstLine="560" w:firstLineChars="200"/>
    </w:pPr>
    <w:rPr>
      <w:rFonts w:ascii="宋体" w:hAnsi="宋体" w:eastAsia="宋体" w:cs="Times New Roman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26c99ce1-e3fa-4769-b1ee-45c7b86abcf5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22E8766</paraID>
      <start>0</start>
      <end>2</end>
      <status>unmodified</status>
      <modifiedWord/>
      <trackRevisions>false</trackRevisions>
    </reviewItem>
    <reviewItem>
      <errorID>aac0f4ce-e5fd-453d-ac12-4431e4408e68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6441606B</paraID>
      <start>0</start>
      <end>2</end>
      <status>unmodified</status>
      <modifiedWord/>
      <trackRevisions>false</trackRevisions>
    </reviewItem>
    <reviewItem>
      <errorID>6c5c49d2-7af3-49fa-bf8d-c029cedb752f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3A3BF07A</paraID>
      <start>0</start>
      <end>2</end>
      <status>unmodified</status>
      <modifiedWord/>
      <trackRevisions>false</trackRevisions>
    </reviewItem>
    <reviewItem>
      <errorID>96cae7b8-1416-4ef5-b135-50942e372b63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117C4525</paraID>
      <start>0</start>
      <end>2</end>
      <status>unmodified</status>
      <modifiedWord/>
      <trackRevisions>false</trackRevisions>
    </reviewItem>
    <reviewItem>
      <errorID>0b8dd73a-2fd4-41bd-bb27-b6644ee17989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123C9161</paraID>
      <start>0</start>
      <end>2</end>
      <status>unmodified</status>
      <modifiedWord/>
      <trackRevisions>false</trackRevisions>
    </reviewItem>
    <reviewItem>
      <errorID>f9eda757-9617-45bd-b0d8-09be77341073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6163A2E2</paraID>
      <start>0</start>
      <end>2</end>
      <status>unmodified</status>
      <modifiedWord/>
      <trackRevisions>false</trackRevisions>
    </reviewItem>
    <reviewItem>
      <errorID>795d7943-dad4-465e-8893-a3bb7876b95f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75BA9CDB</paraID>
      <start>0</start>
      <end>2</end>
      <status>unmodified</status>
      <modifiedWord/>
      <trackRevisions>false</trackRevisions>
    </reviewItem>
    <reviewItem>
      <errorID>a8161f90-05ad-4555-bb4d-d3af86f4a338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1BB2A8EF</paraID>
      <start>0</start>
      <end>2</end>
      <status>unmodified</status>
      <modifiedWord/>
      <trackRevisions>false</trackRevisions>
    </reviewItem>
    <reviewItem>
      <errorID>f9bdb693-9485-4f38-a050-ed4e09cd2153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32423874</paraID>
      <start>0</start>
      <end>2</end>
      <status>unmodified</status>
      <modifiedWord/>
      <trackRevisions>false</trackRevisions>
    </reviewItem>
    <reviewItem>
      <errorID>cf1e014d-a417-474a-8514-7ef22c469a06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47143B82</paraID>
      <start>0</start>
      <end>2</end>
      <status>unmodified</status>
      <modifiedWord/>
      <trackRevisions>false</trackRevisions>
    </reviewItem>
    <reviewItem>
      <errorID>1fa04439-cbc5-4a21-b581-12c94e67351c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3644FF0B</paraID>
      <start>0</start>
      <end>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86f5a2d-d50e-434b-89dd-9f9b1893f88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984</Words>
  <Characters>1098</Characters>
  <Lines>0</Lines>
  <Paragraphs>0</Paragraphs>
  <TotalTime>31</TotalTime>
  <ScaleCrop>false</ScaleCrop>
  <LinksUpToDate>false</LinksUpToDate>
  <CharactersWithSpaces>1100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2025-04-03T05:09:00Z</dcterms:created>
  <dc:creator>HP</dc:creator>
  <cp:lastModifiedBy>仲杰</cp:lastModifiedBy>
  <dcterms:modified xsi:type="dcterms:W3CDTF">2026-10-29T00:40:30Z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eyJoZGlkIjoiMjQzMjJjYTEzYzEzMjVjOGIxYWQwMTc0ZTUwZGE2YjIiLCJ1c2VySWQiOiIyOTgyOTgyOTEifQ==</vt:lpwstr>
  </property>
  <property fmtid="{D5CDD505-2E9C-101B-9397-08002B2CF9AE}" pid="4" name="ICV">
    <vt:lpwstr>2BFD31D5F3FB4B709DBC969892577809_12</vt:lpwstr>
  </property>
</Properties>
</file>