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567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传感系统-振动传感模块-技术要求</w:t>
      </w:r>
    </w:p>
    <w:p>
      <w:pPr>
        <w:pStyle w:val="8"/>
        <w:ind w:left="567"/>
        <w:jc w:val="center"/>
        <w:rPr>
          <w:rFonts w:ascii="仿宋" w:hAnsi="仿宋" w:eastAsia="仿宋" w:cs="Tahoma"/>
        </w:rPr>
      </w:pPr>
    </w:p>
    <w:p>
      <w:pPr>
        <w:pStyle w:val="8"/>
        <w:widowControl w:val="0"/>
        <w:numPr>
          <w:ilvl w:val="0"/>
          <w:numId w:val="1"/>
        </w:numPr>
        <w:spacing w:after="160" w:line="360" w:lineRule="auto"/>
        <w:contextualSpacing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项目概述</w:t>
      </w:r>
    </w:p>
    <w:p>
      <w:pPr>
        <w:tabs>
          <w:tab w:val="left" w:pos="810"/>
        </w:tabs>
        <w:snapToGrid w:val="0"/>
        <w:spacing w:line="440" w:lineRule="exact"/>
        <w:ind w:firstLine="480" w:firstLineChars="200"/>
        <w:textAlignment w:val="baseline"/>
        <w:rPr>
          <w:rFonts w:ascii="仿宋" w:hAnsi="仿宋" w:eastAsia="仿宋"/>
          <w:szCs w:val="22"/>
        </w:rPr>
      </w:pPr>
      <w:r>
        <w:rPr>
          <w:rFonts w:hint="eastAsia" w:ascii="仿宋" w:hAnsi="仿宋" w:eastAsia="仿宋"/>
          <w:szCs w:val="22"/>
        </w:rPr>
        <w:t>采购传感系统-振动传感模块1套。该传感模块包含ICP型加速度传感器系统和配套信号线，用于振动信号的传感采集。</w:t>
      </w:r>
    </w:p>
    <w:p>
      <w:pPr>
        <w:tabs>
          <w:tab w:val="left" w:pos="810"/>
        </w:tabs>
        <w:snapToGrid w:val="0"/>
        <w:spacing w:line="440" w:lineRule="exact"/>
        <w:ind w:firstLine="480" w:firstLineChars="200"/>
        <w:textAlignment w:val="baseline"/>
        <w:rPr>
          <w:rFonts w:ascii="仿宋" w:hAnsi="仿宋" w:eastAsia="仿宋"/>
          <w:szCs w:val="22"/>
        </w:rPr>
      </w:pPr>
      <w:r>
        <w:rPr>
          <w:rFonts w:hint="eastAsia" w:ascii="仿宋" w:hAnsi="仿宋" w:eastAsia="仿宋"/>
          <w:szCs w:val="22"/>
        </w:rPr>
        <w:t>系统组成如下：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336"/>
        <w:gridCol w:w="3456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2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设备/仪器名称</w:t>
            </w:r>
          </w:p>
        </w:tc>
        <w:tc>
          <w:tcPr>
            <w:tcW w:w="173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配置</w:t>
            </w:r>
          </w:p>
        </w:tc>
        <w:tc>
          <w:tcPr>
            <w:tcW w:w="116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数量（台/套）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6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低频ICP加速度计</w:t>
            </w:r>
          </w:p>
        </w:tc>
        <w:tc>
          <w:tcPr>
            <w:tcW w:w="173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低频ICP加速度计</w:t>
            </w:r>
          </w:p>
        </w:tc>
        <w:tc>
          <w:tcPr>
            <w:tcW w:w="116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674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3米</w:t>
            </w:r>
            <w:r>
              <w:rPr>
                <w:rFonts w:hint="eastAsia" w:ascii="仿宋" w:hAnsi="仿宋" w:eastAsia="仿宋"/>
                <w:szCs w:val="22"/>
              </w:rPr>
              <w:t>信号线</w:t>
            </w:r>
          </w:p>
        </w:tc>
        <w:tc>
          <w:tcPr>
            <w:tcW w:w="1734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配套</w:t>
            </w:r>
            <w:r>
              <w:rPr>
                <w:rFonts w:hint="eastAsia" w:ascii="仿宋" w:hAnsi="仿宋" w:eastAsia="仿宋"/>
                <w:szCs w:val="22"/>
              </w:rPr>
              <w:t>信号线</w:t>
            </w:r>
            <w:r>
              <w:rPr>
                <w:rFonts w:hint="eastAsia" w:ascii="仿宋" w:hAnsi="仿宋" w:eastAsia="仿宋" w:cs="仿宋"/>
              </w:rPr>
              <w:t>，3米长</w:t>
            </w:r>
          </w:p>
        </w:tc>
        <w:tc>
          <w:tcPr>
            <w:tcW w:w="1166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674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6米</w:t>
            </w:r>
            <w:r>
              <w:rPr>
                <w:rFonts w:hint="eastAsia" w:ascii="仿宋" w:hAnsi="仿宋" w:eastAsia="仿宋"/>
                <w:szCs w:val="22"/>
              </w:rPr>
              <w:t>信号线</w:t>
            </w:r>
          </w:p>
        </w:tc>
        <w:tc>
          <w:tcPr>
            <w:tcW w:w="1734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配套</w:t>
            </w:r>
            <w:r>
              <w:rPr>
                <w:rFonts w:hint="eastAsia" w:ascii="仿宋" w:hAnsi="仿宋" w:eastAsia="仿宋"/>
                <w:szCs w:val="22"/>
              </w:rPr>
              <w:t>信号线</w:t>
            </w:r>
            <w:r>
              <w:rPr>
                <w:rFonts w:hint="eastAsia" w:ascii="仿宋" w:hAnsi="仿宋" w:eastAsia="仿宋" w:cs="仿宋"/>
              </w:rPr>
              <w:t>，6米长</w:t>
            </w:r>
          </w:p>
        </w:tc>
        <w:tc>
          <w:tcPr>
            <w:tcW w:w="1166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</w:tr>
    </w:tbl>
    <w:p>
      <w:pPr>
        <w:pStyle w:val="8"/>
        <w:ind w:left="567"/>
        <w:rPr>
          <w:rFonts w:ascii="宋体" w:hAnsi="宋体" w:cs="Tahoma"/>
          <w:sz w:val="20"/>
          <w:szCs w:val="20"/>
        </w:rPr>
      </w:pPr>
    </w:p>
    <w:p>
      <w:pPr>
        <w:ind w:firstLine="240" w:firstLineChars="100"/>
        <w:rPr>
          <w:rFonts w:ascii="仿宋" w:hAnsi="仿宋" w:eastAsia="仿宋"/>
          <w:szCs w:val="22"/>
        </w:rPr>
      </w:pPr>
      <w:r>
        <w:rPr>
          <w:rFonts w:ascii="仿宋" w:hAnsi="仿宋" w:eastAsia="仿宋"/>
          <w:szCs w:val="22"/>
        </w:rPr>
        <w:t>投标方须针对招标技术参数，</w:t>
      </w:r>
      <w:bookmarkStart w:id="0" w:name="_Hlk81922550"/>
      <w:r>
        <w:rPr>
          <w:rFonts w:ascii="仿宋" w:hAnsi="仿宋" w:eastAsia="仿宋"/>
          <w:szCs w:val="22"/>
        </w:rPr>
        <w:t>提供相应</w:t>
      </w:r>
      <w:r>
        <w:rPr>
          <w:rFonts w:hint="eastAsia" w:ascii="仿宋" w:hAnsi="仿宋" w:eastAsia="仿宋"/>
          <w:szCs w:val="22"/>
        </w:rPr>
        <w:t>的说明或材料</w:t>
      </w:r>
      <w:bookmarkEnd w:id="0"/>
      <w:r>
        <w:rPr>
          <w:rFonts w:ascii="仿宋" w:hAnsi="仿宋" w:eastAsia="仿宋"/>
          <w:szCs w:val="22"/>
        </w:rPr>
        <w:t>，否则该参数被视为非实质性响应，扣分处理</w:t>
      </w:r>
      <w:r>
        <w:rPr>
          <w:rFonts w:hint="eastAsia" w:ascii="仿宋" w:hAnsi="仿宋" w:eastAsia="仿宋"/>
          <w:szCs w:val="22"/>
        </w:rPr>
        <w:t>，技术参数中打星号的技术参数必须满足要求。</w:t>
      </w:r>
    </w:p>
    <w:p>
      <w:pPr>
        <w:pStyle w:val="8"/>
        <w:ind w:left="567"/>
        <w:rPr>
          <w:rFonts w:ascii="宋体" w:hAnsi="宋体" w:cs="Tahoma"/>
          <w:sz w:val="20"/>
          <w:szCs w:val="20"/>
        </w:rPr>
      </w:pPr>
    </w:p>
    <w:p>
      <w:pPr>
        <w:pStyle w:val="8"/>
        <w:widowControl w:val="0"/>
        <w:numPr>
          <w:ilvl w:val="0"/>
          <w:numId w:val="1"/>
        </w:numPr>
        <w:spacing w:after="160" w:line="360" w:lineRule="auto"/>
        <w:contextualSpacing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采购设备内容及技术要求</w:t>
      </w:r>
    </w:p>
    <w:p>
      <w:pPr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  <w:b/>
        </w:rPr>
        <w:t xml:space="preserve">     </w:t>
      </w:r>
      <w:r>
        <w:rPr>
          <w:rFonts w:hint="eastAsia" w:ascii="仿宋" w:hAnsi="仿宋" w:eastAsia="仿宋" w:cs="仿宋"/>
          <w:b/>
        </w:rPr>
        <w:t>2.1   低频振动加速度计</w:t>
      </w:r>
    </w:p>
    <w:p>
      <w:p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为ICP型单向加速度传感器，并满足以下技术要求：</w:t>
      </w:r>
    </w:p>
    <w:p>
      <w:pPr>
        <w:spacing w:line="360" w:lineRule="auto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 </w:t>
      </w:r>
      <w:r>
        <w:rPr>
          <w:rFonts w:ascii="仿宋" w:hAnsi="仿宋" w:eastAsia="仿宋" w:cs="仿宋"/>
          <w:bCs/>
        </w:rPr>
        <w:t xml:space="preserve">   </w:t>
      </w:r>
      <w:r>
        <w:rPr>
          <w:rFonts w:hint="eastAsia" w:ascii="仿宋" w:hAnsi="仿宋" w:eastAsia="仿宋" w:cs="仿宋"/>
          <w:bCs/>
        </w:rPr>
        <w:t>※（1）灵敏度(±15%)： 1000mv/g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（2）量程 : 2.5g pk</w:t>
      </w:r>
    </w:p>
    <w:p>
      <w:pPr>
        <w:spacing w:line="360" w:lineRule="auto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 </w:t>
      </w:r>
      <w:r>
        <w:rPr>
          <w:rFonts w:ascii="仿宋" w:hAnsi="仿宋" w:eastAsia="仿宋" w:cs="仿宋"/>
          <w:bCs/>
        </w:rPr>
        <w:t xml:space="preserve">   </w:t>
      </w:r>
      <w:r>
        <w:rPr>
          <w:rFonts w:hint="eastAsia" w:ascii="仿宋" w:hAnsi="仿宋" w:eastAsia="仿宋" w:cs="仿宋"/>
          <w:bCs/>
        </w:rPr>
        <w:t>※（3）频响范围 (±5%)：0.025-800Hz</w:t>
      </w:r>
    </w:p>
    <w:p>
      <w:pPr>
        <w:spacing w:line="360" w:lineRule="auto"/>
        <w:rPr>
          <w:rFonts w:ascii="仿宋" w:hAnsi="仿宋" w:eastAsia="仿宋" w:cs="仿宋"/>
          <w:bCs/>
        </w:rPr>
      </w:pPr>
      <w:r>
        <w:rPr>
          <w:rFonts w:ascii="仿宋" w:hAnsi="仿宋" w:eastAsia="仿宋" w:cs="仿宋"/>
          <w:bCs/>
        </w:rPr>
        <w:t xml:space="preserve">    </w:t>
      </w:r>
      <w:r>
        <w:rPr>
          <w:rFonts w:hint="eastAsia" w:ascii="仿宋" w:hAnsi="仿宋" w:eastAsia="仿宋" w:cs="仿宋"/>
          <w:bCs/>
        </w:rPr>
        <w:t>※（4）频响范围(±10%)：0.01-1200Hz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（5）共振频率: ≥3.5kHz 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※（6）宽带分辨率: 0.0001g rms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（7）非线性度：≤1%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（8）横向灵敏度：≤5%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（9）过载冲击：≥±100g pk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（10）运行温度范围：-54-93℃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（11）激励电压：18-30 VDC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（12）恒流电源：2-20 mA 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（13）输出电阻：&lt;100ohms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（14）敏感材料：石英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（15）外壳材料：不锈钢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（16）尺寸（直径×高）：≤57.2mm×54.9mm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（17）重量：≤885克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（18）电缆：配套低频加速计的3米和6米信号线</w:t>
      </w:r>
    </w:p>
    <w:p>
      <w:pPr>
        <w:spacing w:line="360" w:lineRule="auto"/>
        <w:ind w:left="708" w:leftChars="295"/>
        <w:rPr>
          <w:rFonts w:ascii="仿宋" w:hAnsi="仿宋" w:eastAsia="仿宋" w:cs="仿宋"/>
          <w:bCs/>
        </w:rPr>
      </w:pPr>
    </w:p>
    <w:p>
      <w:pPr>
        <w:pStyle w:val="8"/>
        <w:widowControl w:val="0"/>
        <w:numPr>
          <w:ilvl w:val="0"/>
          <w:numId w:val="1"/>
        </w:numPr>
        <w:spacing w:after="160" w:line="360" w:lineRule="auto"/>
        <w:contextualSpacing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项目实施要求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供货方需在合同签订后30日内完成设备采购、交付工作。</w:t>
      </w:r>
    </w:p>
    <w:p>
      <w:pPr>
        <w:widowControl w:val="0"/>
        <w:spacing w:after="160"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四、售后服务要求</w:t>
      </w:r>
    </w:p>
    <w:p>
      <w:pPr>
        <w:spacing w:line="360" w:lineRule="auto"/>
        <w:ind w:left="57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kern w:val="2"/>
        </w:rPr>
        <w:t>质保期不低于1年，质保期从验收合格之日起计算。在质保期内，如有产品故障问题，供货方需免费提供上门协助服务。质保期满后，供货方必须继续提供7*24应急响应，费用另行协商。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55261"/>
    <w:multiLevelType w:val="multilevel"/>
    <w:tmpl w:val="68055261"/>
    <w:lvl w:ilvl="0" w:tentative="0">
      <w:start w:val="1"/>
      <w:numFmt w:val="japaneseCounting"/>
      <w:lvlText w:val="%1、"/>
      <w:lvlJc w:val="left"/>
      <w:pPr>
        <w:ind w:left="1290" w:hanging="7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A5"/>
    <w:rsid w:val="00031912"/>
    <w:rsid w:val="00097823"/>
    <w:rsid w:val="000D1493"/>
    <w:rsid w:val="00125FA5"/>
    <w:rsid w:val="0017286A"/>
    <w:rsid w:val="0018201D"/>
    <w:rsid w:val="00183A4E"/>
    <w:rsid w:val="00194EB9"/>
    <w:rsid w:val="001D34BA"/>
    <w:rsid w:val="001E4546"/>
    <w:rsid w:val="001F70A2"/>
    <w:rsid w:val="002036A4"/>
    <w:rsid w:val="00265DC2"/>
    <w:rsid w:val="00274DF8"/>
    <w:rsid w:val="002C4D84"/>
    <w:rsid w:val="0031278D"/>
    <w:rsid w:val="003D46BD"/>
    <w:rsid w:val="003E5E82"/>
    <w:rsid w:val="003F0E5B"/>
    <w:rsid w:val="00403FA3"/>
    <w:rsid w:val="004240FB"/>
    <w:rsid w:val="004439BE"/>
    <w:rsid w:val="004B2BE7"/>
    <w:rsid w:val="004B65F1"/>
    <w:rsid w:val="004C1C1B"/>
    <w:rsid w:val="005311AE"/>
    <w:rsid w:val="00532ABF"/>
    <w:rsid w:val="00547506"/>
    <w:rsid w:val="005520C3"/>
    <w:rsid w:val="005E336C"/>
    <w:rsid w:val="00601084"/>
    <w:rsid w:val="00657B7C"/>
    <w:rsid w:val="006C0DF3"/>
    <w:rsid w:val="006C3730"/>
    <w:rsid w:val="006C554A"/>
    <w:rsid w:val="006D0A5E"/>
    <w:rsid w:val="0071595B"/>
    <w:rsid w:val="007631F0"/>
    <w:rsid w:val="007D42BF"/>
    <w:rsid w:val="007E00A1"/>
    <w:rsid w:val="008069AE"/>
    <w:rsid w:val="00873463"/>
    <w:rsid w:val="0087782E"/>
    <w:rsid w:val="008944B2"/>
    <w:rsid w:val="00894705"/>
    <w:rsid w:val="00911153"/>
    <w:rsid w:val="00950356"/>
    <w:rsid w:val="00953668"/>
    <w:rsid w:val="00983A2E"/>
    <w:rsid w:val="00985D49"/>
    <w:rsid w:val="009C2DA3"/>
    <w:rsid w:val="00A060C8"/>
    <w:rsid w:val="00A2675E"/>
    <w:rsid w:val="00A83278"/>
    <w:rsid w:val="00AC02B1"/>
    <w:rsid w:val="00AE6654"/>
    <w:rsid w:val="00B029ED"/>
    <w:rsid w:val="00B0460B"/>
    <w:rsid w:val="00B22E30"/>
    <w:rsid w:val="00B603E1"/>
    <w:rsid w:val="00B959C4"/>
    <w:rsid w:val="00B9613E"/>
    <w:rsid w:val="00BC1F89"/>
    <w:rsid w:val="00BF151A"/>
    <w:rsid w:val="00C2636A"/>
    <w:rsid w:val="00C320D5"/>
    <w:rsid w:val="00C50394"/>
    <w:rsid w:val="00CF317B"/>
    <w:rsid w:val="00CF7E02"/>
    <w:rsid w:val="00D12E66"/>
    <w:rsid w:val="00D30FA3"/>
    <w:rsid w:val="00DA32D7"/>
    <w:rsid w:val="00DB25AB"/>
    <w:rsid w:val="00DB658E"/>
    <w:rsid w:val="00DC1596"/>
    <w:rsid w:val="00E30AB7"/>
    <w:rsid w:val="00E46574"/>
    <w:rsid w:val="00E47445"/>
    <w:rsid w:val="00E8090D"/>
    <w:rsid w:val="00EB0BCB"/>
    <w:rsid w:val="00F37F3C"/>
    <w:rsid w:val="47E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1"/>
    <w:qFormat/>
    <w:uiPriority w:val="0"/>
    <w:pPr>
      <w:widowControl w:val="0"/>
      <w:spacing w:after="160" w:line="259" w:lineRule="auto"/>
      <w:ind w:firstLine="425"/>
      <w:jc w:val="both"/>
    </w:pPr>
    <w:rPr>
      <w:kern w:val="2"/>
      <w:sz w:val="21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正文缩进 字符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PCB Piezotronics</Company>
  <Pages>2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2021-09-07T07:50:00Z</dcterms:created>
  <dc:creator>Rita Xiao</dc:creator>
  <cp:lastModifiedBy>仲杰</cp:lastModifiedBy>
  <dcterms:modified xsi:type="dcterms:W3CDTF">2021-09-09T01:56:38Z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41DA792B039E46418D6BEA7CF0F2D783</vt:lpwstr>
  </property>
</Properties>
</file>