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14" w:rsidRDefault="001B3D3D" w:rsidP="004278B3">
      <w:pPr>
        <w:pStyle w:val="1"/>
      </w:pPr>
      <w:r>
        <w:rPr>
          <w:rFonts w:hint="eastAsia"/>
        </w:rPr>
        <w:t>技术要求</w:t>
      </w:r>
    </w:p>
    <w:tbl>
      <w:tblPr>
        <w:tblW w:w="9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9"/>
        <w:gridCol w:w="1242"/>
        <w:gridCol w:w="969"/>
        <w:gridCol w:w="116"/>
        <w:gridCol w:w="4962"/>
        <w:gridCol w:w="761"/>
        <w:gridCol w:w="13"/>
      </w:tblGrid>
      <w:tr w:rsidR="000C1F14" w:rsidRPr="004278B3">
        <w:trPr>
          <w:gridAfter w:val="1"/>
          <w:wAfter w:w="13" w:type="dxa"/>
          <w:trHeight w:val="553"/>
          <w:jc w:val="center"/>
        </w:trPr>
        <w:tc>
          <w:tcPr>
            <w:tcW w:w="1039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课程名称</w:t>
            </w:r>
          </w:p>
        </w:tc>
        <w:tc>
          <w:tcPr>
            <w:tcW w:w="1242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建设内容</w:t>
            </w:r>
          </w:p>
        </w:tc>
        <w:tc>
          <w:tcPr>
            <w:tcW w:w="1085" w:type="dxa"/>
            <w:gridSpan w:val="2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类型</w:t>
            </w:r>
          </w:p>
        </w:tc>
        <w:tc>
          <w:tcPr>
            <w:tcW w:w="4962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761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数量</w:t>
            </w:r>
          </w:p>
        </w:tc>
      </w:tr>
      <w:tr w:rsidR="000C1F14" w:rsidRPr="004278B3">
        <w:trPr>
          <w:gridAfter w:val="1"/>
          <w:wAfter w:w="13" w:type="dxa"/>
          <w:cantSplit/>
          <w:jc w:val="center"/>
        </w:trPr>
        <w:tc>
          <w:tcPr>
            <w:tcW w:w="1039" w:type="dxa"/>
            <w:vMerge w:val="restart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bookmarkStart w:id="0" w:name="_GoBack"/>
            <w:r w:rsidRPr="004278B3">
              <w:rPr>
                <w:rFonts w:ascii="宋体" w:eastAsia="宋体" w:hAnsi="宋体" w:cs="宋体" w:hint="eastAsia"/>
                <w:b/>
                <w:sz w:val="21"/>
                <w:szCs w:val="21"/>
              </w:rPr>
              <w:t>《海运货代</w:t>
            </w:r>
            <w:r w:rsidR="00514630" w:rsidRPr="004278B3">
              <w:rPr>
                <w:rFonts w:ascii="宋体" w:eastAsia="宋体" w:hAnsi="宋体" w:cs="宋体" w:hint="eastAsia"/>
                <w:b/>
                <w:sz w:val="21"/>
                <w:szCs w:val="21"/>
              </w:rPr>
              <w:t>业务</w:t>
            </w:r>
            <w:r w:rsidRPr="004278B3">
              <w:rPr>
                <w:rFonts w:ascii="宋体" w:eastAsia="宋体" w:hAnsi="宋体" w:cs="宋体" w:hint="eastAsia"/>
                <w:b/>
                <w:sz w:val="21"/>
                <w:szCs w:val="21"/>
              </w:rPr>
              <w:t>操作》课程建设</w:t>
            </w:r>
          </w:p>
        </w:tc>
        <w:tc>
          <w:tcPr>
            <w:tcW w:w="1242" w:type="dxa"/>
            <w:vMerge w:val="restart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拓展资源开发</w:t>
            </w:r>
          </w:p>
        </w:tc>
        <w:tc>
          <w:tcPr>
            <w:tcW w:w="1085" w:type="dxa"/>
            <w:gridSpan w:val="2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视频案例</w:t>
            </w:r>
          </w:p>
        </w:tc>
        <w:tc>
          <w:tcPr>
            <w:tcW w:w="4962" w:type="dxa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1.海运-一般出境货物检验检疫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2.海运-信用证的开立与修改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3.海运-国际贸易发展趋势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4.海运-接单接货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5.海运-无纸化通关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6.海运-物流设备及其操作的简单介绍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7.海运-货代进口作业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8.海运-进出口税则应用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9.海运-集装箱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10.海运-集装箱拼箱货物租船订舱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11.海运-集装箱码头信息管理-调度室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12.海运-集装箱码头堆场-集装箱垛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13.海运-集装箱码头操作管理系统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14.海运-集装箱码头结构介绍-堆场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15.绍兴海关：推出“拼箱”业务助力小微企业出口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技术要求：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1、分辨率不低于640×480；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2、彩色视频素材每帧图像颜色均为真彩色；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3、图像清晰，播放流畅，声音清楚；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、字幕要使用符合国家标准的规范字，不出现繁体字、异体字(国家规定的除外)、错别字；字幕的字体、大小、色彩搭配、摆放位置、停留时间、出入屏方式力求与其他要素（画面、解说词、音乐）配合适当，不能破坏原有画面；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5、音频与视频图像有良好的同步，音频部分应符合音频素材的质量要求；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6、优先选用MP4格式</w:t>
            </w:r>
          </w:p>
        </w:tc>
        <w:tc>
          <w:tcPr>
            <w:tcW w:w="761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不少于15个</w:t>
            </w:r>
          </w:p>
        </w:tc>
      </w:tr>
      <w:bookmarkEnd w:id="0"/>
      <w:tr w:rsidR="000C1F14" w:rsidRPr="004278B3">
        <w:trPr>
          <w:gridAfter w:val="1"/>
          <w:wAfter w:w="13" w:type="dxa"/>
          <w:cantSplit/>
          <w:jc w:val="center"/>
        </w:trPr>
        <w:tc>
          <w:tcPr>
            <w:tcW w:w="1039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42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动画案例</w:t>
            </w:r>
          </w:p>
        </w:tc>
        <w:tc>
          <w:tcPr>
            <w:tcW w:w="4962" w:type="dxa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1.产装-货主提空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2.保险-索赔和理赔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3.单证-入境货物报检单填制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4.单证-提单样本确认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5.单证-提单的缮制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6.单证-海运单和提单的区别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7.单证-进口货物报关单填制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8.报检-产地报检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9.报检-异地报检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10.报检-认识报检方式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11.海运-亏舱费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12.海运-换单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13.海运-签发提单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14.海运出口-FOB下投保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15.港口-走近新时代的港口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技术要求：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1、动画色彩造型和谐，帧和帧之间的关联性强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2、动画演播过程要求流畅，静止画面时间不超过5秒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3、采用GIF、SWF（不低于Flash6.0）或SVG存储格式</w:t>
            </w:r>
          </w:p>
        </w:tc>
        <w:tc>
          <w:tcPr>
            <w:tcW w:w="761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不少于10个</w:t>
            </w:r>
          </w:p>
        </w:tc>
      </w:tr>
      <w:tr w:rsidR="000C1F14" w:rsidRPr="004278B3">
        <w:trPr>
          <w:gridAfter w:val="1"/>
          <w:wAfter w:w="13" w:type="dxa"/>
          <w:cantSplit/>
          <w:jc w:val="center"/>
        </w:trPr>
        <w:tc>
          <w:tcPr>
            <w:tcW w:w="1039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42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图片</w:t>
            </w:r>
          </w:p>
        </w:tc>
        <w:tc>
          <w:tcPr>
            <w:tcW w:w="4962" w:type="dxa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彩色图像颜色数不低于真彩（24位色），灰度图像的灰度级不低于256级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屏幕分辨率不低于1024×768时，扫描图像的扫描分辨率不低于72 dpi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采用常见存储格式，如GIF、PNG、JPG等</w:t>
            </w:r>
          </w:p>
        </w:tc>
        <w:tc>
          <w:tcPr>
            <w:tcW w:w="761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不少于50张</w:t>
            </w:r>
          </w:p>
        </w:tc>
      </w:tr>
      <w:tr w:rsidR="000C1F14" w:rsidRPr="004278B3">
        <w:trPr>
          <w:gridAfter w:val="1"/>
          <w:wAfter w:w="13" w:type="dxa"/>
          <w:cantSplit/>
          <w:trHeight w:val="415"/>
          <w:jc w:val="center"/>
        </w:trPr>
        <w:tc>
          <w:tcPr>
            <w:tcW w:w="1039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42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文档案例</w:t>
            </w:r>
          </w:p>
        </w:tc>
        <w:tc>
          <w:tcPr>
            <w:tcW w:w="4962" w:type="dxa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要求：1、纯文本采用UTF-8编码或GB18030编码；2、采用常见存储格式，如TXT、DOC、DOCX、PDF、RTF、HTM、HTML、XML等</w:t>
            </w:r>
          </w:p>
        </w:tc>
        <w:tc>
          <w:tcPr>
            <w:tcW w:w="761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不少于80个</w:t>
            </w:r>
          </w:p>
        </w:tc>
      </w:tr>
      <w:tr w:rsidR="000C1F14" w:rsidRPr="004278B3">
        <w:trPr>
          <w:gridAfter w:val="1"/>
          <w:wAfter w:w="13" w:type="dxa"/>
          <w:cantSplit/>
          <w:jc w:val="center"/>
        </w:trPr>
        <w:tc>
          <w:tcPr>
            <w:tcW w:w="1039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42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同步测试试题</w:t>
            </w:r>
          </w:p>
        </w:tc>
        <w:tc>
          <w:tcPr>
            <w:tcW w:w="4962" w:type="dxa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将专业课程中的专业内容以同步测试试题的方式练习巩固。题型为单选题、多选题、判断题、简答题</w:t>
            </w:r>
          </w:p>
        </w:tc>
        <w:tc>
          <w:tcPr>
            <w:tcW w:w="761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不少于100道</w:t>
            </w:r>
          </w:p>
        </w:tc>
      </w:tr>
      <w:tr w:rsidR="000C1F14" w:rsidRPr="004278B3">
        <w:trPr>
          <w:gridAfter w:val="1"/>
          <w:wAfter w:w="13" w:type="dxa"/>
          <w:cantSplit/>
          <w:jc w:val="center"/>
        </w:trPr>
        <w:tc>
          <w:tcPr>
            <w:tcW w:w="1039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平面设计</w:t>
            </w:r>
          </w:p>
        </w:tc>
        <w:tc>
          <w:tcPr>
            <w:tcW w:w="6047" w:type="dxa"/>
            <w:gridSpan w:val="3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以教材为主的教学内容在iPad和PC端的页面呈现效果，在录入教学平台之前对文档内容进行平面设计。包括文档中的图片、表格、文字、视频、动画、交互游戏等。教师在使用过程中可以直接调用设计好的互动资源</w:t>
            </w:r>
          </w:p>
        </w:tc>
        <w:tc>
          <w:tcPr>
            <w:tcW w:w="761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不少于80页</w:t>
            </w:r>
          </w:p>
        </w:tc>
      </w:tr>
      <w:tr w:rsidR="000C1F14" w:rsidRPr="004278B3">
        <w:trPr>
          <w:gridAfter w:val="1"/>
          <w:wAfter w:w="13" w:type="dxa"/>
          <w:cantSplit/>
          <w:jc w:val="center"/>
        </w:trPr>
        <w:tc>
          <w:tcPr>
            <w:tcW w:w="1039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数字化资源录入</w:t>
            </w:r>
          </w:p>
        </w:tc>
        <w:tc>
          <w:tcPr>
            <w:tcW w:w="6047" w:type="dxa"/>
            <w:gridSpan w:val="3"/>
            <w:vAlign w:val="center"/>
          </w:tcPr>
          <w:p w:rsidR="000C1F14" w:rsidRPr="004278B3" w:rsidRDefault="001B3D3D" w:rsidP="004278B3">
            <w:pPr>
              <w:pStyle w:val="4"/>
              <w:spacing w:before="0" w:after="0" w:line="240" w:lineRule="auto"/>
              <w:ind w:firstLineChars="0" w:firstLine="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bookmarkStart w:id="1" w:name="_Toc444260810"/>
            <w:r w:rsidRPr="004278B3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1资源录入</w:t>
            </w:r>
            <w:bookmarkEnd w:id="1"/>
            <w:r w:rsidRPr="004278B3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：将设计好的平面内容按照一定的教学组织过程录入到教学平台中，能够完全实现互动式教学。依据《海运货代业务操作》课程标准及教材，设计出课程教学的教学体例，并根据教学体例组织教学资源和教学活动。具体教学体例结构可根据教材的体例结构来制定。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为了丰富教学过程，根据教学规律在课程中添加一些活动，如测验、讨论、调查、讨论等。以任务呈现技能，以知识点呈现理论知识，理实结合，多角度地对知识点进行阐述和分解。全方位地展现各门课程应用实例。方便教师授课，方便学生随时随地进行学习。</w:t>
            </w:r>
          </w:p>
          <w:p w:rsidR="000C1F14" w:rsidRPr="004278B3" w:rsidRDefault="001B3D3D" w:rsidP="004278B3">
            <w:pPr>
              <w:pStyle w:val="4"/>
              <w:spacing w:before="0" w:after="0" w:line="240" w:lineRule="auto"/>
              <w:ind w:firstLineChars="0" w:firstLine="0"/>
              <w:rPr>
                <w:rFonts w:ascii="宋体" w:eastAsia="宋体" w:hAnsi="宋体" w:cs="宋体"/>
                <w:b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2课程测试：为保证良好的互动效果，互动资源录入到教学平台中，逐个对教学内容、试题等互动资源进行测试、调整。</w:t>
            </w:r>
          </w:p>
        </w:tc>
        <w:tc>
          <w:tcPr>
            <w:tcW w:w="761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1套</w:t>
            </w:r>
          </w:p>
        </w:tc>
      </w:tr>
      <w:tr w:rsidR="000C1F14" w:rsidRPr="004278B3">
        <w:trPr>
          <w:cantSplit/>
          <w:jc w:val="center"/>
        </w:trPr>
        <w:tc>
          <w:tcPr>
            <w:tcW w:w="1039" w:type="dxa"/>
            <w:vMerge w:val="restart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b/>
                <w:sz w:val="21"/>
                <w:szCs w:val="21"/>
              </w:rPr>
              <w:t>《通关业务操作》课程建设</w:t>
            </w:r>
          </w:p>
        </w:tc>
        <w:tc>
          <w:tcPr>
            <w:tcW w:w="1242" w:type="dxa"/>
            <w:vMerge w:val="restart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拓展资源开发</w:t>
            </w:r>
          </w:p>
        </w:tc>
        <w:tc>
          <w:tcPr>
            <w:tcW w:w="969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视频案例</w:t>
            </w:r>
          </w:p>
        </w:tc>
        <w:tc>
          <w:tcPr>
            <w:tcW w:w="5078" w:type="dxa"/>
            <w:gridSpan w:val="2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包含以下视频：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1.HS编码查询故事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2.报关-报关风云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3.报检-见习报检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4.欣海报关-预归类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5.报检-入世后中国出口农产品检验单从一张到一摞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6.报检-入境报检报检系统(多个集装箱报检录入)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7.报检-报检系统平台展示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8.报检-醴瓷报检无纸化，十分钟搞定全程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9.进口红酒-关税与报检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10.报关-集港报关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11.报关-一般货物的报关与通关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12.报关-上海海关试点无纸化报关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13.报关-报关员审核报关草单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14.报关-报关申请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15.报关-申请签发证明联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16.报关-达芬奇家具疑提供假报关单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技术要求：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1、分辨率不低于640×480；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2、彩色视频素材每帧图像颜色均为真彩色；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3、图像清晰，播放流畅，声音清楚；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、字幕要使用符合国家标准的规范字，不出现繁体字、异体字(国家规定的除外)、错别字；字幕的字体、大小、色彩搭配、摆放位置、停留时间、出入屏方式力求与其他要素（画面、解说词、音乐）配合适当，不能破坏原有画面；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5、音频与视频图像有良好的同步，音频部分应符合音频素材的质量要求；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6、优先选用MP4格式</w:t>
            </w:r>
          </w:p>
        </w:tc>
        <w:tc>
          <w:tcPr>
            <w:tcW w:w="774" w:type="dxa"/>
            <w:gridSpan w:val="2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不少于15个</w:t>
            </w:r>
          </w:p>
        </w:tc>
      </w:tr>
      <w:tr w:rsidR="000C1F14" w:rsidRPr="004278B3">
        <w:trPr>
          <w:cantSplit/>
          <w:jc w:val="center"/>
        </w:trPr>
        <w:tc>
          <w:tcPr>
            <w:tcW w:w="1039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42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动画案例</w:t>
            </w:r>
          </w:p>
        </w:tc>
        <w:tc>
          <w:tcPr>
            <w:tcW w:w="5078" w:type="dxa"/>
            <w:gridSpan w:val="2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包含以下动画：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1.报检-特种设备报检指引片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2.通关-进出口报关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3.通关-进出口报检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4.一般原产地证书的签证程序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5.单证-入境货物报检单填制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6.单证-出境货物报检单填制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7.单证-订舱委托书填制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8.报检-产地报检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9.报检-办理入境食品报检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10.单证-出口货物报关单填制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11.单证-进口货物报关单填制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12.报关-报关申请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13.报关-海关查验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14.报关-电子申报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15.报关-集港报关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16.流程-申请报关的流程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技术要求：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1、动画色彩造型和谐，帧和帧之间的关联性强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2、动画演播过程要求流畅，静止画面时间不超过5秒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3、采用GIF、SWF（不低于Flash6.0）或SVG存储格式</w:t>
            </w:r>
          </w:p>
        </w:tc>
        <w:tc>
          <w:tcPr>
            <w:tcW w:w="774" w:type="dxa"/>
            <w:gridSpan w:val="2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不少于15个</w:t>
            </w:r>
          </w:p>
        </w:tc>
      </w:tr>
      <w:tr w:rsidR="000C1F14" w:rsidRPr="004278B3">
        <w:trPr>
          <w:cantSplit/>
          <w:jc w:val="center"/>
        </w:trPr>
        <w:tc>
          <w:tcPr>
            <w:tcW w:w="1039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42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图片</w:t>
            </w:r>
          </w:p>
        </w:tc>
        <w:tc>
          <w:tcPr>
            <w:tcW w:w="5078" w:type="dxa"/>
            <w:gridSpan w:val="2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彩色图像颜色数不低于真彩（24位色），灰度图像的灰度级不低于256级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屏幕分辨率不低于1024×768时，扫描图像的扫描分辨率不低于72 dpi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采用常见存储格式，如GIF、PNG、JPG等</w:t>
            </w:r>
          </w:p>
        </w:tc>
        <w:tc>
          <w:tcPr>
            <w:tcW w:w="774" w:type="dxa"/>
            <w:gridSpan w:val="2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不少于50张</w:t>
            </w:r>
          </w:p>
        </w:tc>
      </w:tr>
      <w:tr w:rsidR="000C1F14" w:rsidRPr="004278B3">
        <w:trPr>
          <w:cantSplit/>
          <w:trHeight w:val="415"/>
          <w:jc w:val="center"/>
        </w:trPr>
        <w:tc>
          <w:tcPr>
            <w:tcW w:w="1039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42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文档案例</w:t>
            </w:r>
          </w:p>
        </w:tc>
        <w:tc>
          <w:tcPr>
            <w:tcW w:w="5078" w:type="dxa"/>
            <w:gridSpan w:val="2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要求：1、纯文本采用UTF-8编码或GB18030编码；2、采用常见存储格式，如TXT、DOC、DOCX、PDF、RTF、HTM、HTML、XML等</w:t>
            </w:r>
          </w:p>
        </w:tc>
        <w:tc>
          <w:tcPr>
            <w:tcW w:w="774" w:type="dxa"/>
            <w:gridSpan w:val="2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不少于80个</w:t>
            </w:r>
          </w:p>
        </w:tc>
      </w:tr>
      <w:tr w:rsidR="000C1F14" w:rsidRPr="004278B3">
        <w:trPr>
          <w:cantSplit/>
          <w:jc w:val="center"/>
        </w:trPr>
        <w:tc>
          <w:tcPr>
            <w:tcW w:w="1039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42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969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同步测试试题</w:t>
            </w:r>
          </w:p>
        </w:tc>
        <w:tc>
          <w:tcPr>
            <w:tcW w:w="5078" w:type="dxa"/>
            <w:gridSpan w:val="2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将专业课程中的专业内容以同步测试试题的方式练习巩固。题型为单选题、多选题、判断题、简答题</w:t>
            </w:r>
          </w:p>
        </w:tc>
        <w:tc>
          <w:tcPr>
            <w:tcW w:w="774" w:type="dxa"/>
            <w:gridSpan w:val="2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不少于100道</w:t>
            </w:r>
          </w:p>
        </w:tc>
      </w:tr>
      <w:tr w:rsidR="000C1F14" w:rsidRPr="004278B3">
        <w:trPr>
          <w:cantSplit/>
          <w:jc w:val="center"/>
        </w:trPr>
        <w:tc>
          <w:tcPr>
            <w:tcW w:w="1039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平面设计</w:t>
            </w:r>
          </w:p>
        </w:tc>
        <w:tc>
          <w:tcPr>
            <w:tcW w:w="6047" w:type="dxa"/>
            <w:gridSpan w:val="3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以教材为主的教学内容在iPad和PC端的页面呈现效果，在录入教学平台之前对文档内容进行平面设计。包括文档中的图片、表格、文字、视频、动画、交互游戏等。教师在使用过程中可以直接调用设计好的互动资源</w:t>
            </w:r>
          </w:p>
        </w:tc>
        <w:tc>
          <w:tcPr>
            <w:tcW w:w="774" w:type="dxa"/>
            <w:gridSpan w:val="2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不少于80页</w:t>
            </w:r>
          </w:p>
        </w:tc>
      </w:tr>
      <w:tr w:rsidR="000C1F14" w:rsidRPr="004278B3">
        <w:trPr>
          <w:cantSplit/>
          <w:jc w:val="center"/>
        </w:trPr>
        <w:tc>
          <w:tcPr>
            <w:tcW w:w="1039" w:type="dxa"/>
            <w:vMerge/>
          </w:tcPr>
          <w:p w:rsidR="000C1F14" w:rsidRPr="004278B3" w:rsidRDefault="000C1F14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b/>
                <w:sz w:val="21"/>
                <w:szCs w:val="21"/>
              </w:rPr>
            </w:pPr>
          </w:p>
        </w:tc>
        <w:tc>
          <w:tcPr>
            <w:tcW w:w="1242" w:type="dxa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教学资源组织</w:t>
            </w:r>
          </w:p>
        </w:tc>
        <w:tc>
          <w:tcPr>
            <w:tcW w:w="6047" w:type="dxa"/>
            <w:gridSpan w:val="3"/>
            <w:vAlign w:val="center"/>
          </w:tcPr>
          <w:p w:rsidR="000C1F14" w:rsidRPr="004278B3" w:rsidRDefault="001B3D3D" w:rsidP="004278B3">
            <w:pPr>
              <w:pStyle w:val="4"/>
              <w:spacing w:before="0" w:after="0" w:line="240" w:lineRule="auto"/>
              <w:ind w:firstLineChars="0" w:firstLine="0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1资源录入：将设计好的平面内容按照一定的教学组织过程录入到教学平台中，能够完全实现互动式教学。依据《通关业务操作》课程标准及教材，设计出课程教学的教学体例，并根据教学体例组织教学资源和教学活动。具体教学体例结构可根据教材的体例结构来制定。</w:t>
            </w:r>
          </w:p>
          <w:p w:rsidR="000C1F14" w:rsidRPr="004278B3" w:rsidRDefault="001B3D3D" w:rsidP="004278B3">
            <w:pPr>
              <w:spacing w:line="240" w:lineRule="auto"/>
              <w:ind w:firstLineChars="0" w:firstLine="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为了丰富教学过程，根据教学规律在课程中添加一些活动，如测验、讨论、调查、讨论等。以任务呈现技能，以知识点呈现理论知识，理实结合，多角度地对知识点进行阐述和分解。全方位地展现各门课程应用实例。方便教师授课，方便学生随时随地进行学习。</w:t>
            </w:r>
          </w:p>
          <w:p w:rsidR="000C1F14" w:rsidRPr="004278B3" w:rsidRDefault="001B3D3D" w:rsidP="004278B3">
            <w:pPr>
              <w:pStyle w:val="4"/>
              <w:spacing w:before="0" w:after="0" w:line="240" w:lineRule="auto"/>
              <w:ind w:firstLineChars="0" w:firstLine="0"/>
              <w:rPr>
                <w:rFonts w:ascii="宋体" w:eastAsia="宋体" w:hAnsi="宋体" w:cs="宋体"/>
                <w:b w:val="0"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2课程测试：为保证良好的互动效果，互动资源录入到教学平台中，逐个对教学内容、试题等互动资源进行测试、调整。</w:t>
            </w:r>
          </w:p>
        </w:tc>
        <w:tc>
          <w:tcPr>
            <w:tcW w:w="774" w:type="dxa"/>
            <w:gridSpan w:val="2"/>
            <w:vAlign w:val="center"/>
          </w:tcPr>
          <w:p w:rsidR="000C1F14" w:rsidRPr="004278B3" w:rsidRDefault="001B3D3D" w:rsidP="004278B3">
            <w:pPr>
              <w:spacing w:line="240" w:lineRule="auto"/>
              <w:ind w:firstLineChars="0" w:firstLine="0"/>
              <w:jc w:val="center"/>
              <w:rPr>
                <w:rFonts w:ascii="宋体" w:eastAsia="宋体" w:hAnsi="宋体" w:cs="宋体"/>
                <w:b/>
                <w:sz w:val="21"/>
                <w:szCs w:val="21"/>
              </w:rPr>
            </w:pPr>
            <w:r w:rsidRPr="004278B3">
              <w:rPr>
                <w:rFonts w:ascii="宋体" w:eastAsia="宋体" w:hAnsi="宋体" w:cs="宋体" w:hint="eastAsia"/>
                <w:sz w:val="21"/>
                <w:szCs w:val="21"/>
              </w:rPr>
              <w:t>1套</w:t>
            </w:r>
          </w:p>
        </w:tc>
      </w:tr>
    </w:tbl>
    <w:p w:rsidR="000C1F14" w:rsidRDefault="000C1F14" w:rsidP="004278B3">
      <w:pPr>
        <w:ind w:firstLineChars="0" w:firstLine="0"/>
      </w:pPr>
    </w:p>
    <w:sectPr w:rsidR="000C1F14" w:rsidSect="00427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D3F" w:rsidRDefault="00EB4D3F" w:rsidP="00514630">
      <w:pPr>
        <w:spacing w:line="240" w:lineRule="auto"/>
        <w:ind w:firstLine="480"/>
      </w:pPr>
      <w:r>
        <w:separator/>
      </w:r>
    </w:p>
  </w:endnote>
  <w:endnote w:type="continuationSeparator" w:id="1">
    <w:p w:rsidR="00EB4D3F" w:rsidRDefault="00EB4D3F" w:rsidP="0051463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14" w:rsidRDefault="000C1F14">
    <w:pPr>
      <w:pStyle w:val="a3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14" w:rsidRDefault="000C1F14">
    <w:pPr>
      <w:pStyle w:val="a3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14" w:rsidRDefault="000C1F14">
    <w:pPr>
      <w:pStyle w:val="a3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D3F" w:rsidRDefault="00EB4D3F" w:rsidP="00514630">
      <w:pPr>
        <w:spacing w:line="240" w:lineRule="auto"/>
        <w:ind w:firstLine="480"/>
      </w:pPr>
      <w:r>
        <w:separator/>
      </w:r>
    </w:p>
  </w:footnote>
  <w:footnote w:type="continuationSeparator" w:id="1">
    <w:p w:rsidR="00EB4D3F" w:rsidRDefault="00EB4D3F" w:rsidP="0051463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14" w:rsidRDefault="000C1F14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14" w:rsidRDefault="000C1F14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F14" w:rsidRDefault="000C1F14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25231"/>
    <w:multiLevelType w:val="multilevel"/>
    <w:tmpl w:val="44925231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613E553C"/>
    <w:multiLevelType w:val="multilevel"/>
    <w:tmpl w:val="613E553C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494C"/>
    <w:rsid w:val="00031C8B"/>
    <w:rsid w:val="00063509"/>
    <w:rsid w:val="000C1F14"/>
    <w:rsid w:val="001478F6"/>
    <w:rsid w:val="001729EA"/>
    <w:rsid w:val="001A061D"/>
    <w:rsid w:val="001B3D3D"/>
    <w:rsid w:val="001E6754"/>
    <w:rsid w:val="00206566"/>
    <w:rsid w:val="002328A5"/>
    <w:rsid w:val="002A192C"/>
    <w:rsid w:val="002D0B08"/>
    <w:rsid w:val="002F6FD4"/>
    <w:rsid w:val="002F7B3B"/>
    <w:rsid w:val="00345E55"/>
    <w:rsid w:val="00360239"/>
    <w:rsid w:val="003C016A"/>
    <w:rsid w:val="004278B3"/>
    <w:rsid w:val="004355E9"/>
    <w:rsid w:val="004644EB"/>
    <w:rsid w:val="004A6B21"/>
    <w:rsid w:val="004B50E6"/>
    <w:rsid w:val="004E642F"/>
    <w:rsid w:val="004F3B99"/>
    <w:rsid w:val="0050431C"/>
    <w:rsid w:val="00514630"/>
    <w:rsid w:val="00524ACA"/>
    <w:rsid w:val="00540D26"/>
    <w:rsid w:val="005E6619"/>
    <w:rsid w:val="005F4E2A"/>
    <w:rsid w:val="00612165"/>
    <w:rsid w:val="006279E6"/>
    <w:rsid w:val="00651B24"/>
    <w:rsid w:val="006C4DAD"/>
    <w:rsid w:val="00702A4F"/>
    <w:rsid w:val="00766272"/>
    <w:rsid w:val="00775570"/>
    <w:rsid w:val="00777977"/>
    <w:rsid w:val="007A4354"/>
    <w:rsid w:val="007D60B8"/>
    <w:rsid w:val="0084155A"/>
    <w:rsid w:val="008E4CDA"/>
    <w:rsid w:val="008F4D51"/>
    <w:rsid w:val="0093125C"/>
    <w:rsid w:val="009C4036"/>
    <w:rsid w:val="009E4F9F"/>
    <w:rsid w:val="00A64F25"/>
    <w:rsid w:val="00A80C34"/>
    <w:rsid w:val="00A83A0D"/>
    <w:rsid w:val="00B359B6"/>
    <w:rsid w:val="00BA494C"/>
    <w:rsid w:val="00BA5E3D"/>
    <w:rsid w:val="00C27C4C"/>
    <w:rsid w:val="00C528FF"/>
    <w:rsid w:val="00C71C89"/>
    <w:rsid w:val="00CA4335"/>
    <w:rsid w:val="00CF1113"/>
    <w:rsid w:val="00D200EF"/>
    <w:rsid w:val="00D20D84"/>
    <w:rsid w:val="00D66430"/>
    <w:rsid w:val="00D77E9A"/>
    <w:rsid w:val="00E03A36"/>
    <w:rsid w:val="00E4062A"/>
    <w:rsid w:val="00EB4D3F"/>
    <w:rsid w:val="00ED27D4"/>
    <w:rsid w:val="00EE29A2"/>
    <w:rsid w:val="00EF6B54"/>
    <w:rsid w:val="00F75D55"/>
    <w:rsid w:val="00F76452"/>
    <w:rsid w:val="00F90857"/>
    <w:rsid w:val="00FA188D"/>
    <w:rsid w:val="00FA725C"/>
    <w:rsid w:val="00FB1EDB"/>
    <w:rsid w:val="63111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 w:qFormat="1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14"/>
    <w:pPr>
      <w:widowControl w:val="0"/>
      <w:spacing w:line="360" w:lineRule="auto"/>
      <w:ind w:firstLineChars="200" w:firstLine="200"/>
    </w:pPr>
    <w:rPr>
      <w:rFonts w:eastAsia="仿宋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0C1F14"/>
    <w:pPr>
      <w:keepNext/>
      <w:keepLines/>
      <w:spacing w:before="240" w:after="240"/>
      <w:ind w:firstLineChars="0" w:firstLine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C1F14"/>
    <w:pPr>
      <w:keepNext/>
      <w:keepLines/>
      <w:spacing w:before="240" w:after="240"/>
      <w:ind w:firstLineChars="0" w:firstLine="0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0C1F14"/>
    <w:pPr>
      <w:keepNext/>
      <w:keepLines/>
      <w:spacing w:before="120" w:after="12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1F1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C1F1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C1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0C1F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List Accent 6"/>
    <w:basedOn w:val="a1"/>
    <w:uiPriority w:val="61"/>
    <w:qFormat/>
    <w:rsid w:val="000C1F14"/>
    <w:tblPr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character" w:customStyle="1" w:styleId="1Char">
    <w:name w:val="标题 1 Char"/>
    <w:basedOn w:val="a0"/>
    <w:link w:val="1"/>
    <w:uiPriority w:val="9"/>
    <w:rsid w:val="000C1F14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0C1F14"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3Char">
    <w:name w:val="标题 3 Char"/>
    <w:basedOn w:val="a0"/>
    <w:link w:val="3"/>
    <w:uiPriority w:val="9"/>
    <w:rsid w:val="000C1F14"/>
    <w:rPr>
      <w:rFonts w:eastAsia="仿宋"/>
      <w:b/>
      <w:bCs/>
      <w:sz w:val="24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0C1F1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har0">
    <w:name w:val="页眉 Char"/>
    <w:basedOn w:val="a0"/>
    <w:link w:val="a4"/>
    <w:uiPriority w:val="99"/>
    <w:rsid w:val="000C1F14"/>
    <w:rPr>
      <w:rFonts w:eastAsia="仿宋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C1F14"/>
    <w:rPr>
      <w:rFonts w:eastAsia="仿宋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1463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14630"/>
    <w:rPr>
      <w:rFonts w:eastAsia="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4ED68-CE06-4E2A-91C7-88D6D682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442</Words>
  <Characters>2524</Characters>
  <Application>Microsoft Office Word</Application>
  <DocSecurity>0</DocSecurity>
  <Lines>21</Lines>
  <Paragraphs>5</Paragraphs>
  <ScaleCrop>false</ScaleCrop>
  <Company>CHINA</Company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FZ</cp:lastModifiedBy>
  <cp:revision>3</cp:revision>
  <dcterms:created xsi:type="dcterms:W3CDTF">2018-05-14T02:54:00Z</dcterms:created>
  <dcterms:modified xsi:type="dcterms:W3CDTF">2018-05-14T04:26:00Z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