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  <w:lang w:eastAsia="zh-Hans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无人船感知系统测控平台</w:t>
      </w:r>
    </w:p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技术要求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一</w:t>
      </w:r>
      <w:r>
        <w:rPr>
          <w:rStyle w:val="9"/>
          <w:rFonts w:ascii="微软雅黑" w:hAnsi="微软雅黑" w:eastAsia="微软雅黑"/>
          <w:sz w:val="28"/>
          <w:szCs w:val="28"/>
          <w:lang w:eastAsia="zh-Hans"/>
        </w:rPr>
        <w:t>、</w:t>
      </w:r>
      <w:r>
        <w:rPr>
          <w:rStyle w:val="9"/>
          <w:rFonts w:hint="eastAsia" w:ascii="微软雅黑" w:hAnsi="微软雅黑" w:eastAsia="微软雅黑"/>
          <w:sz w:val="28"/>
          <w:szCs w:val="28"/>
        </w:rPr>
        <w:t>项目概况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本次采购项目是</w:t>
      </w:r>
      <w:r>
        <w:rPr>
          <w:rFonts w:hint="eastAsia" w:ascii="宋体" w:hAnsi="宋体"/>
          <w:sz w:val="28"/>
          <w:szCs w:val="28"/>
          <w:lang w:eastAsia="zh-Hans"/>
        </w:rPr>
        <w:t>基于双桨双舵船舶组装系统平台上进行感知系统的测控应用，监测识别船舶周边静、动态目标，尤其在恶劣条件下也能满足目标精准感知识别，并达到目标跟踪以及态势评估的目的，兼具实验、测试开发功能。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二、技术指标</w:t>
      </w:r>
    </w:p>
    <w:p>
      <w:pPr>
        <w:pStyle w:val="8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设备需满足以下技术指标：</w:t>
      </w:r>
    </w:p>
    <w:p>
      <w:r>
        <w:rPr>
          <w:rFonts w:ascii="宋体" w:hAnsi="宋体"/>
          <w:sz w:val="28"/>
          <w:szCs w:val="28"/>
        </w:rPr>
        <w:t xml:space="preserve">2.1 </w:t>
      </w:r>
      <w:r>
        <w:rPr>
          <w:rFonts w:hint="eastAsia" w:ascii="宋体" w:hAnsi="宋体"/>
          <w:sz w:val="28"/>
          <w:szCs w:val="28"/>
        </w:rPr>
        <w:t>海事雷达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直流供电;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功耗不高于</w:t>
      </w:r>
      <w:r>
        <w:rPr>
          <w:rFonts w:ascii="宋体" w:hAnsi="宋体"/>
          <w:sz w:val="28"/>
          <w:szCs w:val="28"/>
        </w:rPr>
        <w:t>500</w:t>
      </w:r>
      <w:r>
        <w:rPr>
          <w:rFonts w:hint="eastAsia" w:ascii="宋体" w:hAnsi="宋体"/>
          <w:sz w:val="28"/>
          <w:szCs w:val="28"/>
        </w:rPr>
        <w:t>W</w:t>
      </w:r>
      <w:r>
        <w:rPr>
          <w:rFonts w:ascii="宋体" w:hAnsi="宋体"/>
          <w:sz w:val="28"/>
          <w:szCs w:val="28"/>
        </w:rPr>
        <w:t>;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对雷达探测面积为1</w:t>
      </w:r>
      <w:r>
        <w:rPr>
          <w:rFonts w:ascii="宋体" w:hAnsi="宋体"/>
          <w:sz w:val="28"/>
          <w:szCs w:val="28"/>
        </w:rPr>
        <w:t>0m</w:t>
      </w:r>
      <w:r>
        <w:rPr>
          <w:rFonts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的障碍物探测距离不少于1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km;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数据可读取，可支持二次开发;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.2 </w:t>
      </w:r>
      <w:r>
        <w:rPr>
          <w:rFonts w:hint="eastAsia" w:ascii="宋体" w:hAnsi="宋体"/>
          <w:sz w:val="28"/>
          <w:szCs w:val="28"/>
        </w:rPr>
        <w:t>无线传输系统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保障1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km上有可靠的数据传输链路;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5km距离数据传输链路速度不低于1</w:t>
      </w:r>
      <w:r>
        <w:rPr>
          <w:rFonts w:ascii="宋体" w:hAnsi="宋体"/>
          <w:sz w:val="28"/>
          <w:szCs w:val="28"/>
        </w:rPr>
        <w:t>Mbits/s;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km距离上图传的速度不低于</w:t>
      </w:r>
      <w:r>
        <w:rPr>
          <w:rFonts w:ascii="宋体" w:hAnsi="宋体"/>
          <w:sz w:val="28"/>
          <w:szCs w:val="28"/>
        </w:rPr>
        <w:t>4M</w:t>
      </w:r>
      <w:r>
        <w:rPr>
          <w:rFonts w:hint="eastAsia" w:ascii="宋体" w:hAnsi="宋体"/>
          <w:sz w:val="28"/>
          <w:szCs w:val="28"/>
        </w:rPr>
        <w:t>bits/</w:t>
      </w:r>
      <w:r>
        <w:rPr>
          <w:rFonts w:ascii="宋体" w:hAnsi="宋体"/>
          <w:sz w:val="28"/>
          <w:szCs w:val="28"/>
        </w:rPr>
        <w:t>s</w:t>
      </w:r>
      <w:r>
        <w:rPr>
          <w:rFonts w:hint="eastAsia" w:ascii="宋体" w:hAnsi="宋体"/>
          <w:sz w:val="28"/>
          <w:szCs w:val="28"/>
        </w:rPr>
        <w:t>;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数据链路应有冗余;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应采用专用船用天线，且安装避雷针;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2.3 </w:t>
      </w:r>
      <w:r>
        <w:rPr>
          <w:rFonts w:hint="eastAsia" w:ascii="宋体" w:hAnsi="宋体"/>
          <w:sz w:val="28"/>
          <w:szCs w:val="28"/>
        </w:rPr>
        <w:t>控制系统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（1）支持1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km远距离遥控;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（2）支持至少1路实时摄像头图像回传;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（3）支持在UI界面设置轨迹，并沿预设轨迹自动运行;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（4）控制系统能自动记录数据，当通信断开时也不会丢数据;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）具有多种电气接口，包括RS</w:t>
      </w:r>
      <w:r>
        <w:rPr>
          <w:rFonts w:ascii="宋体" w:hAnsi="宋体"/>
          <w:sz w:val="28"/>
          <w:szCs w:val="28"/>
        </w:rPr>
        <w:t>232</w:t>
      </w:r>
      <w:r>
        <w:rPr>
          <w:rFonts w:hint="eastAsia" w:ascii="宋体" w:hAnsi="宋体"/>
          <w:sz w:val="28"/>
          <w:szCs w:val="28"/>
        </w:rPr>
        <w:t>和RS</w:t>
      </w:r>
      <w:r>
        <w:rPr>
          <w:rFonts w:ascii="宋体" w:hAnsi="宋体"/>
          <w:sz w:val="28"/>
          <w:szCs w:val="28"/>
        </w:rPr>
        <w:t>485</w:t>
      </w:r>
      <w:r>
        <w:rPr>
          <w:rFonts w:hint="eastAsia" w:ascii="宋体" w:hAnsi="宋体"/>
          <w:sz w:val="28"/>
          <w:szCs w:val="28"/>
        </w:rPr>
        <w:t>接口;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）预留二次开发的其他接口，如网口或AIS接口;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（7）艇只巡航速度下循迹模式位置误差1m以内;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（8）长度8m以上钢制船，航速5节，正面检测距离大于25米，侧面检测距离大于32米，目标检测率大于等于9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%；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（9）静止的直径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m以上钢制浮球，检测距离大于8m，目标检测率大于等于9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%；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.4 </w:t>
      </w:r>
      <w:r>
        <w:rPr>
          <w:rFonts w:hint="eastAsia" w:ascii="宋体" w:hAnsi="宋体"/>
          <w:sz w:val="28"/>
          <w:szCs w:val="28"/>
        </w:rPr>
        <w:t>动力和能源系统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（1）动力布置方式采取双桨双舵系统;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（2）最大速度可达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节及以上;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（3）巡航速度2节的情况下续航大于等于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小时;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.5 </w:t>
      </w:r>
      <w:r>
        <w:rPr>
          <w:rFonts w:hint="eastAsia" w:ascii="宋体" w:hAnsi="宋体"/>
          <w:sz w:val="28"/>
          <w:szCs w:val="28"/>
        </w:rPr>
        <w:t>船体位置、姿态和外接环境感知能力;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（1）亚米级精度GNSS系统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（2）艏向分辨率0</w:t>
      </w:r>
      <w:r>
        <w:rPr>
          <w:rFonts w:ascii="宋体" w:hAnsi="宋体"/>
          <w:sz w:val="28"/>
          <w:szCs w:val="28"/>
        </w:rPr>
        <w:t>.1</w:t>
      </w:r>
      <w:r>
        <w:rPr>
          <w:rFonts w:hint="eastAsia" w:ascii="宋体" w:hAnsi="宋体"/>
          <w:sz w:val="28"/>
          <w:szCs w:val="28"/>
        </w:rPr>
        <w:t>度，精度0</w:t>
      </w:r>
      <w:r>
        <w:rPr>
          <w:rFonts w:ascii="宋体" w:hAnsi="宋体"/>
          <w:sz w:val="28"/>
          <w:szCs w:val="28"/>
        </w:rPr>
        <w:t>.5</w:t>
      </w:r>
      <w:r>
        <w:rPr>
          <w:rFonts w:hint="eastAsia" w:ascii="宋体" w:hAnsi="宋体"/>
          <w:sz w:val="28"/>
          <w:szCs w:val="28"/>
        </w:rPr>
        <w:t>度;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（3）俯仰角和横摇角分辨率0</w:t>
      </w:r>
      <w:r>
        <w:rPr>
          <w:rFonts w:ascii="宋体" w:hAnsi="宋体"/>
          <w:sz w:val="28"/>
          <w:szCs w:val="28"/>
        </w:rPr>
        <w:t>.5</w:t>
      </w:r>
      <w:r>
        <w:rPr>
          <w:rFonts w:hint="eastAsia" w:ascii="宋体" w:hAnsi="宋体"/>
          <w:sz w:val="28"/>
          <w:szCs w:val="28"/>
        </w:rPr>
        <w:t>度，精度1度;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（4）安装风速风向计，可测量</w:t>
      </w:r>
      <w:r>
        <w:rPr>
          <w:rFonts w:ascii="宋体" w:hAnsi="宋体"/>
          <w:sz w:val="28"/>
          <w:szCs w:val="28"/>
        </w:rPr>
        <w:t>20m</w:t>
      </w:r>
      <w:r>
        <w:rPr>
          <w:rFonts w:hint="eastAsia" w:ascii="宋体" w:hAnsi="宋体"/>
          <w:sz w:val="28"/>
          <w:szCs w:val="28"/>
        </w:rPr>
        <w:t>/</w:t>
      </w:r>
      <w:r>
        <w:rPr>
          <w:rFonts w:ascii="宋体" w:hAnsi="宋体"/>
          <w:sz w:val="28"/>
          <w:szCs w:val="28"/>
        </w:rPr>
        <w:t>s</w:t>
      </w:r>
      <w:r>
        <w:rPr>
          <w:rFonts w:hint="eastAsia" w:ascii="宋体" w:hAnsi="宋体"/>
          <w:sz w:val="28"/>
          <w:szCs w:val="28"/>
        </w:rPr>
        <w:t>以下风速风向精度1度;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（5）预留其他专业气象观测设备的接口和安装位置;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2.6 </w:t>
      </w:r>
      <w:r>
        <w:rPr>
          <w:rFonts w:hint="eastAsia" w:ascii="宋体" w:hAnsi="宋体"/>
          <w:sz w:val="28"/>
          <w:szCs w:val="28"/>
        </w:rPr>
        <w:t>摄像头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（1）分辨率7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P及以上;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（2）自动适应光照环境;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（3）可支持第二开发;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.7 </w:t>
      </w:r>
      <w:r>
        <w:rPr>
          <w:rFonts w:hint="eastAsia" w:ascii="宋体" w:hAnsi="宋体"/>
          <w:sz w:val="28"/>
          <w:szCs w:val="28"/>
        </w:rPr>
        <w:t>电源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（1）提供稳压直流2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V</w:t>
      </w:r>
      <w:r>
        <w:rPr>
          <w:rFonts w:ascii="宋体" w:hAnsi="宋体"/>
          <w:sz w:val="28"/>
          <w:szCs w:val="28"/>
        </w:rPr>
        <w:t xml:space="preserve"> 10A</w:t>
      </w:r>
      <w:r>
        <w:rPr>
          <w:rFonts w:hint="eastAsia" w:ascii="宋体" w:hAnsi="宋体"/>
          <w:sz w:val="28"/>
          <w:szCs w:val="28"/>
        </w:rPr>
        <w:t>电源;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（2）提供稳压直流1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V</w:t>
      </w:r>
      <w:r>
        <w:rPr>
          <w:rFonts w:ascii="宋体" w:hAnsi="宋体"/>
          <w:sz w:val="28"/>
          <w:szCs w:val="28"/>
        </w:rPr>
        <w:t xml:space="preserve"> 5A</w:t>
      </w:r>
      <w:r>
        <w:rPr>
          <w:rFonts w:hint="eastAsia" w:ascii="宋体" w:hAnsi="宋体"/>
          <w:sz w:val="28"/>
          <w:szCs w:val="28"/>
        </w:rPr>
        <w:t>电源;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（3）可根据需要加装其他交流直流电源;</w:t>
      </w:r>
    </w:p>
    <w:p>
      <w:pPr>
        <w:pStyle w:val="8"/>
        <w:spacing w:line="360" w:lineRule="auto"/>
        <w:ind w:firstLine="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三、采购要求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总报价不得高于</w:t>
      </w:r>
      <w:r>
        <w:rPr>
          <w:rFonts w:hint="eastAsia" w:ascii="宋体" w:hAnsi="宋体"/>
          <w:sz w:val="28"/>
          <w:szCs w:val="28"/>
          <w:lang w:val="en-US" w:eastAsia="zh-CN"/>
        </w:rPr>
        <w:t>19.99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万人民币；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供货时间为合同签订后一个月；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货物验收通过后，供货方开具全额发票，一次性付款；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设备免费质保期为合同验收后两年。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06BF6"/>
    <w:multiLevelType w:val="multilevel"/>
    <w:tmpl w:val="0E906BF6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274DCB"/>
    <w:multiLevelType w:val="multilevel"/>
    <w:tmpl w:val="10274DCB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CE3679B"/>
    <w:multiLevelType w:val="multilevel"/>
    <w:tmpl w:val="1CE3679B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52D16"/>
    <w:rsid w:val="000E05B5"/>
    <w:rsid w:val="001809D6"/>
    <w:rsid w:val="002302D2"/>
    <w:rsid w:val="0023268C"/>
    <w:rsid w:val="00297654"/>
    <w:rsid w:val="00347192"/>
    <w:rsid w:val="003830DF"/>
    <w:rsid w:val="004670F9"/>
    <w:rsid w:val="004A7D18"/>
    <w:rsid w:val="004F039B"/>
    <w:rsid w:val="005208BE"/>
    <w:rsid w:val="006002E4"/>
    <w:rsid w:val="006340B7"/>
    <w:rsid w:val="007B62D8"/>
    <w:rsid w:val="008234D4"/>
    <w:rsid w:val="00A37C43"/>
    <w:rsid w:val="00AD508B"/>
    <w:rsid w:val="00AE4AF1"/>
    <w:rsid w:val="00AE6190"/>
    <w:rsid w:val="00AE72F8"/>
    <w:rsid w:val="00B75491"/>
    <w:rsid w:val="00D4206F"/>
    <w:rsid w:val="00DC4906"/>
    <w:rsid w:val="00EC5654"/>
    <w:rsid w:val="00F516D6"/>
    <w:rsid w:val="315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15"/>
    <w:basedOn w:val="5"/>
    <w:qFormat/>
    <w:uiPriority w:val="0"/>
    <w:rPr>
      <w:rFonts w:hint="default" w:ascii="Calibri" w:hAnsi="Calibri" w:cs="Calibri"/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873</Characters>
  <Lines>7</Lines>
  <Paragraphs>2</Paragraphs>
  <TotalTime>62</TotalTime>
  <ScaleCrop>false</ScaleCrop>
  <LinksUpToDate>false</LinksUpToDate>
  <CharactersWithSpaces>1023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2021-09-02T01:41:00Z</dcterms:created>
  <dc:creator>DELL</dc:creator>
  <cp:lastModifiedBy>仲杰</cp:lastModifiedBy>
  <dcterms:modified xsi:type="dcterms:W3CDTF">2021-09-10T04:19:26Z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30A9047B6AEF4BF79964A53E1F5250CB</vt:lpwstr>
  </property>
</Properties>
</file>