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D282B">
      <w:pPr>
        <w:jc w:val="center"/>
        <w:rPr>
          <w:rFonts w:hint="eastAsia" w:ascii="方正兰亭黑简体" w:hAnsi="方正兰亭黑简体" w:eastAsia="方正兰亭黑简体" w:cs="方正兰亭黑简体"/>
          <w:b/>
          <w:bCs/>
          <w:color w:val="auto"/>
          <w:sz w:val="28"/>
          <w:szCs w:val="36"/>
          <w:highlight w:val="none"/>
        </w:rPr>
      </w:pPr>
    </w:p>
    <w:p w14:paraId="006AC946">
      <w:pPr>
        <w:jc w:val="center"/>
        <w:rPr>
          <w:rFonts w:hint="eastAsia" w:ascii="方正兰亭黑简体" w:hAnsi="方正兰亭黑简体" w:eastAsia="方正兰亭黑简体" w:cs="方正兰亭黑简体"/>
          <w:b/>
          <w:bCs/>
          <w:color w:val="auto"/>
          <w:sz w:val="28"/>
          <w:szCs w:val="36"/>
          <w:highlight w:val="none"/>
        </w:rPr>
      </w:pPr>
    </w:p>
    <w:p w14:paraId="1BB83921">
      <w:pPr>
        <w:jc w:val="center"/>
        <w:rPr>
          <w:rFonts w:hint="eastAsia" w:ascii="方正兰亭黑简体" w:hAnsi="方正兰亭黑简体" w:eastAsia="方正兰亭黑简体" w:cs="方正兰亭黑简体"/>
          <w:b/>
          <w:bCs/>
          <w:color w:val="auto"/>
          <w:sz w:val="28"/>
          <w:szCs w:val="36"/>
          <w:highlight w:val="none"/>
        </w:rPr>
      </w:pPr>
    </w:p>
    <w:p w14:paraId="05747166">
      <w:pPr>
        <w:jc w:val="center"/>
        <w:rPr>
          <w:rFonts w:hint="eastAsia" w:ascii="方正兰亭黑简体" w:hAnsi="方正兰亭黑简体" w:eastAsia="方正兰亭黑简体" w:cs="方正兰亭黑简体"/>
          <w:b/>
          <w:bCs/>
          <w:color w:val="auto"/>
          <w:sz w:val="28"/>
          <w:szCs w:val="28"/>
          <w:highlight w:val="none"/>
          <w:lang w:eastAsia="zh-CN"/>
        </w:rPr>
      </w:pPr>
      <w:r>
        <w:rPr>
          <w:rFonts w:hint="eastAsia" w:ascii="方正兰亭黑简体" w:hAnsi="方正兰亭黑简体" w:eastAsia="方正兰亭黑简体" w:cs="方正兰亭黑简体"/>
          <w:b/>
          <w:bCs/>
          <w:color w:val="auto"/>
          <w:sz w:val="28"/>
          <w:szCs w:val="28"/>
          <w:highlight w:val="none"/>
          <w:lang w:eastAsia="zh-CN"/>
        </w:rPr>
        <w:t>虚拟化平台及基础支撑系统技术服务</w:t>
      </w:r>
    </w:p>
    <w:p w14:paraId="5F2EFCD4">
      <w:pPr>
        <w:jc w:val="center"/>
        <w:rPr>
          <w:rFonts w:hint="eastAsia" w:ascii="方正兰亭黑简体" w:hAnsi="方正兰亭黑简体" w:eastAsia="方正兰亭黑简体" w:cs="方正兰亭黑简体"/>
          <w:b/>
          <w:bCs/>
          <w:color w:val="auto"/>
          <w:sz w:val="28"/>
          <w:szCs w:val="28"/>
          <w:highlight w:val="none"/>
          <w:lang w:eastAsia="zh-CN"/>
        </w:rPr>
      </w:pPr>
      <w:r>
        <w:rPr>
          <w:rFonts w:hint="eastAsia" w:ascii="方正兰亭黑简体" w:hAnsi="方正兰亭黑简体" w:eastAsia="方正兰亭黑简体" w:cs="方正兰亭黑简体"/>
          <w:b/>
          <w:bCs/>
          <w:color w:val="auto"/>
          <w:sz w:val="28"/>
          <w:szCs w:val="28"/>
          <w:highlight w:val="none"/>
        </w:rPr>
        <w:t>比选文件</w:t>
      </w:r>
      <w:r>
        <w:rPr>
          <w:rFonts w:hint="eastAsia" w:ascii="方正兰亭黑简体" w:hAnsi="方正兰亭黑简体" w:eastAsia="方正兰亭黑简体" w:cs="方正兰亭黑简体"/>
          <w:b/>
          <w:bCs/>
          <w:color w:val="auto"/>
          <w:sz w:val="28"/>
          <w:szCs w:val="28"/>
          <w:highlight w:val="none"/>
          <w:lang w:eastAsia="zh-CN"/>
        </w:rPr>
        <w:t>（</w:t>
      </w:r>
      <w:r>
        <w:rPr>
          <w:rFonts w:hint="eastAsia" w:ascii="方正兰亭黑简体" w:hAnsi="方正兰亭黑简体" w:eastAsia="方正兰亭黑简体" w:cs="方正兰亭黑简体"/>
          <w:b/>
          <w:bCs/>
          <w:color w:val="auto"/>
          <w:sz w:val="28"/>
          <w:szCs w:val="28"/>
          <w:highlight w:val="none"/>
          <w:lang w:val="en-US" w:eastAsia="zh-CN"/>
        </w:rPr>
        <w:t>第二次</w:t>
      </w:r>
      <w:r>
        <w:rPr>
          <w:rFonts w:hint="eastAsia" w:ascii="方正兰亭黑简体" w:hAnsi="方正兰亭黑简体" w:eastAsia="方正兰亭黑简体" w:cs="方正兰亭黑简体"/>
          <w:b/>
          <w:bCs/>
          <w:color w:val="auto"/>
          <w:sz w:val="28"/>
          <w:szCs w:val="28"/>
          <w:highlight w:val="none"/>
          <w:lang w:eastAsia="zh-CN"/>
        </w:rPr>
        <w:t>）</w:t>
      </w:r>
    </w:p>
    <w:p w14:paraId="28A63E00">
      <w:pPr>
        <w:jc w:val="center"/>
        <w:rPr>
          <w:rFonts w:hint="eastAsia" w:ascii="方正兰亭黑简体" w:hAnsi="方正兰亭黑简体" w:eastAsia="方正兰亭黑简体" w:cs="方正兰亭黑简体"/>
          <w:b/>
          <w:bCs/>
          <w:color w:val="auto"/>
          <w:sz w:val="28"/>
          <w:szCs w:val="28"/>
          <w:highlight w:val="none"/>
        </w:rPr>
      </w:pPr>
    </w:p>
    <w:p w14:paraId="0CA5543B">
      <w:pPr>
        <w:jc w:val="center"/>
        <w:rPr>
          <w:rFonts w:hint="eastAsia" w:ascii="方正兰亭黑简体" w:hAnsi="方正兰亭黑简体" w:eastAsia="方正兰亭黑简体" w:cs="方正兰亭黑简体"/>
          <w:b/>
          <w:bCs/>
          <w:color w:val="auto"/>
          <w:sz w:val="28"/>
          <w:szCs w:val="28"/>
          <w:highlight w:val="none"/>
        </w:rPr>
      </w:pPr>
    </w:p>
    <w:p w14:paraId="3D9D00D3">
      <w:pPr>
        <w:jc w:val="center"/>
        <w:rPr>
          <w:rFonts w:hint="eastAsia" w:ascii="方正兰亭黑简体" w:hAnsi="方正兰亭黑简体" w:eastAsia="方正兰亭黑简体" w:cs="方正兰亭黑简体"/>
          <w:b/>
          <w:bCs/>
          <w:color w:val="auto"/>
          <w:sz w:val="28"/>
          <w:szCs w:val="28"/>
          <w:highlight w:val="none"/>
          <w:lang w:eastAsia="zh-CN"/>
        </w:rPr>
      </w:pPr>
      <w:r>
        <w:rPr>
          <w:rFonts w:hint="eastAsia" w:ascii="方正兰亭黑简体" w:hAnsi="方正兰亭黑简体" w:eastAsia="方正兰亭黑简体" w:cs="方正兰亭黑简体"/>
          <w:b/>
          <w:bCs/>
          <w:color w:val="auto"/>
          <w:sz w:val="28"/>
          <w:szCs w:val="28"/>
          <w:highlight w:val="none"/>
        </w:rPr>
        <w:t>项目编号：</w:t>
      </w:r>
      <w:r>
        <w:rPr>
          <w:rFonts w:hint="eastAsia" w:ascii="方正兰亭黑简体" w:hAnsi="方正兰亭黑简体" w:eastAsia="方正兰亭黑简体" w:cs="方正兰亭黑简体"/>
          <w:color w:val="auto"/>
          <w:sz w:val="28"/>
          <w:szCs w:val="28"/>
          <w:highlight w:val="none"/>
          <w:lang w:eastAsia="zh-CN"/>
        </w:rPr>
        <w:t>HFBX2026071</w:t>
      </w:r>
    </w:p>
    <w:p w14:paraId="4B356AA1">
      <w:pPr>
        <w:jc w:val="center"/>
        <w:rPr>
          <w:rFonts w:hint="eastAsia" w:ascii="方正兰亭黑简体" w:hAnsi="方正兰亭黑简体" w:eastAsia="方正兰亭黑简体" w:cs="方正兰亭黑简体"/>
          <w:b/>
          <w:bCs/>
          <w:color w:val="auto"/>
          <w:sz w:val="24"/>
          <w:szCs w:val="32"/>
          <w:highlight w:val="none"/>
        </w:rPr>
      </w:pPr>
      <w:bookmarkStart w:id="8" w:name="_GoBack"/>
      <w:bookmarkEnd w:id="8"/>
    </w:p>
    <w:p w14:paraId="5B48835F">
      <w:pPr>
        <w:jc w:val="center"/>
        <w:rPr>
          <w:rFonts w:hint="eastAsia" w:ascii="方正兰亭黑简体" w:hAnsi="方正兰亭黑简体" w:eastAsia="方正兰亭黑简体" w:cs="方正兰亭黑简体"/>
          <w:b/>
          <w:bCs/>
          <w:color w:val="auto"/>
          <w:sz w:val="24"/>
          <w:szCs w:val="32"/>
          <w:highlight w:val="none"/>
        </w:rPr>
      </w:pPr>
    </w:p>
    <w:p w14:paraId="07E4A809">
      <w:pPr>
        <w:jc w:val="center"/>
        <w:rPr>
          <w:rFonts w:hint="eastAsia" w:ascii="方正兰亭黑简体" w:hAnsi="方正兰亭黑简体" w:eastAsia="方正兰亭黑简体" w:cs="方正兰亭黑简体"/>
          <w:b/>
          <w:bCs/>
          <w:color w:val="auto"/>
          <w:sz w:val="24"/>
          <w:szCs w:val="32"/>
          <w:highlight w:val="none"/>
        </w:rPr>
      </w:pPr>
    </w:p>
    <w:p w14:paraId="6A0F108C">
      <w:pPr>
        <w:jc w:val="center"/>
        <w:rPr>
          <w:rFonts w:hint="eastAsia" w:ascii="方正兰亭黑简体" w:hAnsi="方正兰亭黑简体" w:eastAsia="方正兰亭黑简体" w:cs="方正兰亭黑简体"/>
          <w:b/>
          <w:bCs/>
          <w:color w:val="auto"/>
          <w:sz w:val="24"/>
          <w:szCs w:val="32"/>
          <w:highlight w:val="none"/>
        </w:rPr>
      </w:pPr>
    </w:p>
    <w:p w14:paraId="5EFABC4D">
      <w:pPr>
        <w:jc w:val="center"/>
        <w:rPr>
          <w:rFonts w:hint="eastAsia" w:ascii="方正兰亭黑简体" w:hAnsi="方正兰亭黑简体" w:eastAsia="方正兰亭黑简体" w:cs="方正兰亭黑简体"/>
          <w:b/>
          <w:bCs/>
          <w:color w:val="auto"/>
          <w:sz w:val="24"/>
          <w:szCs w:val="32"/>
          <w:highlight w:val="none"/>
        </w:rPr>
      </w:pPr>
    </w:p>
    <w:p w14:paraId="5416AFF6">
      <w:pPr>
        <w:jc w:val="center"/>
        <w:rPr>
          <w:rFonts w:hint="eastAsia" w:ascii="方正兰亭黑简体" w:hAnsi="方正兰亭黑简体" w:eastAsia="方正兰亭黑简体" w:cs="方正兰亭黑简体"/>
          <w:b/>
          <w:bCs/>
          <w:color w:val="auto"/>
          <w:sz w:val="24"/>
          <w:szCs w:val="32"/>
          <w:highlight w:val="none"/>
        </w:rPr>
      </w:pPr>
    </w:p>
    <w:p w14:paraId="05694FFB">
      <w:pPr>
        <w:jc w:val="center"/>
        <w:rPr>
          <w:rFonts w:hint="eastAsia" w:ascii="方正兰亭黑简体" w:hAnsi="方正兰亭黑简体" w:eastAsia="方正兰亭黑简体" w:cs="方正兰亭黑简体"/>
          <w:b/>
          <w:bCs/>
          <w:color w:val="auto"/>
          <w:sz w:val="24"/>
          <w:szCs w:val="32"/>
          <w:highlight w:val="none"/>
        </w:rPr>
      </w:pPr>
    </w:p>
    <w:p w14:paraId="342DFAF8">
      <w:pPr>
        <w:jc w:val="center"/>
        <w:rPr>
          <w:rFonts w:hint="eastAsia" w:ascii="方正兰亭黑简体" w:hAnsi="方正兰亭黑简体" w:eastAsia="方正兰亭黑简体" w:cs="方正兰亭黑简体"/>
          <w:b/>
          <w:bCs/>
          <w:color w:val="auto"/>
          <w:sz w:val="24"/>
          <w:szCs w:val="32"/>
          <w:highlight w:val="none"/>
        </w:rPr>
      </w:pPr>
      <w:r>
        <w:rPr>
          <w:rFonts w:hint="eastAsia" w:ascii="方正兰亭黑简体" w:hAnsi="方正兰亭黑简体" w:eastAsia="方正兰亭黑简体" w:cs="方正兰亭黑简体"/>
          <w:b/>
          <w:bCs/>
          <w:color w:val="auto"/>
          <w:sz w:val="24"/>
          <w:szCs w:val="32"/>
          <w:highlight w:val="none"/>
        </w:rPr>
        <w:t>采购人：上海海事大学</w:t>
      </w:r>
    </w:p>
    <w:p w14:paraId="6301CB11">
      <w:pPr>
        <w:jc w:val="center"/>
        <w:rPr>
          <w:rFonts w:hint="eastAsia" w:ascii="方正兰亭黑简体" w:hAnsi="方正兰亭黑简体" w:eastAsia="方正兰亭黑简体" w:cs="方正兰亭黑简体"/>
          <w:b/>
          <w:bCs/>
          <w:color w:val="auto"/>
          <w:sz w:val="24"/>
          <w:szCs w:val="32"/>
          <w:highlight w:val="none"/>
        </w:rPr>
      </w:pPr>
      <w:r>
        <w:rPr>
          <w:rFonts w:hint="eastAsia" w:ascii="方正兰亭黑简体" w:hAnsi="方正兰亭黑简体" w:eastAsia="方正兰亭黑简体" w:cs="方正兰亭黑简体"/>
          <w:b/>
          <w:bCs/>
          <w:color w:val="auto"/>
          <w:sz w:val="24"/>
          <w:szCs w:val="32"/>
          <w:highlight w:val="none"/>
        </w:rPr>
        <w:t>二〇二六年</w:t>
      </w:r>
      <w:r>
        <w:rPr>
          <w:rFonts w:hint="eastAsia" w:ascii="方正兰亭黑简体" w:hAnsi="方正兰亭黑简体" w:eastAsia="方正兰亭黑简体" w:cs="方正兰亭黑简体"/>
          <w:b/>
          <w:bCs/>
          <w:color w:val="auto"/>
          <w:sz w:val="24"/>
          <w:szCs w:val="32"/>
          <w:highlight w:val="none"/>
          <w:lang w:val="en-US" w:eastAsia="zh-CN"/>
        </w:rPr>
        <w:t>八</w:t>
      </w:r>
      <w:r>
        <w:rPr>
          <w:rFonts w:hint="eastAsia" w:ascii="方正兰亭黑简体" w:hAnsi="方正兰亭黑简体" w:eastAsia="方正兰亭黑简体" w:cs="方正兰亭黑简体"/>
          <w:b/>
          <w:bCs/>
          <w:color w:val="auto"/>
          <w:sz w:val="24"/>
          <w:szCs w:val="32"/>
          <w:highlight w:val="none"/>
        </w:rPr>
        <w:t>月</w:t>
      </w:r>
    </w:p>
    <w:p w14:paraId="56D8363F">
      <w:pPr>
        <w:rPr>
          <w:rFonts w:hint="eastAsia" w:ascii="方正兰亭黑简体" w:hAnsi="方正兰亭黑简体" w:eastAsia="方正兰亭黑简体" w:cs="方正兰亭黑简体"/>
          <w:b/>
          <w:bCs/>
          <w:color w:val="auto"/>
          <w:sz w:val="24"/>
          <w:szCs w:val="32"/>
          <w:highlight w:val="none"/>
        </w:rPr>
      </w:pPr>
      <w:r>
        <w:rPr>
          <w:rFonts w:hint="eastAsia" w:ascii="方正兰亭黑简体" w:hAnsi="方正兰亭黑简体" w:eastAsia="方正兰亭黑简体" w:cs="方正兰亭黑简体"/>
          <w:b/>
          <w:bCs/>
          <w:color w:val="auto"/>
          <w:sz w:val="24"/>
          <w:szCs w:val="32"/>
          <w:highlight w:val="none"/>
        </w:rPr>
        <w:br w:type="page"/>
      </w:r>
    </w:p>
    <w:p w14:paraId="3FA5FE61">
      <w:pPr>
        <w:jc w:val="center"/>
        <w:rPr>
          <w:rFonts w:hint="eastAsia" w:ascii="方正兰亭黑简体" w:hAnsi="方正兰亭黑简体" w:eastAsia="方正兰亭黑简体" w:cs="方正兰亭黑简体"/>
          <w:b/>
          <w:bCs/>
          <w:color w:val="auto"/>
          <w:sz w:val="24"/>
          <w:szCs w:val="32"/>
          <w:highlight w:val="none"/>
        </w:rPr>
      </w:pPr>
      <w:r>
        <w:rPr>
          <w:rFonts w:hint="eastAsia" w:ascii="方正兰亭黑简体" w:hAnsi="方正兰亭黑简体" w:eastAsia="方正兰亭黑简体" w:cs="方正兰亭黑简体"/>
          <w:b/>
          <w:bCs/>
          <w:color w:val="auto"/>
          <w:sz w:val="24"/>
          <w:szCs w:val="32"/>
          <w:highlight w:val="none"/>
        </w:rPr>
        <w:t>第一章比选公告</w:t>
      </w:r>
    </w:p>
    <w:p w14:paraId="5E1CB3DE">
      <w:pPr>
        <w:ind w:firstLine="440" w:firstLineChars="200"/>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为公开、公正、公平地做好各项货物与服务的采购工作，进一步提高采购过程的透明度，有利于我校选择性价比更高的产品及更优质的服务，欢迎各供应单位本着务实友好的工作态度，积极参与，并做好成本核算，进行一次性报价。我校将本着公开、公正、公平的工作原则，对各供应单位所提供的资料，进行综合评议，择优选购。为确保本次比选采购项目采购工作的顺利开展，请各报价单位按照下述要求提供报价单等相关资料。具体要求及相关注意事项如下：</w:t>
      </w:r>
    </w:p>
    <w:p w14:paraId="0E2D2351">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一、项目基本情况</w:t>
      </w:r>
    </w:p>
    <w:p w14:paraId="74B0A1D4">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项目编号：</w:t>
      </w:r>
      <w:r>
        <w:rPr>
          <w:rFonts w:hint="eastAsia" w:ascii="方正兰亭黑简体" w:hAnsi="方正兰亭黑简体" w:eastAsia="方正兰亭黑简体" w:cs="方正兰亭黑简体"/>
          <w:color w:val="auto"/>
          <w:sz w:val="22"/>
          <w:szCs w:val="28"/>
          <w:highlight w:val="none"/>
          <w:lang w:eastAsia="zh-CN"/>
        </w:rPr>
        <w:t>HFBX2026071</w:t>
      </w:r>
      <w:r>
        <w:rPr>
          <w:rFonts w:hint="eastAsia" w:ascii="方正兰亭黑简体" w:hAnsi="方正兰亭黑简体" w:eastAsia="方正兰亭黑简体" w:cs="方正兰亭黑简体"/>
          <w:color w:val="auto"/>
          <w:sz w:val="22"/>
          <w:szCs w:val="28"/>
          <w:highlight w:val="none"/>
        </w:rPr>
        <w:t>；</w:t>
      </w:r>
    </w:p>
    <w:p w14:paraId="373D4631">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项目名称：</w:t>
      </w:r>
      <w:r>
        <w:rPr>
          <w:rFonts w:hint="eastAsia" w:ascii="方正兰亭黑简体" w:hAnsi="方正兰亭黑简体" w:eastAsia="方正兰亭黑简体" w:cs="方正兰亭黑简体"/>
          <w:color w:val="auto"/>
          <w:sz w:val="22"/>
          <w:szCs w:val="28"/>
          <w:highlight w:val="none"/>
          <w:lang w:eastAsia="zh-CN"/>
        </w:rPr>
        <w:t>虚拟化平台及基础支撑系统技术服务</w:t>
      </w:r>
      <w:r>
        <w:rPr>
          <w:rFonts w:hint="eastAsia" w:ascii="方正兰亭黑简体" w:hAnsi="方正兰亭黑简体" w:eastAsia="方正兰亭黑简体" w:cs="方正兰亭黑简体"/>
          <w:color w:val="auto"/>
          <w:sz w:val="22"/>
          <w:szCs w:val="28"/>
          <w:highlight w:val="none"/>
        </w:rPr>
        <w:t>；</w:t>
      </w:r>
    </w:p>
    <w:p w14:paraId="44BA8929">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采购方式：学校比选；</w:t>
      </w:r>
    </w:p>
    <w:p w14:paraId="432CCF0C">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预算金额（亦是最高限价）：人民币</w:t>
      </w:r>
      <w:r>
        <w:rPr>
          <w:rFonts w:hint="eastAsia" w:ascii="方正兰亭黑简体" w:hAnsi="方正兰亭黑简体" w:eastAsia="方正兰亭黑简体" w:cs="方正兰亭黑简体"/>
          <w:color w:val="auto"/>
          <w:sz w:val="22"/>
          <w:szCs w:val="28"/>
          <w:highlight w:val="none"/>
          <w:lang w:val="en-US" w:eastAsia="zh-CN"/>
        </w:rPr>
        <w:t>18.7</w:t>
      </w:r>
      <w:r>
        <w:rPr>
          <w:rFonts w:hint="eastAsia" w:ascii="方正兰亭黑简体" w:hAnsi="方正兰亭黑简体" w:eastAsia="方正兰亭黑简体" w:cs="方正兰亭黑简体"/>
          <w:color w:val="auto"/>
          <w:sz w:val="22"/>
          <w:szCs w:val="28"/>
          <w:highlight w:val="none"/>
        </w:rPr>
        <w:t>万元；</w:t>
      </w:r>
    </w:p>
    <w:p w14:paraId="290FE171">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采购需求：本项目拟委托一家合格供应商为学校现有VMware虚拟化基础设施及相关基础支撑系统提供专业、持续的技术维护服务，保障教学及业务系统底层运行环境的安全、稳定和高效。维护范围主要包括vCenterServer6.5/7.0、PlatformServicesController（PSC）、NSXforvSphere、NSX-T网络虚拟化平台、ESXi主机，以及ActiveDirectory域控制器和NTP服务器等，以及Citrix云桌面平台技术服务，K8s平台技术服务(包括git,repo)。</w:t>
      </w:r>
      <w:r>
        <w:rPr>
          <w:rFonts w:ascii="微软雅黑" w:hAnsi="微软雅黑" w:eastAsia="微软雅黑" w:cs="微软雅黑"/>
          <w:i w:val="0"/>
          <w:iCs w:val="0"/>
          <w:caps w:val="0"/>
          <w:color w:val="auto"/>
          <w:spacing w:val="0"/>
          <w:sz w:val="23"/>
          <w:szCs w:val="23"/>
          <w:highlight w:val="none"/>
          <w:shd w:val="clear" w:fill="FFFFFF"/>
        </w:rPr>
        <w:t>拟采取比选方式实施采购。（具体要求详见比选文件—第二章节采购需求）。</w:t>
      </w:r>
    </w:p>
    <w:p w14:paraId="57294392">
      <w:pPr>
        <w:pStyle w:val="19"/>
        <w:tabs>
          <w:tab w:val="left" w:pos="0"/>
        </w:tabs>
        <w:spacing w:line="360" w:lineRule="auto"/>
        <w:ind w:firstLine="0" w:firstLineChars="0"/>
        <w:rPr>
          <w:rFonts w:hint="eastAsia" w:ascii="方正兰亭黑简体" w:hAnsi="方正兰亭黑简体" w:eastAsia="方正兰亭黑简体" w:cs="方正兰亭黑简体"/>
          <w:color w:val="auto"/>
          <w:kern w:val="2"/>
          <w:sz w:val="22"/>
          <w:szCs w:val="28"/>
          <w:highlight w:val="none"/>
          <w:lang w:val="en-US" w:eastAsia="zh-CN" w:bidi="ar-SA"/>
        </w:rPr>
      </w:pPr>
      <w:r>
        <w:rPr>
          <w:rFonts w:hint="eastAsia" w:ascii="方正兰亭黑简体" w:hAnsi="方正兰亭黑简体" w:eastAsia="方正兰亭黑简体" w:cs="方正兰亭黑简体"/>
          <w:color w:val="auto"/>
          <w:sz w:val="22"/>
          <w:szCs w:val="28"/>
          <w:highlight w:val="none"/>
          <w:lang w:val="en-US" w:eastAsia="zh-CN"/>
        </w:rPr>
        <w:t>服务期限：</w:t>
      </w:r>
      <w:r>
        <w:rPr>
          <w:rFonts w:hint="eastAsia" w:ascii="方正兰亭黑简体" w:hAnsi="方正兰亭黑简体" w:eastAsia="方正兰亭黑简体" w:cs="方正兰亭黑简体"/>
          <w:color w:val="auto"/>
          <w:kern w:val="2"/>
          <w:sz w:val="22"/>
          <w:szCs w:val="28"/>
          <w:highlight w:val="none"/>
          <w:lang w:val="en-US" w:eastAsia="zh-CN" w:bidi="ar-SA"/>
        </w:rPr>
        <w:t>自合同签订之日起一年。</w:t>
      </w:r>
    </w:p>
    <w:p w14:paraId="627DD869">
      <w:pPr>
        <w:pStyle w:val="19"/>
        <w:numPr>
          <w:ilvl w:val="0"/>
          <w:numId w:val="0"/>
        </w:numPr>
        <w:tabs>
          <w:tab w:val="left" w:pos="0"/>
        </w:tabs>
        <w:spacing w:line="360" w:lineRule="auto"/>
        <w:ind w:firstLine="0" w:firstLineChars="0"/>
        <w:rPr>
          <w:rFonts w:hint="default" w:ascii="方正兰亭黑简体" w:hAnsi="方正兰亭黑简体" w:eastAsia="方正兰亭黑简体" w:cs="方正兰亭黑简体"/>
          <w:color w:val="auto"/>
          <w:kern w:val="2"/>
          <w:sz w:val="22"/>
          <w:szCs w:val="28"/>
          <w:highlight w:val="none"/>
          <w:lang w:val="en-US" w:eastAsia="zh-CN" w:bidi="ar-SA"/>
        </w:rPr>
      </w:pPr>
      <w:r>
        <w:rPr>
          <w:rFonts w:hint="eastAsia" w:ascii="方正兰亭黑简体" w:hAnsi="方正兰亭黑简体" w:eastAsia="方正兰亭黑简体" w:cs="方正兰亭黑简体"/>
          <w:color w:val="auto"/>
          <w:kern w:val="2"/>
          <w:sz w:val="22"/>
          <w:szCs w:val="28"/>
          <w:highlight w:val="none"/>
          <w:lang w:val="en-US" w:eastAsia="zh-CN" w:bidi="ar-SA"/>
        </w:rPr>
        <w:t>付款方式：合同签订后十个工作日内，甲方应付款合同总金额的60%，乙方服务满2个月后甲方应付款合同总金额的40%，合同内款项均以“银行转账”方式支付。</w:t>
      </w:r>
    </w:p>
    <w:p w14:paraId="34EF3CE4">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二、报价人的资格要求</w:t>
      </w:r>
    </w:p>
    <w:p w14:paraId="58FFC7E6">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1、符合《中华人民共和国政府采购法》第二十二条之供应商资格规定。</w:t>
      </w:r>
    </w:p>
    <w:p w14:paraId="67A4B0EC">
      <w:pPr>
        <w:spacing w:line="360" w:lineRule="auto"/>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2、供应商未被列入“信用中国”网站（www.creditchina.gov.cn）失信执行人名单、重大税收违法案件当事人名单，和中国政府采购网（www.ccgp.gov.cn）政府</w:t>
      </w:r>
      <w:r>
        <w:rPr>
          <w:rFonts w:hint="eastAsia" w:ascii="方正兰亭黑简体" w:hAnsi="方正兰亭黑简体" w:eastAsia="方正兰亭黑简体" w:cs="方正兰亭黑简体"/>
          <w:color w:val="auto"/>
          <w:sz w:val="22"/>
          <w:szCs w:val="28"/>
          <w:highlight w:val="none"/>
          <w:lang w:val="en-US" w:eastAsia="zh-CN"/>
        </w:rPr>
        <w:t>采购</w:t>
      </w:r>
      <w:r>
        <w:rPr>
          <w:rFonts w:hint="eastAsia" w:ascii="方正兰亭黑简体" w:hAnsi="方正兰亭黑简体" w:eastAsia="方正兰亭黑简体" w:cs="方正兰亭黑简体"/>
          <w:color w:val="auto"/>
          <w:sz w:val="22"/>
          <w:szCs w:val="28"/>
          <w:highlight w:val="none"/>
        </w:rPr>
        <w:t>严重违法失信行为记录名单的供应商。</w:t>
      </w:r>
    </w:p>
    <w:p w14:paraId="34243CEE">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3、经营范围及拟投标货物（服务）符合本次比选要求，具有与本次投标货物（服务）相应的经营、代理（经销）资质，能全程参与并完成本项目，且具有较强的服务能力，以及畅通的问题响应机制和渠道等。</w:t>
      </w:r>
    </w:p>
    <w:p w14:paraId="6D423F37">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三、报名要求</w:t>
      </w:r>
    </w:p>
    <w:p w14:paraId="21800922">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报名邮箱、时间：不单独组织报名，意向单位可在截止日期前递交响应文件。</w:t>
      </w:r>
    </w:p>
    <w:p w14:paraId="47EB2369">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四、获取采购文件</w:t>
      </w:r>
    </w:p>
    <w:p w14:paraId="22BA469E">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获取方式：公告页面下方自行下载</w:t>
      </w:r>
    </w:p>
    <w:p w14:paraId="5F33DC36">
      <w:pPr>
        <w:jc w:val="left"/>
        <w:rPr>
          <w:rFonts w:hint="eastAsia" w:ascii="方正兰亭黑简体" w:hAnsi="方正兰亭黑简体" w:eastAsia="方正兰亭黑简体" w:cs="方正兰亭黑简体"/>
          <w:b/>
          <w:bCs/>
          <w:color w:val="auto"/>
          <w:sz w:val="22"/>
          <w:szCs w:val="28"/>
          <w:highlight w:val="none"/>
        </w:rPr>
      </w:pPr>
      <w:bookmarkStart w:id="0" w:name="_Toc28359005"/>
      <w:r>
        <w:rPr>
          <w:rFonts w:hint="eastAsia" w:ascii="方正兰亭黑简体" w:hAnsi="方正兰亭黑简体" w:eastAsia="方正兰亭黑简体" w:cs="方正兰亭黑简体"/>
          <w:b/>
          <w:bCs/>
          <w:color w:val="auto"/>
          <w:sz w:val="22"/>
          <w:szCs w:val="28"/>
          <w:highlight w:val="none"/>
        </w:rPr>
        <w:t>五、现场踏勘</w:t>
      </w:r>
      <w:bookmarkEnd w:id="0"/>
    </w:p>
    <w:p w14:paraId="6393E206">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不组织</w:t>
      </w:r>
    </w:p>
    <w:p w14:paraId="3B52FB4A">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六、响应文件提交</w:t>
      </w:r>
    </w:p>
    <w:p w14:paraId="797F0A10">
      <w:pPr>
        <w:jc w:val="left"/>
        <w:rPr>
          <w:rFonts w:hint="eastAsia" w:ascii="方正兰亭黑简体" w:hAnsi="方正兰亭黑简体" w:eastAsia="方正兰亭黑简体" w:cs="方正兰亭黑简体"/>
          <w:color w:val="auto"/>
          <w:sz w:val="22"/>
          <w:szCs w:val="28"/>
          <w:highlight w:val="none"/>
        </w:rPr>
      </w:pPr>
      <w:bookmarkStart w:id="1" w:name="_Toc35393795"/>
      <w:bookmarkEnd w:id="1"/>
      <w:bookmarkStart w:id="2" w:name="_Toc35393626"/>
      <w:bookmarkStart w:id="3" w:name="OLE_LINK2"/>
      <w:bookmarkStart w:id="4" w:name="OLE_LINK1"/>
      <w:r>
        <w:rPr>
          <w:rFonts w:hint="eastAsia" w:ascii="方正兰亭黑简体" w:hAnsi="方正兰亭黑简体" w:eastAsia="方正兰亭黑简体" w:cs="方正兰亭黑简体"/>
          <w:color w:val="auto"/>
          <w:sz w:val="22"/>
          <w:szCs w:val="28"/>
          <w:highlight w:val="none"/>
        </w:rPr>
        <w:t>截止</w:t>
      </w:r>
      <w:bookmarkEnd w:id="2"/>
      <w:r>
        <w:rPr>
          <w:rFonts w:hint="eastAsia" w:ascii="方正兰亭黑简体" w:hAnsi="方正兰亭黑简体" w:eastAsia="方正兰亭黑简体" w:cs="方正兰亭黑简体"/>
          <w:color w:val="auto"/>
          <w:sz w:val="22"/>
          <w:szCs w:val="28"/>
          <w:highlight w:val="none"/>
        </w:rPr>
        <w:t>时间：2026年</w:t>
      </w:r>
      <w:r>
        <w:rPr>
          <w:rFonts w:hint="eastAsia" w:ascii="方正兰亭黑简体" w:hAnsi="方正兰亭黑简体" w:eastAsia="方正兰亭黑简体" w:cs="方正兰亭黑简体"/>
          <w:color w:val="auto"/>
          <w:sz w:val="22"/>
          <w:szCs w:val="28"/>
          <w:highlight w:val="none"/>
          <w:lang w:val="en-US" w:eastAsia="zh-CN"/>
        </w:rPr>
        <w:t>8</w:t>
      </w:r>
      <w:r>
        <w:rPr>
          <w:rFonts w:hint="eastAsia" w:ascii="方正兰亭黑简体" w:hAnsi="方正兰亭黑简体" w:eastAsia="方正兰亭黑简体" w:cs="方正兰亭黑简体"/>
          <w:color w:val="auto"/>
          <w:sz w:val="22"/>
          <w:szCs w:val="28"/>
          <w:highlight w:val="none"/>
        </w:rPr>
        <w:t>月</w:t>
      </w:r>
      <w:r>
        <w:rPr>
          <w:rFonts w:hint="eastAsia" w:ascii="方正兰亭黑简体" w:hAnsi="方正兰亭黑简体" w:eastAsia="方正兰亭黑简体" w:cs="方正兰亭黑简体"/>
          <w:color w:val="auto"/>
          <w:sz w:val="22"/>
          <w:szCs w:val="28"/>
          <w:highlight w:val="none"/>
          <w:lang w:val="en-US" w:eastAsia="zh-CN"/>
        </w:rPr>
        <w:t>5</w:t>
      </w:r>
      <w:r>
        <w:rPr>
          <w:rFonts w:hint="eastAsia" w:ascii="方正兰亭黑简体" w:hAnsi="方正兰亭黑简体" w:eastAsia="方正兰亭黑简体" w:cs="方正兰亭黑简体"/>
          <w:color w:val="auto"/>
          <w:sz w:val="22"/>
          <w:szCs w:val="28"/>
          <w:highlight w:val="none"/>
        </w:rPr>
        <w:t>日（周</w:t>
      </w:r>
      <w:r>
        <w:rPr>
          <w:rFonts w:hint="eastAsia" w:ascii="方正兰亭黑简体" w:hAnsi="方正兰亭黑简体" w:eastAsia="方正兰亭黑简体" w:cs="方正兰亭黑简体"/>
          <w:color w:val="auto"/>
          <w:sz w:val="22"/>
          <w:szCs w:val="28"/>
          <w:highlight w:val="none"/>
          <w:lang w:val="en-US" w:eastAsia="zh-CN"/>
        </w:rPr>
        <w:t>三</w:t>
      </w:r>
      <w:r>
        <w:rPr>
          <w:rFonts w:hint="eastAsia" w:ascii="方正兰亭黑简体" w:hAnsi="方正兰亭黑简体" w:eastAsia="方正兰亭黑简体" w:cs="方正兰亭黑简体"/>
          <w:color w:val="auto"/>
          <w:sz w:val="22"/>
          <w:szCs w:val="28"/>
          <w:highlight w:val="none"/>
        </w:rPr>
        <w:t>）</w:t>
      </w:r>
      <w:bookmarkEnd w:id="3"/>
      <w:bookmarkEnd w:id="4"/>
      <w:r>
        <w:rPr>
          <w:rFonts w:hint="eastAsia" w:ascii="方正兰亭黑简体" w:hAnsi="方正兰亭黑简体" w:eastAsia="方正兰亭黑简体" w:cs="方正兰亭黑简体"/>
          <w:color w:val="auto"/>
          <w:sz w:val="22"/>
          <w:szCs w:val="28"/>
          <w:highlight w:val="none"/>
        </w:rPr>
        <w:t>上午11时00分</w:t>
      </w:r>
    </w:p>
    <w:p w14:paraId="19B21342">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提交方式：发送盖章扫描版PDF到指定邮箱，邮件名称：项目编号+公司名称</w:t>
      </w:r>
    </w:p>
    <w:p w14:paraId="5F997FCD">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邮箱地址：quotation@shmtu.edu.cn</w:t>
      </w:r>
    </w:p>
    <w:p w14:paraId="1EC8B77D">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七、其他补充事宜</w:t>
      </w:r>
    </w:p>
    <w:p w14:paraId="1533EBFD">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1.中标结果将通过发布比选公告的媒介进行公示，公示期为1个工作日，公示期内如对中标结果有异议可向校方提出书面质疑。</w:t>
      </w:r>
      <w:bookmarkStart w:id="5" w:name="_Toc35393627"/>
    </w:p>
    <w:p w14:paraId="03F0F785">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2.</w:t>
      </w:r>
      <w:bookmarkEnd w:id="5"/>
      <w:r>
        <w:rPr>
          <w:rFonts w:hint="eastAsia" w:ascii="方正兰亭黑简体" w:hAnsi="方正兰亭黑简体" w:eastAsia="方正兰亭黑简体" w:cs="方正兰亭黑简体"/>
          <w:color w:val="auto"/>
          <w:sz w:val="22"/>
          <w:szCs w:val="28"/>
          <w:highlight w:val="none"/>
        </w:rPr>
        <w:t>凡对本次采购提出询问，请按以下方式联系：</w:t>
      </w:r>
    </w:p>
    <w:p w14:paraId="4E545C0B">
      <w:pPr>
        <w:jc w:val="left"/>
        <w:rPr>
          <w:rFonts w:hint="default"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sz w:val="22"/>
          <w:szCs w:val="28"/>
          <w:highlight w:val="none"/>
        </w:rPr>
        <w:t>商务信息：仲老师021-38284707</w:t>
      </w:r>
      <w:r>
        <w:rPr>
          <w:rFonts w:hint="eastAsia" w:ascii="方正兰亭黑简体" w:hAnsi="方正兰亭黑简体" w:eastAsia="方正兰亭黑简体" w:cs="方正兰亭黑简体"/>
          <w:color w:val="auto"/>
          <w:sz w:val="22"/>
          <w:szCs w:val="28"/>
          <w:highlight w:val="none"/>
          <w:lang w:eastAsia="zh-CN"/>
        </w:rPr>
        <w:t>、</w:t>
      </w:r>
      <w:r>
        <w:rPr>
          <w:rFonts w:hint="eastAsia" w:ascii="方正兰亭黑简体" w:hAnsi="方正兰亭黑简体" w:eastAsia="方正兰亭黑简体" w:cs="方正兰亭黑简体"/>
          <w:color w:val="auto"/>
          <w:sz w:val="22"/>
          <w:szCs w:val="28"/>
          <w:highlight w:val="none"/>
          <w:lang w:val="en-US" w:eastAsia="zh-CN"/>
        </w:rPr>
        <w:t>13764131075</w:t>
      </w:r>
    </w:p>
    <w:p w14:paraId="155BEAB7">
      <w:pPr>
        <w:jc w:val="left"/>
        <w:rPr>
          <w:rFonts w:hint="default"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sz w:val="22"/>
          <w:szCs w:val="28"/>
          <w:highlight w:val="none"/>
        </w:rPr>
        <w:t>技术信息：</w:t>
      </w:r>
      <w:r>
        <w:rPr>
          <w:rFonts w:hint="eastAsia" w:ascii="方正兰亭黑简体" w:hAnsi="方正兰亭黑简体" w:eastAsia="方正兰亭黑简体" w:cs="方正兰亭黑简体"/>
          <w:color w:val="auto"/>
          <w:sz w:val="22"/>
          <w:szCs w:val="28"/>
          <w:highlight w:val="none"/>
          <w:lang w:val="en-US" w:eastAsia="zh-CN"/>
        </w:rPr>
        <w:t>王老师021-38284490</w:t>
      </w:r>
    </w:p>
    <w:p w14:paraId="0248245C">
      <w:pPr>
        <w:rPr>
          <w:rFonts w:hint="eastAsia" w:ascii="方正兰亭黑简体" w:hAnsi="方正兰亭黑简体" w:eastAsia="方正兰亭黑简体" w:cs="方正兰亭黑简体"/>
          <w:b/>
          <w:bCs/>
          <w:color w:val="auto"/>
          <w:sz w:val="24"/>
          <w:szCs w:val="32"/>
          <w:highlight w:val="none"/>
        </w:rPr>
      </w:pPr>
      <w:r>
        <w:rPr>
          <w:rFonts w:hint="eastAsia" w:ascii="方正兰亭黑简体" w:hAnsi="方正兰亭黑简体" w:eastAsia="方正兰亭黑简体" w:cs="方正兰亭黑简体"/>
          <w:b/>
          <w:bCs/>
          <w:color w:val="auto"/>
          <w:sz w:val="24"/>
          <w:szCs w:val="32"/>
          <w:highlight w:val="none"/>
        </w:rPr>
        <w:br w:type="page"/>
      </w:r>
    </w:p>
    <w:p w14:paraId="24A7818A">
      <w:pPr>
        <w:jc w:val="center"/>
        <w:rPr>
          <w:rFonts w:hint="eastAsia" w:ascii="方正兰亭黑简体" w:hAnsi="方正兰亭黑简体" w:eastAsia="方正兰亭黑简体" w:cs="方正兰亭黑简体"/>
          <w:b/>
          <w:bCs/>
          <w:color w:val="auto"/>
          <w:sz w:val="24"/>
          <w:szCs w:val="32"/>
          <w:highlight w:val="none"/>
        </w:rPr>
      </w:pPr>
      <w:r>
        <w:rPr>
          <w:rFonts w:hint="eastAsia" w:ascii="方正兰亭黑简体" w:hAnsi="方正兰亭黑简体" w:eastAsia="方正兰亭黑简体" w:cs="方正兰亭黑简体"/>
          <w:b/>
          <w:bCs/>
          <w:color w:val="auto"/>
          <w:sz w:val="24"/>
          <w:szCs w:val="32"/>
          <w:highlight w:val="none"/>
        </w:rPr>
        <w:t>第二章采购需求</w:t>
      </w:r>
    </w:p>
    <w:p w14:paraId="39E2A589">
      <w:pPr>
        <w:spacing w:line="360" w:lineRule="auto"/>
        <w:rPr>
          <w:rFonts w:hint="default" w:ascii="Times New Roman" w:hAnsi="Times New Roman" w:eastAsia="方正兰亭黑简体" w:cs="Times New Roman"/>
          <w:b/>
          <w:bCs/>
          <w:color w:val="auto"/>
          <w:sz w:val="22"/>
          <w:szCs w:val="22"/>
          <w:highlight w:val="none"/>
          <w:lang w:val="en-US" w:eastAsia="zh-CN"/>
        </w:rPr>
      </w:pPr>
      <w:r>
        <w:rPr>
          <w:rFonts w:hint="eastAsia" w:ascii="Times New Roman" w:hAnsi="Times New Roman" w:eastAsia="方正兰亭黑简体" w:cs="Times New Roman"/>
          <w:b/>
          <w:bCs/>
          <w:color w:val="auto"/>
          <w:sz w:val="22"/>
          <w:szCs w:val="22"/>
          <w:highlight w:val="none"/>
          <w:lang w:val="en-US" w:eastAsia="zh-CN"/>
        </w:rPr>
        <w:t>一</w:t>
      </w:r>
      <w:r>
        <w:rPr>
          <w:rFonts w:ascii="Times New Roman" w:hAnsi="Times New Roman" w:eastAsia="方正兰亭黑简体" w:cs="Times New Roman"/>
          <w:b/>
          <w:bCs/>
          <w:color w:val="auto"/>
          <w:sz w:val="22"/>
          <w:szCs w:val="22"/>
          <w:highlight w:val="none"/>
        </w:rPr>
        <w:t>、</w:t>
      </w:r>
      <w:r>
        <w:rPr>
          <w:rFonts w:hint="eastAsia" w:ascii="Times New Roman" w:hAnsi="Times New Roman" w:eastAsia="方正兰亭黑简体" w:cs="Times New Roman"/>
          <w:b/>
          <w:bCs/>
          <w:color w:val="auto"/>
          <w:sz w:val="22"/>
          <w:szCs w:val="22"/>
          <w:highlight w:val="none"/>
          <w:lang w:val="en-US" w:eastAsia="zh-CN"/>
        </w:rPr>
        <w:t>项目概况</w:t>
      </w:r>
    </w:p>
    <w:p w14:paraId="437E54F1">
      <w:pPr>
        <w:spacing w:line="360" w:lineRule="auto"/>
        <w:ind w:firstLine="440" w:firstLineChars="200"/>
        <w:jc w:val="left"/>
        <w:rPr>
          <w:rFonts w:hint="default" w:ascii="Times New Roman" w:hAnsi="Times New Roman" w:eastAsia="方正兰亭黑简体" w:cs="Times New Roman"/>
          <w:color w:val="auto"/>
          <w:sz w:val="22"/>
          <w:szCs w:val="22"/>
          <w:highlight w:val="none"/>
          <w:lang w:eastAsia="zh-CN"/>
        </w:rPr>
      </w:pPr>
      <w:r>
        <w:rPr>
          <w:rFonts w:hint="default" w:ascii="Times New Roman" w:hAnsi="Times New Roman" w:eastAsia="方正兰亭黑简体" w:cs="Times New Roman"/>
          <w:color w:val="auto"/>
          <w:sz w:val="22"/>
          <w:szCs w:val="22"/>
          <w:highlight w:val="none"/>
        </w:rPr>
        <w:t>本项目旨在为学校现有VMware虚拟化基础设施及相关基础支撑系统提供专业、持续的技术</w:t>
      </w:r>
      <w:r>
        <w:rPr>
          <w:rFonts w:hint="default" w:ascii="Times New Roman" w:hAnsi="Times New Roman" w:eastAsia="方正兰亭黑简体" w:cs="Times New Roman"/>
          <w:color w:val="auto"/>
          <w:sz w:val="22"/>
          <w:szCs w:val="22"/>
          <w:highlight w:val="none"/>
          <w:lang w:val="en-US" w:eastAsia="zh-CN"/>
        </w:rPr>
        <w:t>维护</w:t>
      </w:r>
      <w:r>
        <w:rPr>
          <w:rFonts w:hint="default" w:ascii="Times New Roman" w:hAnsi="Times New Roman" w:eastAsia="方正兰亭黑简体" w:cs="Times New Roman"/>
          <w:color w:val="auto"/>
          <w:sz w:val="22"/>
          <w:szCs w:val="22"/>
          <w:highlight w:val="none"/>
        </w:rPr>
        <w:t>服务，保障教学及业务系统底层运行环境的安全、稳定和高效。维护范围主要包括vCenterServer6.5/7.0、PlatformServicesController（PSC）、NSXforvSphere、NSX-T网络虚拟化平台、ESXi主机，以及ActiveDirectory域控制器和NTP</w:t>
      </w:r>
      <w:r>
        <w:rPr>
          <w:rFonts w:hint="default" w:ascii="Times New Roman" w:hAnsi="Times New Roman" w:eastAsia="方正兰亭黑简体" w:cs="Times New Roman"/>
          <w:color w:val="auto"/>
          <w:sz w:val="22"/>
          <w:szCs w:val="22"/>
          <w:highlight w:val="none"/>
          <w:lang w:val="en-US" w:eastAsia="zh-CN"/>
        </w:rPr>
        <w:t>服务器等。</w:t>
      </w:r>
    </w:p>
    <w:p w14:paraId="6D46828C">
      <w:pPr>
        <w:widowControl/>
        <w:shd w:val="clear" w:color="auto" w:fill="FFFFFF"/>
        <w:spacing w:line="360" w:lineRule="auto"/>
        <w:ind w:left="0" w:leftChars="0" w:firstLine="0" w:firstLineChars="0"/>
        <w:jc w:val="left"/>
        <w:rPr>
          <w:rFonts w:hint="eastAsia" w:ascii="Times New Roman" w:hAnsi="Times New Roman" w:eastAsia="方正兰亭黑简体" w:cs="Times New Roman"/>
          <w:b/>
          <w:bCs/>
          <w:color w:val="auto"/>
          <w:sz w:val="22"/>
          <w:szCs w:val="22"/>
          <w:highlight w:val="none"/>
          <w:lang w:val="en-US" w:eastAsia="zh-CN"/>
        </w:rPr>
      </w:pPr>
    </w:p>
    <w:p w14:paraId="2564B485">
      <w:pPr>
        <w:widowControl/>
        <w:numPr>
          <w:ilvl w:val="0"/>
          <w:numId w:val="0"/>
        </w:numPr>
        <w:shd w:val="clear" w:color="auto" w:fill="FFFFFF"/>
        <w:spacing w:line="360" w:lineRule="auto"/>
        <w:ind w:left="0" w:leftChars="0" w:firstLine="0" w:firstLineChars="0"/>
        <w:jc w:val="left"/>
        <w:rPr>
          <w:rFonts w:hint="default" w:ascii="Times New Roman" w:hAnsi="Times New Roman" w:eastAsia="方正兰亭黑简体" w:cs="Times New Roman"/>
          <w:b/>
          <w:bCs/>
          <w:color w:val="auto"/>
          <w:sz w:val="22"/>
          <w:szCs w:val="22"/>
          <w:highlight w:val="none"/>
          <w:lang w:val="en-US" w:eastAsia="zh-CN"/>
        </w:rPr>
      </w:pPr>
      <w:r>
        <w:rPr>
          <w:rFonts w:hint="eastAsia" w:ascii="Times New Roman" w:hAnsi="Times New Roman" w:eastAsia="方正兰亭黑简体" w:cs="Times New Roman"/>
          <w:b/>
          <w:bCs/>
          <w:color w:val="auto"/>
          <w:kern w:val="2"/>
          <w:sz w:val="22"/>
          <w:szCs w:val="22"/>
          <w:highlight w:val="none"/>
          <w:lang w:val="en-US" w:eastAsia="zh-CN" w:bidi="ar-SA"/>
        </w:rPr>
        <w:t>二、服务说明</w:t>
      </w:r>
    </w:p>
    <w:tbl>
      <w:tblPr>
        <w:tblStyle w:val="14"/>
        <w:tblpPr w:leftFromText="180" w:rightFromText="180" w:vertAnchor="text" w:horzAnchor="page" w:tblpXSpec="center" w:tblpY="223"/>
        <w:tblOverlap w:val="never"/>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53"/>
        <w:gridCol w:w="1321"/>
        <w:gridCol w:w="825"/>
        <w:gridCol w:w="7159"/>
      </w:tblGrid>
      <w:tr w14:paraId="29762B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28" w:type="pct"/>
            <w:vAlign w:val="center"/>
          </w:tcPr>
          <w:p w14:paraId="42D57046">
            <w:pPr>
              <w:spacing w:line="360" w:lineRule="auto"/>
              <w:jc w:val="center"/>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序号</w:t>
            </w:r>
          </w:p>
        </w:tc>
        <w:tc>
          <w:tcPr>
            <w:tcW w:w="663" w:type="pct"/>
            <w:vAlign w:val="center"/>
          </w:tcPr>
          <w:p w14:paraId="00C6BB4B">
            <w:pPr>
              <w:widowControl/>
              <w:spacing w:line="360" w:lineRule="auto"/>
              <w:jc w:val="center"/>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名称</w:t>
            </w:r>
          </w:p>
        </w:tc>
        <w:tc>
          <w:tcPr>
            <w:tcW w:w="414" w:type="pct"/>
            <w:vAlign w:val="center"/>
          </w:tcPr>
          <w:p w14:paraId="18255020">
            <w:pPr>
              <w:widowControl/>
              <w:spacing w:line="360" w:lineRule="auto"/>
              <w:jc w:val="center"/>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服务期限</w:t>
            </w:r>
          </w:p>
        </w:tc>
        <w:tc>
          <w:tcPr>
            <w:tcW w:w="3593" w:type="pct"/>
            <w:vAlign w:val="center"/>
          </w:tcPr>
          <w:p w14:paraId="3D44F65C">
            <w:pPr>
              <w:widowControl/>
              <w:spacing w:line="360" w:lineRule="auto"/>
              <w:jc w:val="center"/>
              <w:rPr>
                <w:rFonts w:hint="default" w:ascii="Times New Roman" w:hAnsi="Times New Roman" w:eastAsia="方正兰亭黑简体" w:cs="Times New Roman"/>
                <w:b/>
                <w:bCs/>
                <w:color w:val="auto"/>
                <w:sz w:val="22"/>
                <w:szCs w:val="22"/>
                <w:highlight w:val="none"/>
              </w:rPr>
            </w:pPr>
            <w:r>
              <w:rPr>
                <w:rFonts w:hint="default" w:ascii="Times New Roman" w:hAnsi="Times New Roman" w:eastAsia="方正兰亭黑简体" w:cs="Times New Roman"/>
                <w:b/>
                <w:bCs/>
                <w:color w:val="auto"/>
                <w:sz w:val="22"/>
                <w:szCs w:val="22"/>
                <w:highlight w:val="none"/>
              </w:rPr>
              <w:t>服务说明</w:t>
            </w:r>
          </w:p>
        </w:tc>
      </w:tr>
      <w:tr w14:paraId="56211B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28" w:type="pct"/>
            <w:vAlign w:val="center"/>
          </w:tcPr>
          <w:p w14:paraId="262F0133">
            <w:pPr>
              <w:spacing w:line="360" w:lineRule="auto"/>
              <w:jc w:val="center"/>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1</w:t>
            </w:r>
          </w:p>
        </w:tc>
        <w:tc>
          <w:tcPr>
            <w:tcW w:w="663" w:type="pct"/>
            <w:vAlign w:val="center"/>
          </w:tcPr>
          <w:p w14:paraId="3A979B26">
            <w:pPr>
              <w:widowControl/>
              <w:spacing w:line="360" w:lineRule="auto"/>
              <w:jc w:val="center"/>
              <w:rPr>
                <w:rFonts w:hint="default" w:ascii="Times New Roman" w:hAnsi="Times New Roman" w:eastAsia="方正兰亭黑简体" w:cs="Times New Roman"/>
                <w:color w:val="auto"/>
                <w:sz w:val="22"/>
                <w:szCs w:val="22"/>
                <w:highlight w:val="none"/>
                <w:lang w:val="en-US" w:eastAsia="zh-CN"/>
              </w:rPr>
            </w:pPr>
            <w:r>
              <w:rPr>
                <w:rFonts w:hint="default" w:ascii="Times New Roman" w:hAnsi="Times New Roman" w:eastAsia="方正兰亭黑简体" w:cs="Times New Roman"/>
                <w:color w:val="auto"/>
                <w:sz w:val="22"/>
                <w:szCs w:val="22"/>
                <w:highlight w:val="none"/>
              </w:rPr>
              <w:t>虚拟化平台</w:t>
            </w:r>
            <w:r>
              <w:rPr>
                <w:rFonts w:hint="default" w:ascii="Times New Roman" w:hAnsi="Times New Roman" w:eastAsia="方正兰亭黑简体" w:cs="Times New Roman"/>
                <w:color w:val="auto"/>
                <w:sz w:val="22"/>
                <w:szCs w:val="22"/>
                <w:highlight w:val="none"/>
                <w:lang w:val="en-US" w:eastAsia="zh-CN"/>
              </w:rPr>
              <w:t>技术服务</w:t>
            </w:r>
          </w:p>
        </w:tc>
        <w:tc>
          <w:tcPr>
            <w:tcW w:w="414" w:type="pct"/>
            <w:vAlign w:val="center"/>
          </w:tcPr>
          <w:p w14:paraId="78185593">
            <w:pPr>
              <w:widowControl/>
              <w:spacing w:line="360" w:lineRule="auto"/>
              <w:jc w:val="center"/>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1年</w:t>
            </w:r>
          </w:p>
        </w:tc>
        <w:tc>
          <w:tcPr>
            <w:tcW w:w="3593" w:type="pct"/>
          </w:tcPr>
          <w:p w14:paraId="4CA9DF89">
            <w:pPr>
              <w:widowControl/>
              <w:spacing w:line="360" w:lineRule="auto"/>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vCenterServer与PSC维护事项（vCenter6.5及PSC维护、vCenter7.0维护）、NSX网络虚拟化维护事项（NSXforvSphere6.x维护、NSX-T维护）</w:t>
            </w:r>
          </w:p>
          <w:p w14:paraId="13659CEB">
            <w:pPr>
              <w:widowControl/>
              <w:spacing w:line="360" w:lineRule="auto"/>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ESXi主机集群维护事项（系统运行与资源监控、配置与合规性管理）、基础支撑服务维护事项（ActiveDirectory(AD)域控维护、NTP时间同步服务维护）。</w:t>
            </w:r>
          </w:p>
        </w:tc>
      </w:tr>
      <w:tr w14:paraId="2B5F13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28" w:type="pct"/>
            <w:vAlign w:val="center"/>
          </w:tcPr>
          <w:p w14:paraId="5812CFAA">
            <w:pPr>
              <w:spacing w:line="360" w:lineRule="auto"/>
              <w:jc w:val="center"/>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2</w:t>
            </w:r>
          </w:p>
        </w:tc>
        <w:tc>
          <w:tcPr>
            <w:tcW w:w="663" w:type="pct"/>
            <w:vAlign w:val="center"/>
          </w:tcPr>
          <w:p w14:paraId="1CD00C82">
            <w:pPr>
              <w:widowControl/>
              <w:spacing w:line="360" w:lineRule="auto"/>
              <w:jc w:val="center"/>
              <w:rPr>
                <w:rFonts w:hint="default" w:ascii="Times New Roman" w:hAnsi="Times New Roman" w:eastAsia="方正兰亭黑简体" w:cs="Times New Roman"/>
                <w:color w:val="auto"/>
                <w:sz w:val="22"/>
                <w:szCs w:val="22"/>
                <w:highlight w:val="none"/>
                <w:lang w:val="en-US" w:eastAsia="zh-CN"/>
              </w:rPr>
            </w:pPr>
            <w:r>
              <w:rPr>
                <w:rFonts w:hint="default" w:ascii="Times New Roman" w:hAnsi="Times New Roman" w:eastAsia="方正兰亭黑简体" w:cs="Times New Roman"/>
                <w:color w:val="auto"/>
                <w:sz w:val="22"/>
                <w:szCs w:val="22"/>
                <w:highlight w:val="none"/>
              </w:rPr>
              <w:t>k8s平台</w:t>
            </w:r>
            <w:r>
              <w:rPr>
                <w:rFonts w:hint="default" w:ascii="Times New Roman" w:hAnsi="Times New Roman" w:eastAsia="方正兰亭黑简体" w:cs="Times New Roman"/>
                <w:color w:val="auto"/>
                <w:sz w:val="22"/>
                <w:szCs w:val="22"/>
                <w:highlight w:val="none"/>
                <w:lang w:val="en-US" w:eastAsia="zh-CN"/>
              </w:rPr>
              <w:t>技术服务</w:t>
            </w:r>
          </w:p>
        </w:tc>
        <w:tc>
          <w:tcPr>
            <w:tcW w:w="414" w:type="pct"/>
            <w:vAlign w:val="center"/>
          </w:tcPr>
          <w:p w14:paraId="04AA2B73">
            <w:pPr>
              <w:widowControl/>
              <w:spacing w:line="360" w:lineRule="auto"/>
              <w:jc w:val="center"/>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1年</w:t>
            </w:r>
          </w:p>
        </w:tc>
        <w:tc>
          <w:tcPr>
            <w:tcW w:w="3593" w:type="pct"/>
          </w:tcPr>
          <w:p w14:paraId="10A6215C">
            <w:pPr>
              <w:widowControl/>
              <w:spacing w:line="360" w:lineRule="auto"/>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K8s集群共有5个节点、另外包括校内镜像服务器（系统镜像、软件镜像、开源镜像源）、代码服务器（代码仓库、Git/SVN服务、项目版本管理、权限管控），</w:t>
            </w:r>
            <w:r>
              <w:rPr>
                <w:rFonts w:hint="default" w:ascii="Times New Roman" w:hAnsi="Times New Roman" w:eastAsia="方正兰亭黑简体" w:cs="Times New Roman"/>
                <w:color w:val="auto"/>
                <w:sz w:val="22"/>
                <w:szCs w:val="22"/>
                <w:highlight w:val="none"/>
                <w:lang w:eastAsia="zh-CN"/>
              </w:rPr>
              <w:t>技术服务</w:t>
            </w:r>
            <w:r>
              <w:rPr>
                <w:rFonts w:hint="default" w:ascii="Times New Roman" w:hAnsi="Times New Roman" w:eastAsia="方正兰亭黑简体" w:cs="Times New Roman"/>
                <w:color w:val="auto"/>
                <w:sz w:val="22"/>
                <w:szCs w:val="22"/>
                <w:highlight w:val="none"/>
              </w:rPr>
              <w:t>内容如下：</w:t>
            </w:r>
          </w:p>
          <w:p w14:paraId="3F4C2A01">
            <w:pPr>
              <w:widowControl/>
              <w:spacing w:line="360" w:lineRule="auto"/>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lang w:val="en-US" w:eastAsia="zh-CN"/>
              </w:rPr>
              <w:t>周期性深度巡检</w:t>
            </w:r>
            <w:r>
              <w:rPr>
                <w:rFonts w:hint="default" w:ascii="Times New Roman" w:hAnsi="Times New Roman" w:eastAsia="方正兰亭黑简体" w:cs="Times New Roman"/>
                <w:color w:val="auto"/>
                <w:sz w:val="22"/>
                <w:szCs w:val="22"/>
                <w:highlight w:val="none"/>
              </w:rPr>
              <w:t>、集群管理与维护、网络维护、存储维护、镜像及镜像仓库维护、平台维护服务、监控、日志与告警、备份与恢复、安全维护、补丁、升级与性能优化、业务接入支持、故障响应与技术支持。</w:t>
            </w:r>
          </w:p>
        </w:tc>
      </w:tr>
      <w:tr w14:paraId="15BCB8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28" w:type="pct"/>
            <w:vAlign w:val="center"/>
          </w:tcPr>
          <w:p w14:paraId="1C03A261">
            <w:pPr>
              <w:spacing w:line="360" w:lineRule="auto"/>
              <w:jc w:val="center"/>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3</w:t>
            </w:r>
          </w:p>
        </w:tc>
        <w:tc>
          <w:tcPr>
            <w:tcW w:w="663" w:type="pct"/>
            <w:vAlign w:val="center"/>
          </w:tcPr>
          <w:p w14:paraId="52791DE8">
            <w:pPr>
              <w:widowControl/>
              <w:spacing w:line="360" w:lineRule="auto"/>
              <w:jc w:val="center"/>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Citrix云桌面平台技术服务</w:t>
            </w:r>
          </w:p>
        </w:tc>
        <w:tc>
          <w:tcPr>
            <w:tcW w:w="414" w:type="pct"/>
            <w:vAlign w:val="center"/>
          </w:tcPr>
          <w:p w14:paraId="0B7D2FBE">
            <w:pPr>
              <w:widowControl/>
              <w:spacing w:line="360" w:lineRule="auto"/>
              <w:jc w:val="center"/>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1年</w:t>
            </w:r>
          </w:p>
        </w:tc>
        <w:tc>
          <w:tcPr>
            <w:tcW w:w="3593" w:type="pct"/>
          </w:tcPr>
          <w:p w14:paraId="5C9D330F">
            <w:pPr>
              <w:widowControl/>
              <w:spacing w:line="360" w:lineRule="auto"/>
              <w:jc w:val="left"/>
              <w:rPr>
                <w:rFonts w:hint="default" w:ascii="Times New Roman" w:hAnsi="Times New Roman" w:eastAsia="方正兰亭黑简体" w:cs="Times New Roman"/>
                <w:color w:val="auto"/>
                <w:sz w:val="22"/>
                <w:szCs w:val="22"/>
                <w:highlight w:val="none"/>
              </w:rPr>
            </w:pPr>
            <w:r>
              <w:rPr>
                <w:rFonts w:hint="default" w:ascii="Times New Roman" w:hAnsi="Times New Roman" w:eastAsia="方正兰亭黑简体" w:cs="Times New Roman"/>
                <w:color w:val="auto"/>
                <w:sz w:val="22"/>
                <w:szCs w:val="22"/>
                <w:highlight w:val="none"/>
              </w:rPr>
              <w:t>提供Citrix云桌面管理平台、教学云桌面课表软件的维护服务、提供云桌面虚拟机的安装、测试及现场支持服务（协助师生安装课程模板，发布云桌面，并根据甲方测试需要，提供现场支持）、提供Citrix云桌面管理平台、教学云桌面课表软件的故障处理服务和技术支持服务（7*24小时电话和远程技术支持，对于紧急情况或未能通过远程解决的，应及时安排工程师上门维护解决）、提供Citrix云桌面管理平台、教学云桌面课表软件的日常巡检服务、提供上门维护支持：按需提供上门维护支持，包括但不限于校内重要活动，比赛竞赛等。</w:t>
            </w:r>
          </w:p>
        </w:tc>
      </w:tr>
    </w:tbl>
    <w:p w14:paraId="7E74A094">
      <w:pPr>
        <w:widowControl/>
        <w:numPr>
          <w:ilvl w:val="0"/>
          <w:numId w:val="0"/>
        </w:numPr>
        <w:shd w:val="clear" w:color="auto" w:fill="FFFFFF"/>
        <w:spacing w:line="480" w:lineRule="auto"/>
        <w:jc w:val="left"/>
        <w:rPr>
          <w:rFonts w:hint="default" w:ascii="Times New Roman" w:hAnsi="Times New Roman" w:eastAsia="方正兰亭黑简体" w:cs="Times New Roman"/>
          <w:b/>
          <w:bCs/>
          <w:color w:val="auto"/>
          <w:sz w:val="22"/>
          <w:szCs w:val="22"/>
          <w:highlight w:val="none"/>
          <w:lang w:val="en-US" w:eastAsia="zh-CN"/>
        </w:rPr>
      </w:pPr>
    </w:p>
    <w:p w14:paraId="79811CBE">
      <w:pPr>
        <w:widowControl/>
        <w:numPr>
          <w:ilvl w:val="0"/>
          <w:numId w:val="0"/>
        </w:numPr>
        <w:shd w:val="clear" w:color="auto" w:fill="FFFFFF"/>
        <w:spacing w:line="360" w:lineRule="auto"/>
        <w:ind w:left="0" w:leftChars="0" w:firstLine="0" w:firstLineChars="0"/>
        <w:jc w:val="left"/>
        <w:rPr>
          <w:rFonts w:hint="default" w:ascii="Times New Roman" w:hAnsi="Times New Roman" w:eastAsia="方正兰亭黑简体" w:cs="Times New Roman"/>
          <w:b/>
          <w:bCs/>
          <w:color w:val="auto"/>
          <w:kern w:val="2"/>
          <w:sz w:val="22"/>
          <w:szCs w:val="22"/>
          <w:highlight w:val="none"/>
          <w:lang w:val="en-US" w:eastAsia="zh-CN" w:bidi="ar-SA"/>
        </w:rPr>
      </w:pPr>
      <w:r>
        <w:rPr>
          <w:rFonts w:hint="default" w:ascii="Times New Roman" w:hAnsi="Times New Roman" w:eastAsia="方正兰亭黑简体" w:cs="Times New Roman"/>
          <w:b/>
          <w:bCs/>
          <w:color w:val="auto"/>
          <w:kern w:val="2"/>
          <w:sz w:val="22"/>
          <w:szCs w:val="22"/>
          <w:highlight w:val="none"/>
          <w:lang w:val="en-US" w:eastAsia="zh-CN" w:bidi="ar-SA"/>
        </w:rPr>
        <w:t>三、</w:t>
      </w:r>
      <w:r>
        <w:rPr>
          <w:rFonts w:hint="eastAsia" w:ascii="Times New Roman" w:hAnsi="Times New Roman" w:eastAsia="方正兰亭黑简体" w:cs="Times New Roman"/>
          <w:b/>
          <w:bCs/>
          <w:color w:val="auto"/>
          <w:kern w:val="2"/>
          <w:sz w:val="22"/>
          <w:szCs w:val="22"/>
          <w:highlight w:val="none"/>
          <w:lang w:val="en-US" w:eastAsia="zh-CN" w:bidi="ar-SA"/>
        </w:rPr>
        <w:t>服务内容与技术指标</w:t>
      </w:r>
    </w:p>
    <w:p w14:paraId="1FDAD565">
      <w:pPr>
        <w:ind w:firstLine="440" w:firstLineChars="200"/>
        <w:rPr>
          <w:rFonts w:hint="eastAsia" w:ascii="Times New Roman" w:hAnsi="Times New Roman" w:eastAsia="方正兰亭黑简体" w:cs="Times New Roman"/>
          <w:color w:val="auto"/>
          <w:sz w:val="22"/>
          <w:szCs w:val="22"/>
          <w:highlight w:val="none"/>
          <w:lang w:eastAsia="zh-CN"/>
        </w:rPr>
      </w:pPr>
      <w:r>
        <w:rPr>
          <w:rFonts w:hint="eastAsia" w:ascii="Times New Roman" w:hAnsi="Times New Roman" w:eastAsia="方正兰亭黑简体" w:cs="Times New Roman"/>
          <w:color w:val="auto"/>
          <w:sz w:val="22"/>
          <w:szCs w:val="22"/>
          <w:highlight w:val="none"/>
        </w:rPr>
        <w:t>平台</w:t>
      </w:r>
      <w:r>
        <w:rPr>
          <w:rFonts w:hint="eastAsia" w:ascii="Times New Roman" w:hAnsi="Times New Roman" w:eastAsia="方正兰亭黑简体" w:cs="Times New Roman"/>
          <w:color w:val="auto"/>
          <w:sz w:val="22"/>
          <w:szCs w:val="22"/>
          <w:highlight w:val="none"/>
          <w:lang w:val="en-US" w:eastAsia="zh-CN"/>
        </w:rPr>
        <w:t>深度</w:t>
      </w:r>
      <w:r>
        <w:rPr>
          <w:rFonts w:hint="eastAsia" w:ascii="Times New Roman" w:hAnsi="Times New Roman" w:eastAsia="方正兰亭黑简体" w:cs="Times New Roman"/>
          <w:color w:val="auto"/>
          <w:sz w:val="22"/>
          <w:szCs w:val="22"/>
          <w:highlight w:val="none"/>
        </w:rPr>
        <w:t>检与监控（定期检查vCenter、PSC、NSX、ESXi、AD域控及NTP服务运行状态，监控计算、存储和网络资源，提交巡检报告及整改建议）、vCenter及PSC维护（检查核心服务、数据库、SSO和日志状态，开展SSL及STS证书监控、续订和故障处理）、NSX网络维护（检查NSX节点、虚拟交换、路由、VTEP/TEP及分布式防火墙状态，处理网络中断、策略冲突和同步异常）、ESXi集群维护（监控ESXI主机的资源与硬件状态，检查HA、FT、vMotion、存储、多路径和网络连通性，处理主机及虚拟机故障）、AD及NTP维护（检查3台域控的复制、DNS、FSMO、账户权限和系统备份，保障各平台时间同步准确）、安全与升级（开展漏洞检查、安全加固、权限审计、补丁更新和版本升级；升级前制定备份及回退方案）、备份与应急支持（定期备份关键配置并开展恢复验证，提供7×24小时技术支持和重大故障应急处置）、文档交付（提供资产台账、巡检报告、故障记录、变更记录、升级报告、操作手册及应急预案）。</w:t>
      </w:r>
    </w:p>
    <w:p w14:paraId="356C3AF2">
      <w:pPr>
        <w:ind w:firstLine="440" w:firstLineChars="200"/>
        <w:rPr>
          <w:rFonts w:hint="eastAsia" w:ascii="Times New Roman" w:hAnsi="Times New Roman" w:eastAsia="方正兰亭黑简体" w:cs="Times New Roman"/>
          <w:color w:val="auto"/>
          <w:sz w:val="22"/>
          <w:szCs w:val="22"/>
          <w:highlight w:val="none"/>
          <w:lang w:eastAsia="zh-CN"/>
        </w:rPr>
      </w:pPr>
      <w:r>
        <w:rPr>
          <w:rFonts w:hint="eastAsia" w:ascii="Times New Roman" w:hAnsi="Times New Roman" w:eastAsia="方正兰亭黑简体" w:cs="Times New Roman"/>
          <w:color w:val="auto"/>
          <w:sz w:val="22"/>
          <w:szCs w:val="22"/>
          <w:highlight w:val="none"/>
        </w:rPr>
        <w:t>持续跟踪VMware、Microsoft及硬件厂商发布的漏洞、补丁和安全公告；对补丁进行必要性、兼容性、停机影响及回退风险评估；升级前核查vCenter、ESXi、NSX、备份软件、驱动和固件之间的兼容关系；制订升级方案、测试方案、业务保障方案和回退方案；采用滚动、分批方式实施，尽量减少业务中断；升级后验证HA、FT、vMotion、存储、虚拟网络、身份认证和时间同步功能；对已停止原厂支持或存在重大安全风险的版本，提供迁移和升级建议；未经甲方书面确认，不实施跨大版本升级。</w:t>
      </w:r>
    </w:p>
    <w:tbl>
      <w:tblPr>
        <w:tblStyle w:val="14"/>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008"/>
        <w:gridCol w:w="839"/>
        <w:gridCol w:w="6216"/>
        <w:gridCol w:w="1062"/>
      </w:tblGrid>
      <w:tr w14:paraId="0A5C16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418" w:type="pct"/>
            <w:vAlign w:val="center"/>
          </w:tcPr>
          <w:p w14:paraId="4D172C69">
            <w:pPr>
              <w:spacing w:line="360" w:lineRule="auto"/>
              <w:jc w:val="center"/>
              <w:rPr>
                <w:rFonts w:hint="default" w:ascii="Times New Roman" w:hAnsi="Times New Roman" w:eastAsia="方正兰亭黑简体" w:cs="Times New Roman"/>
                <w:b/>
                <w:color w:val="auto"/>
                <w:sz w:val="20"/>
                <w:szCs w:val="20"/>
                <w:highlight w:val="none"/>
              </w:rPr>
            </w:pPr>
            <w:r>
              <w:rPr>
                <w:rFonts w:hint="default" w:ascii="Times New Roman" w:hAnsi="Times New Roman" w:eastAsia="方正兰亭黑简体" w:cs="Times New Roman"/>
                <w:b/>
                <w:color w:val="auto"/>
                <w:sz w:val="20"/>
                <w:szCs w:val="20"/>
                <w:highlight w:val="none"/>
              </w:rPr>
              <w:t>序号</w:t>
            </w:r>
          </w:p>
        </w:tc>
        <w:tc>
          <w:tcPr>
            <w:tcW w:w="506" w:type="pct"/>
            <w:vAlign w:val="center"/>
          </w:tcPr>
          <w:p w14:paraId="4D4125BB">
            <w:pPr>
              <w:widowControl/>
              <w:spacing w:line="360" w:lineRule="auto"/>
              <w:jc w:val="center"/>
              <w:rPr>
                <w:rFonts w:hint="default" w:ascii="Times New Roman" w:hAnsi="Times New Roman" w:eastAsia="方正兰亭黑简体" w:cs="Times New Roman"/>
                <w:b/>
                <w:color w:val="auto"/>
                <w:sz w:val="20"/>
                <w:szCs w:val="20"/>
                <w:highlight w:val="none"/>
              </w:rPr>
            </w:pPr>
            <w:r>
              <w:rPr>
                <w:rFonts w:hint="default" w:ascii="Times New Roman" w:hAnsi="Times New Roman" w:eastAsia="方正兰亭黑简体" w:cs="Times New Roman"/>
                <w:b/>
                <w:color w:val="auto"/>
                <w:sz w:val="20"/>
                <w:szCs w:val="20"/>
                <w:highlight w:val="none"/>
              </w:rPr>
              <w:t>指标名称</w:t>
            </w:r>
          </w:p>
        </w:tc>
        <w:tc>
          <w:tcPr>
            <w:tcW w:w="421" w:type="pct"/>
            <w:vAlign w:val="center"/>
          </w:tcPr>
          <w:p w14:paraId="16E86100">
            <w:pPr>
              <w:widowControl/>
              <w:spacing w:line="360" w:lineRule="auto"/>
              <w:jc w:val="center"/>
              <w:rPr>
                <w:rFonts w:hint="default" w:ascii="Times New Roman" w:hAnsi="Times New Roman" w:eastAsia="方正兰亭黑简体" w:cs="Times New Roman"/>
                <w:b/>
                <w:color w:val="auto"/>
                <w:sz w:val="20"/>
                <w:szCs w:val="20"/>
                <w:highlight w:val="none"/>
              </w:rPr>
            </w:pPr>
            <w:r>
              <w:rPr>
                <w:rFonts w:hint="default" w:ascii="Times New Roman" w:hAnsi="Times New Roman" w:eastAsia="方正兰亭黑简体" w:cs="Times New Roman"/>
                <w:b/>
                <w:color w:val="auto"/>
                <w:sz w:val="20"/>
                <w:szCs w:val="20"/>
                <w:highlight w:val="none"/>
              </w:rPr>
              <w:t>是否核心指标</w:t>
            </w:r>
          </w:p>
        </w:tc>
        <w:tc>
          <w:tcPr>
            <w:tcW w:w="3120" w:type="pct"/>
            <w:vAlign w:val="center"/>
          </w:tcPr>
          <w:p w14:paraId="09E1FA1B">
            <w:pPr>
              <w:widowControl/>
              <w:spacing w:line="360" w:lineRule="auto"/>
              <w:jc w:val="center"/>
              <w:rPr>
                <w:rFonts w:hint="default" w:ascii="Times New Roman" w:hAnsi="Times New Roman" w:eastAsia="方正兰亭黑简体" w:cs="Times New Roman"/>
                <w:b/>
                <w:color w:val="auto"/>
                <w:sz w:val="20"/>
                <w:szCs w:val="20"/>
                <w:highlight w:val="none"/>
              </w:rPr>
            </w:pPr>
            <w:r>
              <w:rPr>
                <w:rFonts w:hint="default" w:ascii="Times New Roman" w:hAnsi="Times New Roman" w:eastAsia="方正兰亭黑简体" w:cs="Times New Roman"/>
                <w:b/>
                <w:color w:val="auto"/>
                <w:sz w:val="20"/>
                <w:szCs w:val="20"/>
                <w:highlight w:val="none"/>
              </w:rPr>
              <w:t>指标要求</w:t>
            </w:r>
          </w:p>
        </w:tc>
        <w:tc>
          <w:tcPr>
            <w:tcW w:w="533" w:type="pct"/>
            <w:vAlign w:val="center"/>
          </w:tcPr>
          <w:p w14:paraId="4C055152">
            <w:pPr>
              <w:widowControl/>
              <w:spacing w:line="360" w:lineRule="auto"/>
              <w:jc w:val="center"/>
              <w:rPr>
                <w:rFonts w:hint="default" w:ascii="Times New Roman" w:hAnsi="Times New Roman" w:eastAsia="方正兰亭黑简体" w:cs="Times New Roman"/>
                <w:b/>
                <w:color w:val="auto"/>
                <w:sz w:val="20"/>
                <w:szCs w:val="20"/>
                <w:highlight w:val="none"/>
              </w:rPr>
            </w:pPr>
            <w:r>
              <w:rPr>
                <w:rFonts w:hint="default" w:ascii="Times New Roman" w:hAnsi="Times New Roman" w:eastAsia="方正兰亭黑简体" w:cs="Times New Roman"/>
                <w:b/>
                <w:color w:val="auto"/>
                <w:sz w:val="20"/>
                <w:szCs w:val="20"/>
                <w:highlight w:val="none"/>
              </w:rPr>
              <w:t>是否需要</w:t>
            </w:r>
          </w:p>
          <w:p w14:paraId="0B11E6BB">
            <w:pPr>
              <w:widowControl/>
              <w:spacing w:line="360" w:lineRule="auto"/>
              <w:jc w:val="center"/>
              <w:rPr>
                <w:rFonts w:hint="default" w:ascii="Times New Roman" w:hAnsi="Times New Roman" w:eastAsia="方正兰亭黑简体" w:cs="Times New Roman"/>
                <w:b/>
                <w:color w:val="auto"/>
                <w:sz w:val="20"/>
                <w:szCs w:val="20"/>
                <w:highlight w:val="none"/>
              </w:rPr>
            </w:pPr>
            <w:r>
              <w:rPr>
                <w:rFonts w:hint="default" w:ascii="Times New Roman" w:hAnsi="Times New Roman" w:eastAsia="方正兰亭黑简体" w:cs="Times New Roman"/>
                <w:b/>
                <w:color w:val="auto"/>
                <w:sz w:val="20"/>
                <w:szCs w:val="20"/>
                <w:highlight w:val="none"/>
              </w:rPr>
              <w:t>证明材料</w:t>
            </w:r>
          </w:p>
        </w:tc>
      </w:tr>
      <w:tr w14:paraId="4CE69E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418" w:type="pct"/>
            <w:vAlign w:val="center"/>
          </w:tcPr>
          <w:p w14:paraId="2447FCA3">
            <w:pPr>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1</w:t>
            </w:r>
          </w:p>
        </w:tc>
        <w:tc>
          <w:tcPr>
            <w:tcW w:w="506" w:type="pct"/>
            <w:vAlign w:val="center"/>
          </w:tcPr>
          <w:p w14:paraId="20D166AB">
            <w:pPr>
              <w:widowControl/>
              <w:spacing w:line="360" w:lineRule="auto"/>
              <w:jc w:val="center"/>
              <w:rPr>
                <w:rFonts w:hint="default" w:ascii="Times New Roman" w:hAnsi="Times New Roman" w:eastAsia="方正兰亭黑简体" w:cs="Times New Roman"/>
                <w:color w:val="auto"/>
                <w:sz w:val="20"/>
                <w:szCs w:val="20"/>
                <w:highlight w:val="none"/>
                <w:lang w:val="en-US" w:eastAsia="zh-CN"/>
              </w:rPr>
            </w:pPr>
            <w:r>
              <w:rPr>
                <w:rFonts w:hint="default" w:ascii="Times New Roman" w:hAnsi="Times New Roman" w:eastAsia="方正兰亭黑简体" w:cs="Times New Roman"/>
                <w:color w:val="auto"/>
                <w:sz w:val="20"/>
                <w:szCs w:val="20"/>
                <w:highlight w:val="none"/>
              </w:rPr>
              <w:t>k8s平台</w:t>
            </w:r>
            <w:r>
              <w:rPr>
                <w:rFonts w:hint="default" w:ascii="Times New Roman" w:hAnsi="Times New Roman" w:eastAsia="方正兰亭黑简体" w:cs="Times New Roman"/>
                <w:color w:val="auto"/>
                <w:sz w:val="20"/>
                <w:szCs w:val="20"/>
                <w:highlight w:val="none"/>
                <w:lang w:val="en-US" w:eastAsia="zh-CN"/>
              </w:rPr>
              <w:t>技术服务</w:t>
            </w:r>
          </w:p>
        </w:tc>
        <w:tc>
          <w:tcPr>
            <w:tcW w:w="421" w:type="pct"/>
            <w:vAlign w:val="center"/>
          </w:tcPr>
          <w:p w14:paraId="15FEAAEE">
            <w:pPr>
              <w:widowControl/>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是</w:t>
            </w:r>
          </w:p>
        </w:tc>
        <w:tc>
          <w:tcPr>
            <w:tcW w:w="3120" w:type="pct"/>
          </w:tcPr>
          <w:p w14:paraId="1911096F">
            <w:pPr>
              <w:widowControl/>
              <w:spacing w:line="360" w:lineRule="auto"/>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K8s 集群共有5 个节点、另外包括校内镜像服务器（系统镜像、软件镜像、开源镜像源）、代码服务器（代码仓库、Git/SVN 服务、项目版本管理、权限管控），</w:t>
            </w:r>
            <w:r>
              <w:rPr>
                <w:rFonts w:hint="default" w:ascii="Times New Roman" w:hAnsi="Times New Roman" w:eastAsia="方正兰亭黑简体" w:cs="Times New Roman"/>
                <w:color w:val="auto"/>
                <w:sz w:val="20"/>
                <w:szCs w:val="20"/>
                <w:highlight w:val="none"/>
                <w:lang w:val="en-US" w:eastAsia="zh-CN"/>
              </w:rPr>
              <w:t>维护</w:t>
            </w:r>
            <w:r>
              <w:rPr>
                <w:rFonts w:hint="default" w:ascii="Times New Roman" w:hAnsi="Times New Roman" w:eastAsia="方正兰亭黑简体" w:cs="Times New Roman"/>
                <w:color w:val="auto"/>
                <w:sz w:val="20"/>
                <w:szCs w:val="20"/>
                <w:highlight w:val="none"/>
              </w:rPr>
              <w:t>内容如下：</w:t>
            </w:r>
          </w:p>
          <w:p w14:paraId="3DA3B181">
            <w:pPr>
              <w:pStyle w:val="22"/>
              <w:widowControl/>
              <w:numPr>
                <w:ilvl w:val="0"/>
                <w:numId w:val="1"/>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lang w:val="en-US" w:eastAsia="zh-CN"/>
              </w:rPr>
              <w:t>周期性深度巡检</w:t>
            </w:r>
          </w:p>
          <w:p w14:paraId="4BDD74F5">
            <w:pPr>
              <w:widowControl/>
              <w:spacing w:line="360" w:lineRule="auto"/>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每月至少开展1次远程或现场</w:t>
            </w:r>
            <w:r>
              <w:rPr>
                <w:rFonts w:hint="default" w:ascii="Times New Roman" w:hAnsi="Times New Roman" w:eastAsia="方正兰亭黑简体" w:cs="Times New Roman"/>
                <w:color w:val="auto"/>
                <w:sz w:val="20"/>
                <w:szCs w:val="20"/>
                <w:highlight w:val="none"/>
                <w:lang w:val="en-US" w:eastAsia="zh-CN"/>
              </w:rPr>
              <w:t>深度</w:t>
            </w:r>
            <w:r>
              <w:rPr>
                <w:rFonts w:hint="default" w:ascii="Times New Roman" w:hAnsi="Times New Roman" w:eastAsia="方正兰亭黑简体" w:cs="Times New Roman"/>
                <w:color w:val="auto"/>
                <w:sz w:val="20"/>
                <w:szCs w:val="20"/>
                <w:highlight w:val="none"/>
              </w:rPr>
              <w:t>巡检，主要包括：</w:t>
            </w:r>
          </w:p>
          <w:p w14:paraId="09DCC5B5">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检查5个集群节点的运行状态和可用性；</w:t>
            </w:r>
          </w:p>
          <w:p w14:paraId="7599570A">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检查CPU、内存、磁盘、网络等资源使用情况；</w:t>
            </w:r>
          </w:p>
          <w:p w14:paraId="16AD13DF">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检查Kubernetes控制平面及核心组件运行状态；</w:t>
            </w:r>
          </w:p>
          <w:p w14:paraId="08E00198">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检查Pod、Deployment、StatefulSet、DaemonSet等工作负载状态；</w:t>
            </w:r>
          </w:p>
          <w:p w14:paraId="14A9E4CF">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检查节点、Pod及系统组件的告警和异常日志；</w:t>
            </w:r>
          </w:p>
          <w:p w14:paraId="54BBA2B4">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提交巡检报告、隐患清单及整改建议。</w:t>
            </w:r>
          </w:p>
          <w:p w14:paraId="3D5DB480">
            <w:pPr>
              <w:pStyle w:val="22"/>
              <w:widowControl/>
              <w:numPr>
                <w:ilvl w:val="0"/>
                <w:numId w:val="1"/>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集群管理与维护</w:t>
            </w:r>
          </w:p>
          <w:p w14:paraId="4EE2558F">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负责节点加入、移除、隔离、排空及恢复；</w:t>
            </w:r>
          </w:p>
          <w:p w14:paraId="5BF93E97">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维护集群配置、命名空间、资源配额和限制策略；</w:t>
            </w:r>
          </w:p>
          <w:p w14:paraId="03E3196D">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维护调度策略、节点标签、污点与容忍配置；</w:t>
            </w:r>
          </w:p>
          <w:p w14:paraId="3A5313A9">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处理节点NotReady、Pod异常重启、调度失败等问题；</w:t>
            </w:r>
          </w:p>
          <w:p w14:paraId="2026028E">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维护集群常用插件，并根据业务需要安装或调整插件；</w:t>
            </w:r>
          </w:p>
          <w:p w14:paraId="6D3CB1FD">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定期检查集群证书有效期，提前完成续期；</w:t>
            </w:r>
          </w:p>
          <w:p w14:paraId="4C851DC9">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建立和持续更新集群资源及配置台账。</w:t>
            </w:r>
          </w:p>
          <w:p w14:paraId="29D490FF">
            <w:pPr>
              <w:pStyle w:val="22"/>
              <w:widowControl/>
              <w:numPr>
                <w:ilvl w:val="0"/>
                <w:numId w:val="1"/>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网络维护</w:t>
            </w:r>
          </w:p>
          <w:p w14:paraId="5ACB4C78">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维护Calico、Flannel等集群网络组件；</w:t>
            </w:r>
          </w:p>
          <w:p w14:paraId="44417C86">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检查Pod、Service及节点之间的网络连通性；</w:t>
            </w:r>
          </w:p>
          <w:p w14:paraId="1F52EDDC">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维护Service、Ingress、CoreDNS及负载均衡配置；</w:t>
            </w:r>
          </w:p>
          <w:p w14:paraId="4B7BC7D8">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排查域名解析失败、访问超时、端口不通和网络策略冲突；</w:t>
            </w:r>
          </w:p>
          <w:p w14:paraId="66AE88C7">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按需配置和优化NetworkPolicy等网络隔离策略；</w:t>
            </w:r>
          </w:p>
          <w:p w14:paraId="50C215EE">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配合维护K8s集群接入校园网络的相关配置。</w:t>
            </w:r>
          </w:p>
          <w:p w14:paraId="40D02AEB">
            <w:pPr>
              <w:pStyle w:val="22"/>
              <w:widowControl/>
              <w:numPr>
                <w:ilvl w:val="0"/>
                <w:numId w:val="1"/>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存储维护</w:t>
            </w:r>
          </w:p>
          <w:p w14:paraId="0D0B62F3">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检查StorageClass、PV、PVC的状态和容量；</w:t>
            </w:r>
          </w:p>
          <w:p w14:paraId="08DFB522">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维护NFS、Ceph或其他外部存储与集群的连接；</w:t>
            </w:r>
          </w:p>
          <w:p w14:paraId="09349D51">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排查存储挂载失败、卷不可用、容量不足及I/O性能异常；</w:t>
            </w:r>
          </w:p>
          <w:p w14:paraId="4283D63C">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检查有状态业务的数据持久化情况；</w:t>
            </w:r>
          </w:p>
          <w:p w14:paraId="2502B9BA">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制定存储容量预警和扩容建议。</w:t>
            </w:r>
          </w:p>
          <w:p w14:paraId="749BD4C8">
            <w:pPr>
              <w:pStyle w:val="22"/>
              <w:widowControl/>
              <w:numPr>
                <w:ilvl w:val="0"/>
                <w:numId w:val="1"/>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监控、日志与告警</w:t>
            </w:r>
          </w:p>
          <w:p w14:paraId="193EF00C">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维护集群监控、日志收集及告警组件；</w:t>
            </w:r>
          </w:p>
          <w:p w14:paraId="1E8BCBB6">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监控节点、容器、网络、存储及核心组件运行指标；</w:t>
            </w:r>
          </w:p>
          <w:p w14:paraId="7412C64D">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设置CPU、内存、磁盘、Pod异常等告警阈值；</w:t>
            </w:r>
          </w:p>
          <w:p w14:paraId="0F4E793A">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分析系统日志、审计日志和业务容器日志；</w:t>
            </w:r>
          </w:p>
          <w:p w14:paraId="508D6648">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处理告警漏报、误报及日志存储空间不足等问题；</w:t>
            </w:r>
          </w:p>
          <w:p w14:paraId="5B99CB8B">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根据监控数据提出容量和性能优化建议。</w:t>
            </w:r>
          </w:p>
          <w:p w14:paraId="36228936">
            <w:pPr>
              <w:pStyle w:val="22"/>
              <w:widowControl/>
              <w:numPr>
                <w:ilvl w:val="0"/>
                <w:numId w:val="1"/>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备份与恢复</w:t>
            </w:r>
          </w:p>
          <w:p w14:paraId="65F69DCE">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定期备份etcd数据、集群关键配置及业务资源清单；</w:t>
            </w:r>
          </w:p>
          <w:p w14:paraId="4110C2B9">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备份重要命名空间、Secret、ConfigMap和持久化数据；</w:t>
            </w:r>
          </w:p>
          <w:p w14:paraId="33E6212D">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检查备份任务的执行状态及备份文件完整性；</w:t>
            </w:r>
          </w:p>
          <w:p w14:paraId="1E938ED2">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完善集群故障、误删除及数据损坏的恢复流程。</w:t>
            </w:r>
          </w:p>
          <w:p w14:paraId="1DDACF1B">
            <w:pPr>
              <w:pStyle w:val="22"/>
              <w:widowControl/>
              <w:numPr>
                <w:ilvl w:val="0"/>
                <w:numId w:val="1"/>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安全维护</w:t>
            </w:r>
          </w:p>
          <w:p w14:paraId="6E47F6DA">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维护用户、角色及权限；</w:t>
            </w:r>
          </w:p>
          <w:p w14:paraId="59D6044D">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定期检查和清理无效账号、Token及高权限配置；</w:t>
            </w:r>
          </w:p>
          <w:p w14:paraId="026FE89A">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检查API Server访问控制和审计日志；</w:t>
            </w:r>
          </w:p>
          <w:p w14:paraId="1A3AFB45">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排查高危镜像、弱口令、敏感信息明文存储等问题；</w:t>
            </w:r>
          </w:p>
          <w:p w14:paraId="63C636B2">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根据学校要求实施安全加固和漏洞整改；</w:t>
            </w:r>
          </w:p>
          <w:p w14:paraId="462D3716">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配合完成网络安全检查、日志审计及应急处置。</w:t>
            </w:r>
          </w:p>
          <w:p w14:paraId="4FA71A76">
            <w:pPr>
              <w:pStyle w:val="22"/>
              <w:widowControl/>
              <w:numPr>
                <w:ilvl w:val="0"/>
                <w:numId w:val="1"/>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补丁、升级与性能优化</w:t>
            </w:r>
          </w:p>
          <w:p w14:paraId="58AF080B">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对Kubernetes版本、操作系统和集群组件进行升级评估；</w:t>
            </w:r>
          </w:p>
          <w:p w14:paraId="4DD46C68">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制订升级方案、回退方案及业务影响控制措施；</w:t>
            </w:r>
          </w:p>
          <w:p w14:paraId="694FA686">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在不影响正常教学和业务的时段实施补丁更新；</w:t>
            </w:r>
          </w:p>
          <w:p w14:paraId="2FB44D3B">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升级后检查节点、网络、存储及业务运行状态；</w:t>
            </w:r>
          </w:p>
          <w:p w14:paraId="33038F26">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分析资源瓶颈，优化资源请求与限制、调度及副本配置；</w:t>
            </w:r>
          </w:p>
          <w:p w14:paraId="2A977FEB">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根据业务增长情况提出节点、存储和网络扩容建议。</w:t>
            </w:r>
          </w:p>
          <w:p w14:paraId="11132F6B">
            <w:pPr>
              <w:pStyle w:val="22"/>
              <w:widowControl/>
              <w:numPr>
                <w:ilvl w:val="0"/>
                <w:numId w:val="1"/>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业务接入支持</w:t>
            </w:r>
          </w:p>
          <w:p w14:paraId="280ED591">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协助业务系统接入前的集群环境准备；</w:t>
            </w:r>
          </w:p>
          <w:p w14:paraId="5C23F045">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协助编制或检查业务部署配置文件；</w:t>
            </w:r>
          </w:p>
          <w:p w14:paraId="69C563AD">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配置命名空间、资源配额、访问入口及持久化存储；</w:t>
            </w:r>
          </w:p>
          <w:p w14:paraId="548DD12B">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支持业务发布、扩缩容、升级、回滚和迁移；</w:t>
            </w:r>
          </w:p>
          <w:p w14:paraId="5F9E38FC">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排查业务部署失败、容器启动异常及访问故障；</w:t>
            </w:r>
          </w:p>
          <w:p w14:paraId="53FCF7A2">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为业务系统提供必要的K8s技术指导。</w:t>
            </w:r>
          </w:p>
          <w:p w14:paraId="2AB4E4C2">
            <w:pPr>
              <w:pStyle w:val="22"/>
              <w:widowControl/>
              <w:numPr>
                <w:ilvl w:val="0"/>
                <w:numId w:val="1"/>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故障响应与技术支持</w:t>
            </w:r>
          </w:p>
          <w:p w14:paraId="78B8B752">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提供7×24小时电话及远程技术支持；</w:t>
            </w:r>
          </w:p>
          <w:p w14:paraId="615DC49D">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对集群不可用、控制平面异常等重大故障提供快速响应；</w:t>
            </w:r>
          </w:p>
          <w:p w14:paraId="654CB6BD">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对单节点故障、网络异常、存储异常等问题及时处理；</w:t>
            </w:r>
          </w:p>
          <w:p w14:paraId="4B0B6C97">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远程无法解决时，按约定安排工程师现场处置；</w:t>
            </w:r>
          </w:p>
          <w:p w14:paraId="1051C755">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重大故障处理后提交故障分析及复盘报告；</w:t>
            </w:r>
          </w:p>
          <w:p w14:paraId="2C58BFA1">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建立集群故障应急预案并定期更新。</w:t>
            </w:r>
          </w:p>
          <w:p w14:paraId="1A8E4083">
            <w:pPr>
              <w:pStyle w:val="22"/>
              <w:widowControl/>
              <w:numPr>
                <w:ilvl w:val="0"/>
                <w:numId w:val="1"/>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镜像及镜像仓库维护</w:t>
            </w:r>
          </w:p>
          <w:p w14:paraId="7F26B076">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维护集群与镜像仓库之间的访问和认证配置；</w:t>
            </w:r>
          </w:p>
          <w:p w14:paraId="3BDAC3A1">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检查镜像拉取、推送和存储状态；</w:t>
            </w:r>
          </w:p>
          <w:p w14:paraId="0CDBFD6F">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管理镜像备份、更新、清理及保留策略；</w:t>
            </w:r>
          </w:p>
          <w:p w14:paraId="381608FD">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清理节点上的无效镜像，合理释放磁盘空间；</w:t>
            </w:r>
          </w:p>
          <w:p w14:paraId="4F1408D7">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排查镜像拉取失败、版本错误及权限异常；</w:t>
            </w:r>
          </w:p>
          <w:p w14:paraId="709CC0C8">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配合开展镜像安全漏洞检查和风险处置。</w:t>
            </w:r>
          </w:p>
          <w:p w14:paraId="387E9C94">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备份与容灾维护</w:t>
            </w:r>
          </w:p>
          <w:p w14:paraId="5EB2A60D">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系统与服务更新维护</w:t>
            </w:r>
          </w:p>
          <w:p w14:paraId="48697176">
            <w:pPr>
              <w:pStyle w:val="22"/>
              <w:widowControl/>
              <w:spacing w:line="360" w:lineRule="auto"/>
              <w:ind w:left="880" w:firstLine="0"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配置匿名校内免登录访问策略，优化客户端镜像源配置模板，向各机房虚拟机批量下发镜像源配置。</w:t>
            </w:r>
          </w:p>
          <w:p w14:paraId="3412E0A5">
            <w:pPr>
              <w:pStyle w:val="22"/>
              <w:widowControl/>
              <w:numPr>
                <w:ilvl w:val="0"/>
                <w:numId w:val="1"/>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代码服务器平台维护</w:t>
            </w:r>
          </w:p>
          <w:p w14:paraId="61FE8203">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仓库基础</w:t>
            </w:r>
            <w:r>
              <w:rPr>
                <w:rFonts w:hint="default" w:ascii="Times New Roman" w:hAnsi="Times New Roman" w:eastAsia="方正兰亭黑简体" w:cs="Times New Roman"/>
                <w:color w:val="auto"/>
                <w:sz w:val="20"/>
                <w:szCs w:val="20"/>
                <w:highlight w:val="none"/>
                <w:lang w:val="en-US" w:eastAsia="zh-CN"/>
              </w:rPr>
              <w:t>维护</w:t>
            </w:r>
          </w:p>
          <w:p w14:paraId="242AD2D5">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账号与权限体系维护</w:t>
            </w:r>
          </w:p>
          <w:p w14:paraId="5F33FB21">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CI/CD 流水线维护</w:t>
            </w:r>
          </w:p>
          <w:p w14:paraId="2039B260">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数据备份与恢复维护</w:t>
            </w:r>
          </w:p>
          <w:p w14:paraId="047C7633">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系统安全维护</w:t>
            </w:r>
          </w:p>
          <w:p w14:paraId="10BD5E0C">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配套协同维护</w:t>
            </w:r>
          </w:p>
          <w:p w14:paraId="34A4A9AF">
            <w:pPr>
              <w:pStyle w:val="22"/>
              <w:widowControl/>
              <w:numPr>
                <w:ilvl w:val="1"/>
                <w:numId w:val="2"/>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服务器时间同步维护，对接校内 NTP 服务，保证日志、提交记录、同步任务时间统一；</w:t>
            </w:r>
          </w:p>
        </w:tc>
        <w:tc>
          <w:tcPr>
            <w:tcW w:w="533" w:type="pct"/>
            <w:vAlign w:val="center"/>
          </w:tcPr>
          <w:p w14:paraId="2D05E101">
            <w:pPr>
              <w:widowControl/>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否</w:t>
            </w:r>
          </w:p>
        </w:tc>
      </w:tr>
      <w:tr w14:paraId="3A2666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418" w:type="pct"/>
            <w:vAlign w:val="center"/>
          </w:tcPr>
          <w:p w14:paraId="20428B89">
            <w:pPr>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2</w:t>
            </w:r>
          </w:p>
        </w:tc>
        <w:tc>
          <w:tcPr>
            <w:tcW w:w="506" w:type="pct"/>
            <w:vAlign w:val="center"/>
          </w:tcPr>
          <w:p w14:paraId="4D212B59">
            <w:pPr>
              <w:widowControl/>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Citrix云桌面平台技术服务</w:t>
            </w:r>
          </w:p>
        </w:tc>
        <w:tc>
          <w:tcPr>
            <w:tcW w:w="421" w:type="pct"/>
            <w:vAlign w:val="center"/>
          </w:tcPr>
          <w:p w14:paraId="18A4845F">
            <w:pPr>
              <w:widowControl/>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是</w:t>
            </w:r>
          </w:p>
        </w:tc>
        <w:tc>
          <w:tcPr>
            <w:tcW w:w="3120" w:type="pct"/>
          </w:tcPr>
          <w:p w14:paraId="63BC3C5B">
            <w:pPr>
              <w:pStyle w:val="22"/>
              <w:widowControl/>
              <w:numPr>
                <w:ilvl w:val="0"/>
                <w:numId w:val="0"/>
              </w:numPr>
              <w:spacing w:line="360" w:lineRule="auto"/>
              <w:ind w:left="440" w:leftChars="0" w:hanging="440"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2"/>
                <w:sz w:val="18"/>
                <w:szCs w:val="18"/>
                <w:highlight w:val="none"/>
                <w:lang w:val="en-US" w:eastAsia="zh-CN" w:bidi="ar-SA"/>
              </w:rPr>
              <w:t>1.</w:t>
            </w:r>
            <w:r>
              <w:rPr>
                <w:rFonts w:hint="default" w:ascii="Times New Roman" w:hAnsi="Times New Roman" w:eastAsia="方正兰亭黑简体" w:cs="Times New Roman"/>
                <w:color w:val="auto"/>
                <w:sz w:val="20"/>
                <w:szCs w:val="20"/>
                <w:highlight w:val="none"/>
              </w:rPr>
              <w:t>提供Citrix云桌面管理平台、教学云桌面课表软件的维护服务。</w:t>
            </w:r>
          </w:p>
          <w:p w14:paraId="47646A17">
            <w:pPr>
              <w:pStyle w:val="22"/>
              <w:widowControl/>
              <w:numPr>
                <w:ilvl w:val="0"/>
                <w:numId w:val="0"/>
              </w:numPr>
              <w:spacing w:line="360" w:lineRule="auto"/>
              <w:ind w:left="440" w:leftChars="0" w:hanging="440"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2"/>
                <w:sz w:val="18"/>
                <w:szCs w:val="18"/>
                <w:highlight w:val="none"/>
                <w:lang w:val="en-US" w:eastAsia="zh-CN" w:bidi="ar-SA"/>
              </w:rPr>
              <w:t>2.</w:t>
            </w:r>
            <w:r>
              <w:rPr>
                <w:rFonts w:hint="default" w:ascii="Times New Roman" w:hAnsi="Times New Roman" w:eastAsia="方正兰亭黑简体" w:cs="Times New Roman"/>
                <w:color w:val="auto"/>
                <w:sz w:val="20"/>
                <w:szCs w:val="20"/>
                <w:highlight w:val="none"/>
              </w:rPr>
              <w:t>提供云桌面虚拟机的安装、测试及现场支持服务（协助师生安装课程模板，发布云桌面，并根据甲方测试需要，提供现场支持）。</w:t>
            </w:r>
          </w:p>
          <w:p w14:paraId="7246D7EF">
            <w:pPr>
              <w:pStyle w:val="22"/>
              <w:widowControl/>
              <w:numPr>
                <w:ilvl w:val="0"/>
                <w:numId w:val="0"/>
              </w:numPr>
              <w:spacing w:line="360" w:lineRule="auto"/>
              <w:ind w:left="440" w:leftChars="0" w:hanging="440"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2"/>
                <w:sz w:val="18"/>
                <w:szCs w:val="18"/>
                <w:highlight w:val="none"/>
                <w:lang w:val="en-US" w:eastAsia="zh-CN" w:bidi="ar-SA"/>
              </w:rPr>
              <w:t>3.</w:t>
            </w:r>
            <w:r>
              <w:rPr>
                <w:rFonts w:hint="default" w:ascii="Times New Roman" w:hAnsi="Times New Roman" w:eastAsia="方正兰亭黑简体" w:cs="Times New Roman"/>
                <w:color w:val="auto"/>
                <w:sz w:val="20"/>
                <w:szCs w:val="20"/>
                <w:highlight w:val="none"/>
              </w:rPr>
              <w:t>提供Citrix云桌面管理平台、教学云桌面课表软件的故障处理服务和技术支持服务（7*24小时电话和远程技术支持，对于紧急情况或未能通过远程解决的，应及时安排工程师上门维护解决）。</w:t>
            </w:r>
          </w:p>
          <w:p w14:paraId="22D6D507">
            <w:pPr>
              <w:pStyle w:val="22"/>
              <w:widowControl/>
              <w:numPr>
                <w:ilvl w:val="0"/>
                <w:numId w:val="0"/>
              </w:numPr>
              <w:spacing w:line="360" w:lineRule="auto"/>
              <w:ind w:left="440" w:leftChars="0" w:hanging="440"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kern w:val="2"/>
                <w:sz w:val="18"/>
                <w:szCs w:val="18"/>
                <w:highlight w:val="none"/>
                <w:lang w:val="en-US" w:eastAsia="zh-CN" w:bidi="ar-SA"/>
              </w:rPr>
              <w:t>4.</w:t>
            </w:r>
            <w:r>
              <w:rPr>
                <w:rFonts w:hint="default" w:ascii="Times New Roman" w:hAnsi="Times New Roman" w:eastAsia="方正兰亭黑简体" w:cs="Times New Roman"/>
                <w:color w:val="auto"/>
                <w:sz w:val="20"/>
                <w:szCs w:val="20"/>
                <w:highlight w:val="none"/>
              </w:rPr>
              <w:t>提供Citrix云桌面管理平台、教学云桌面课表软件的日常巡检服务。</w:t>
            </w:r>
          </w:p>
          <w:p w14:paraId="060F7019">
            <w:pPr>
              <w:widowControl/>
              <w:spacing w:line="360" w:lineRule="auto"/>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5. 提供上门维护支持：按需提供上门维护支持，包括但不限于校内重要活动，比赛竞赛等。</w:t>
            </w:r>
          </w:p>
        </w:tc>
        <w:tc>
          <w:tcPr>
            <w:tcW w:w="533" w:type="pct"/>
            <w:vAlign w:val="center"/>
          </w:tcPr>
          <w:p w14:paraId="0067E4EE">
            <w:pPr>
              <w:widowControl/>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否</w:t>
            </w:r>
          </w:p>
        </w:tc>
      </w:tr>
      <w:tr w14:paraId="634B64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418" w:type="pct"/>
            <w:vAlign w:val="center"/>
          </w:tcPr>
          <w:p w14:paraId="1F70F2B9">
            <w:pPr>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3</w:t>
            </w:r>
          </w:p>
        </w:tc>
        <w:tc>
          <w:tcPr>
            <w:tcW w:w="506" w:type="pct"/>
            <w:vAlign w:val="center"/>
          </w:tcPr>
          <w:p w14:paraId="697DC5AE">
            <w:pPr>
              <w:widowControl/>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虚拟化平台</w:t>
            </w:r>
            <w:r>
              <w:rPr>
                <w:rFonts w:hint="default" w:ascii="Times New Roman" w:hAnsi="Times New Roman" w:eastAsia="方正兰亭黑简体" w:cs="Times New Roman"/>
                <w:color w:val="auto"/>
                <w:sz w:val="20"/>
                <w:szCs w:val="20"/>
                <w:highlight w:val="none"/>
                <w:lang w:eastAsia="zh-CN"/>
              </w:rPr>
              <w:t>技术服务</w:t>
            </w:r>
            <w:r>
              <w:rPr>
                <w:rFonts w:hint="default" w:ascii="Times New Roman" w:hAnsi="Times New Roman" w:eastAsia="方正兰亭黑简体" w:cs="Times New Roman"/>
                <w:color w:val="auto"/>
                <w:sz w:val="20"/>
                <w:szCs w:val="20"/>
                <w:highlight w:val="none"/>
              </w:rPr>
              <w:t>及相关</w:t>
            </w:r>
          </w:p>
        </w:tc>
        <w:tc>
          <w:tcPr>
            <w:tcW w:w="421" w:type="pct"/>
            <w:vAlign w:val="center"/>
          </w:tcPr>
          <w:p w14:paraId="11134B17">
            <w:pPr>
              <w:widowControl/>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是</w:t>
            </w:r>
          </w:p>
        </w:tc>
        <w:tc>
          <w:tcPr>
            <w:tcW w:w="3120" w:type="pct"/>
          </w:tcPr>
          <w:p w14:paraId="5A9D0CEF">
            <w:pPr>
              <w:pStyle w:val="22"/>
              <w:widowControl/>
              <w:numPr>
                <w:ilvl w:val="0"/>
                <w:numId w:val="3"/>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vCenter Server 与 PSC 维护事项</w:t>
            </w:r>
          </w:p>
          <w:p w14:paraId="5606217D">
            <w:pPr>
              <w:pStyle w:val="22"/>
              <w:widowControl/>
              <w:numPr>
                <w:ilvl w:val="0"/>
                <w:numId w:val="4"/>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vCenter 6.5 及 PSC 维护</w:t>
            </w:r>
          </w:p>
          <w:p w14:paraId="443F8B22">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监控 PSC（Platform Services Controller）节点状态、 SSO 目录服务健康度。</w:t>
            </w:r>
          </w:p>
          <w:p w14:paraId="54C95F35">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定期检查 vCenter 6.5 数据库（VCDB）大小，并根据实际需要清理数据、执行数据库索引重建与表空间维护。</w:t>
            </w:r>
          </w:p>
          <w:p w14:paraId="4C565583">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 vCenter 6.5 各项核心服务（如 vpxd、vmdird）运行状态及日志报错。</w:t>
            </w:r>
          </w:p>
          <w:p w14:paraId="271B5397">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SSL证书监控与续订：定期检查计算机SSL证书、STS签名证书等的有效期，提前进行续订，避免因证书过期导致服务中断或修复困难</w:t>
            </w:r>
          </w:p>
          <w:p w14:paraId="5E6288E4">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日志审查：定期检查vCenter日志文件，分析系统性能表现和潜在的异常情况</w:t>
            </w:r>
          </w:p>
          <w:p w14:paraId="052A8626">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根据实际需求，进行系统漏洞与补丁更新升级，系统版本升级。</w:t>
            </w:r>
          </w:p>
          <w:p w14:paraId="4B6901D2">
            <w:pPr>
              <w:pStyle w:val="22"/>
              <w:widowControl/>
              <w:numPr>
                <w:ilvl w:val="0"/>
                <w:numId w:val="4"/>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vCenter 7.0 维护</w:t>
            </w:r>
          </w:p>
          <w:p w14:paraId="1677C0F7">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监控 vCenter 7.0 内置 PostgreSQL 数据库运行状态、存储空间及性能指标。</w:t>
            </w:r>
          </w:p>
          <w:p w14:paraId="0B3277E2">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 vCenter 7.0 各项核心服务（如 WCP ）运行状态及日志报错。</w:t>
            </w:r>
          </w:p>
          <w:p w14:paraId="2A2DDCC3">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 vCenter 7.0 生命周期管理（VAMI）界面状态及各项核心服务健康度。</w:t>
            </w:r>
          </w:p>
          <w:p w14:paraId="3C7AFF81">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根据实际需求，进行系统漏洞与补丁更新升级，系统版本升级。</w:t>
            </w:r>
          </w:p>
          <w:p w14:paraId="55A8C976">
            <w:pPr>
              <w:pStyle w:val="22"/>
              <w:widowControl/>
              <w:numPr>
                <w:ilvl w:val="0"/>
                <w:numId w:val="3"/>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NSX 网络虚拟化维护事项</w:t>
            </w:r>
          </w:p>
          <w:p w14:paraId="4745864A">
            <w:pPr>
              <w:pStyle w:val="22"/>
              <w:widowControl/>
              <w:numPr>
                <w:ilvl w:val="0"/>
                <w:numId w:val="6"/>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NSX for vSphere (6.x) 维护</w:t>
            </w:r>
          </w:p>
          <w:p w14:paraId="513D973A">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 NSX Manager 节点状态、系统资源利用率。</w:t>
            </w:r>
          </w:p>
          <w:p w14:paraId="42DF7DD0">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监控 NSX Controller 集群状态、VTEP 连通性及控制平面同步情况。</w:t>
            </w:r>
          </w:p>
          <w:p w14:paraId="12EA6411">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检查各 ESXi 主机上 NSX VIB 安装状态及逻辑交换机（VXLAN）通信状态。</w:t>
            </w:r>
          </w:p>
          <w:p w14:paraId="450D88F0">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排查分布式防火墙（DFW）规则冲突、发布状态及策略同步延迟。</w:t>
            </w:r>
          </w:p>
          <w:p w14:paraId="334B31D6">
            <w:pPr>
              <w:pStyle w:val="22"/>
              <w:widowControl/>
              <w:numPr>
                <w:ilvl w:val="0"/>
                <w:numId w:val="6"/>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NSX-T 维护</w:t>
            </w:r>
          </w:p>
          <w:p w14:paraId="66C39FA1">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监控 NSX-T Manager 集群状态、数据库同步及计算管理器（Compute Manager）连接状态。</w:t>
            </w:r>
          </w:p>
          <w:p w14:paraId="79CFC8DD">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 Transport Node 状态、TEP IP 连通性及 N-VDS/VDS 配置一致性。</w:t>
            </w:r>
          </w:p>
          <w:p w14:paraId="3359BD46">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验证 Edge 节点集群状态、BGP/OSPF 路由邻居关系及高可用性（HA）切换测试。</w:t>
            </w:r>
          </w:p>
          <w:p w14:paraId="14BEEAFE">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检查分布式防火墙（DFW）及安全组策略下发状态。</w:t>
            </w:r>
          </w:p>
          <w:p w14:paraId="7B49CD77">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执行 NSX-T 组件的安全补丁更新及版本升级评估。</w:t>
            </w:r>
          </w:p>
          <w:p w14:paraId="595C3B1A">
            <w:pPr>
              <w:pStyle w:val="22"/>
              <w:widowControl/>
              <w:numPr>
                <w:ilvl w:val="0"/>
                <w:numId w:val="3"/>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ESXi 主机集群维护事项</w:t>
            </w:r>
          </w:p>
          <w:p w14:paraId="42542B70">
            <w:pPr>
              <w:pStyle w:val="22"/>
              <w:widowControl/>
              <w:numPr>
                <w:ilvl w:val="0"/>
                <w:numId w:val="7"/>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系统运行与资源监控</w:t>
            </w:r>
          </w:p>
          <w:p w14:paraId="32133D1B">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监控 61 台 ESXi 主机的 CPU、内存、存储 I/O 及网络带宽利用率，识别性能瓶颈。</w:t>
            </w:r>
          </w:p>
          <w:p w14:paraId="271C1159">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检查主机硬件健康状态（PSU、风扇、磁盘、内存 ECC 错误等）及 IPMI/SDR 日志。</w:t>
            </w:r>
          </w:p>
          <w:p w14:paraId="7AD24351">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监控 vMotion、FT 及 HA 等高可用机制的运行状态与触发记录。</w:t>
            </w:r>
          </w:p>
          <w:p w14:paraId="6F6D7F45">
            <w:pPr>
              <w:pStyle w:val="22"/>
              <w:widowControl/>
              <w:numPr>
                <w:ilvl w:val="0"/>
                <w:numId w:val="7"/>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配置与合规性管理</w:t>
            </w:r>
          </w:p>
          <w:p w14:paraId="56B87C37">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检查并统一所有ESXI主机的系统配置基线（NTP 同步、DNS、Syslog、SSH 状态等）。</w:t>
            </w:r>
          </w:p>
          <w:p w14:paraId="7E823772">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评估并执行 ESXi 主机的安全补丁更新、驱动及固件升级。</w:t>
            </w:r>
          </w:p>
          <w:p w14:paraId="64961F13">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检查主机锁定模式（Lockdown Mode）及用户权限分配合规性。</w:t>
            </w:r>
          </w:p>
          <w:p w14:paraId="6E33161C">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检查存储与网络连通性。</w:t>
            </w:r>
          </w:p>
          <w:p w14:paraId="38E413D4">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故障排查与应急响应</w:t>
            </w:r>
          </w:p>
          <w:p w14:paraId="20D975F9">
            <w:pPr>
              <w:pStyle w:val="22"/>
              <w:widowControl/>
              <w:numPr>
                <w:ilvl w:val="0"/>
                <w:numId w:val="3"/>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基础支撑服务维护事项</w:t>
            </w:r>
          </w:p>
          <w:p w14:paraId="518F8FA6">
            <w:pPr>
              <w:pStyle w:val="22"/>
              <w:widowControl/>
              <w:numPr>
                <w:ilvl w:val="0"/>
                <w:numId w:val="8"/>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Active Directory (AD) 域控维护</w:t>
            </w:r>
          </w:p>
          <w:p w14:paraId="0B86A402">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监控 3 台 AD 域控服务器的复制状态（Replication）、SYSVOL 共享及 FSMO 角色健康度。</w:t>
            </w:r>
          </w:p>
          <w:p w14:paraId="474E85E4">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 AD 数据库（NTDS.DIT）大小、垃圾回收及全局编录（GC）响应时间。</w:t>
            </w:r>
          </w:p>
          <w:p w14:paraId="2A735944">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根据需要，审查并清理过期的计算机账户、用户账户及失效的组策略对象（GPO）。</w:t>
            </w:r>
          </w:p>
          <w:p w14:paraId="26344C96">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验证 AD 域控的系统状态备份（System State Backup）</w:t>
            </w:r>
          </w:p>
          <w:p w14:paraId="3F6AE9E3">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根据需要进行安全加固与权限审计。</w:t>
            </w:r>
          </w:p>
          <w:p w14:paraId="039B89AD">
            <w:pPr>
              <w:pStyle w:val="22"/>
              <w:widowControl/>
              <w:numPr>
                <w:ilvl w:val="0"/>
                <w:numId w:val="8"/>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NTP 时间同步服务维护</w:t>
            </w:r>
          </w:p>
          <w:p w14:paraId="00FD6E05">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监控 NTP 服务器的运行状态、系统资源及网络连通性。</w:t>
            </w:r>
          </w:p>
          <w:p w14:paraId="157263D3">
            <w:pPr>
              <w:pStyle w:val="22"/>
              <w:widowControl/>
              <w:numPr>
                <w:ilvl w:val="0"/>
                <w:numId w:val="5"/>
              </w:numPr>
              <w:spacing w:line="360" w:lineRule="auto"/>
              <w:ind w:firstLineChars="0"/>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检查 NTP 上游时间源（Stratum）同步状态及本地时钟偏移量（Offset）。</w:t>
            </w:r>
          </w:p>
          <w:p w14:paraId="111C3798">
            <w:pPr>
              <w:widowControl/>
              <w:spacing w:line="360" w:lineRule="auto"/>
              <w:jc w:val="left"/>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验证 vCenter、ESXi、NSX 及 AD 等所有受管组件与 NTP 服务器的时间同步精度。</w:t>
            </w:r>
          </w:p>
        </w:tc>
        <w:tc>
          <w:tcPr>
            <w:tcW w:w="533" w:type="pct"/>
            <w:vAlign w:val="center"/>
          </w:tcPr>
          <w:p w14:paraId="72E4528A">
            <w:pPr>
              <w:widowControl/>
              <w:spacing w:line="360" w:lineRule="auto"/>
              <w:jc w:val="center"/>
              <w:rPr>
                <w:rFonts w:hint="default" w:ascii="Times New Roman" w:hAnsi="Times New Roman" w:eastAsia="方正兰亭黑简体" w:cs="Times New Roman"/>
                <w:color w:val="auto"/>
                <w:sz w:val="20"/>
                <w:szCs w:val="20"/>
                <w:highlight w:val="none"/>
              </w:rPr>
            </w:pPr>
            <w:r>
              <w:rPr>
                <w:rFonts w:hint="default" w:ascii="Times New Roman" w:hAnsi="Times New Roman" w:eastAsia="方正兰亭黑简体" w:cs="Times New Roman"/>
                <w:color w:val="auto"/>
                <w:sz w:val="20"/>
                <w:szCs w:val="20"/>
                <w:highlight w:val="none"/>
              </w:rPr>
              <w:t>否</w:t>
            </w:r>
          </w:p>
        </w:tc>
      </w:tr>
    </w:tbl>
    <w:p w14:paraId="4560D9D7">
      <w:pPr>
        <w:spacing w:line="480" w:lineRule="auto"/>
        <w:ind w:left="0" w:leftChars="0" w:firstLine="0" w:firstLineChars="0"/>
        <w:rPr>
          <w:rFonts w:hint="default" w:ascii="Times New Roman" w:hAnsi="Times New Roman" w:eastAsia="方正兰亭黑简体" w:cs="Times New Roman"/>
          <w:color w:val="auto"/>
          <w:sz w:val="22"/>
          <w:szCs w:val="22"/>
          <w:highlight w:val="none"/>
          <w:lang w:val="en-US" w:eastAsia="zh-CN"/>
        </w:rPr>
      </w:pPr>
    </w:p>
    <w:p w14:paraId="6ED13731">
      <w:pPr>
        <w:spacing w:line="480" w:lineRule="auto"/>
        <w:rPr>
          <w:rFonts w:hint="default" w:ascii="Times New Roman" w:hAnsi="Times New Roman" w:eastAsia="方正兰亭黑简体" w:cs="Times New Roman"/>
          <w:b/>
          <w:bCs/>
          <w:color w:val="auto"/>
          <w:kern w:val="0"/>
          <w:sz w:val="22"/>
          <w:szCs w:val="22"/>
          <w:highlight w:val="none"/>
          <w:lang w:val="en-US" w:eastAsia="zh-CN"/>
        </w:rPr>
      </w:pPr>
      <w:r>
        <w:rPr>
          <w:rFonts w:hint="eastAsia" w:ascii="Times New Roman" w:hAnsi="Times New Roman" w:eastAsia="方正兰亭黑简体" w:cs="Times New Roman"/>
          <w:b/>
          <w:bCs/>
          <w:color w:val="auto"/>
          <w:sz w:val="22"/>
          <w:szCs w:val="22"/>
          <w:highlight w:val="none"/>
          <w:lang w:val="en-US" w:eastAsia="zh-CN"/>
        </w:rPr>
        <w:t>四、</w:t>
      </w:r>
      <w:r>
        <w:rPr>
          <w:rFonts w:hint="eastAsia" w:ascii="Times New Roman" w:hAnsi="Times New Roman" w:eastAsia="方正兰亭黑简体" w:cs="Times New Roman"/>
          <w:b/>
          <w:bCs/>
          <w:color w:val="auto"/>
          <w:kern w:val="0"/>
          <w:sz w:val="22"/>
          <w:szCs w:val="22"/>
          <w:highlight w:val="none"/>
          <w:lang w:val="en-US" w:eastAsia="zh-CN"/>
        </w:rPr>
        <w:t>其他要求</w:t>
      </w:r>
    </w:p>
    <w:p w14:paraId="1583E143">
      <w:pPr>
        <w:rPr>
          <w:rFonts w:hint="eastAsia" w:ascii="方正兰亭黑简体" w:hAnsi="方正兰亭黑简体" w:eastAsia="方正兰亭黑简体" w:cs="方正兰亭黑简体"/>
          <w:color w:val="auto"/>
          <w:sz w:val="22"/>
          <w:szCs w:val="28"/>
          <w:highlight w:val="none"/>
          <w:lang w:val="zh-CN"/>
        </w:rPr>
      </w:pPr>
      <w:r>
        <w:rPr>
          <w:rFonts w:hint="eastAsia" w:ascii="方正兰亭黑简体" w:hAnsi="方正兰亭黑简体" w:eastAsia="方正兰亭黑简体" w:cs="方正兰亭黑简体"/>
          <w:color w:val="auto"/>
          <w:sz w:val="22"/>
          <w:szCs w:val="28"/>
          <w:highlight w:val="none"/>
          <w:lang w:val="zh-CN"/>
        </w:rPr>
        <w:t>1.提供7×24小时远程技术支持</w:t>
      </w:r>
    </w:p>
    <w:p w14:paraId="0B3D57E0">
      <w:pPr>
        <w:rPr>
          <w:rFonts w:hint="eastAsia" w:ascii="方正兰亭黑简体" w:hAnsi="方正兰亭黑简体" w:eastAsia="方正兰亭黑简体" w:cs="方正兰亭黑简体"/>
          <w:color w:val="auto"/>
          <w:sz w:val="22"/>
          <w:szCs w:val="28"/>
          <w:highlight w:val="none"/>
          <w:lang w:val="zh-CN"/>
        </w:rPr>
      </w:pPr>
      <w:r>
        <w:rPr>
          <w:rFonts w:hint="eastAsia" w:ascii="方正兰亭黑简体" w:hAnsi="方正兰亭黑简体" w:eastAsia="方正兰亭黑简体" w:cs="方正兰亭黑简体"/>
          <w:color w:val="auto"/>
          <w:sz w:val="22"/>
          <w:szCs w:val="28"/>
          <w:highlight w:val="none"/>
          <w:lang w:val="zh-CN"/>
        </w:rPr>
        <w:t>全年无休受理平台各类故障、配置调试、报错排查；远程登录服务器查看同步日志、系统进程，快速处理服务卡死、同步中断、数据传输失败等问题。</w:t>
      </w:r>
    </w:p>
    <w:p w14:paraId="29E4B116">
      <w:pPr>
        <w:rPr>
          <w:rFonts w:hint="eastAsia" w:ascii="方正兰亭黑简体" w:hAnsi="方正兰亭黑简体" w:eastAsia="方正兰亭黑简体" w:cs="方正兰亭黑简体"/>
          <w:color w:val="auto"/>
          <w:sz w:val="22"/>
          <w:szCs w:val="28"/>
          <w:highlight w:val="none"/>
          <w:lang w:val="zh-CN"/>
        </w:rPr>
      </w:pPr>
      <w:r>
        <w:rPr>
          <w:rFonts w:hint="eastAsia" w:ascii="方正兰亭黑简体" w:hAnsi="方正兰亭黑简体" w:eastAsia="方正兰亭黑简体" w:cs="方正兰亭黑简体"/>
          <w:color w:val="auto"/>
          <w:sz w:val="22"/>
          <w:szCs w:val="28"/>
          <w:highlight w:val="none"/>
          <w:lang w:val="zh-CN"/>
        </w:rPr>
        <w:t>2.现场上门支持</w:t>
      </w:r>
    </w:p>
    <w:p w14:paraId="5F130C80">
      <w:pPr>
        <w:rPr>
          <w:rFonts w:hint="eastAsia" w:ascii="方正兰亭黑简体" w:hAnsi="方正兰亭黑简体" w:eastAsia="方正兰亭黑简体" w:cs="方正兰亭黑简体"/>
          <w:color w:val="auto"/>
          <w:sz w:val="22"/>
          <w:szCs w:val="28"/>
          <w:highlight w:val="none"/>
          <w:lang w:val="zh-CN"/>
        </w:rPr>
      </w:pPr>
      <w:r>
        <w:rPr>
          <w:rFonts w:hint="eastAsia" w:ascii="方正兰亭黑简体" w:hAnsi="方正兰亭黑简体" w:eastAsia="方正兰亭黑简体" w:cs="方正兰亭黑简体"/>
          <w:color w:val="auto"/>
          <w:sz w:val="22"/>
          <w:szCs w:val="28"/>
          <w:highlight w:val="none"/>
          <w:lang w:val="zh-CN"/>
        </w:rPr>
        <w:t>月度上门</w:t>
      </w:r>
      <w:r>
        <w:rPr>
          <w:rFonts w:hint="eastAsia" w:ascii="方正兰亭黑简体" w:hAnsi="方正兰亭黑简体" w:eastAsia="方正兰亭黑简体" w:cs="方正兰亭黑简体"/>
          <w:color w:val="auto"/>
          <w:sz w:val="22"/>
          <w:szCs w:val="28"/>
          <w:highlight w:val="none"/>
          <w:lang w:val="en-US" w:eastAsia="zh-CN"/>
        </w:rPr>
        <w:t>深度</w:t>
      </w:r>
      <w:r>
        <w:rPr>
          <w:rFonts w:hint="eastAsia" w:ascii="方正兰亭黑简体" w:hAnsi="方正兰亭黑简体" w:eastAsia="方正兰亭黑简体" w:cs="方正兰亭黑简体"/>
          <w:color w:val="auto"/>
          <w:sz w:val="22"/>
          <w:szCs w:val="28"/>
          <w:highlight w:val="none"/>
          <w:lang w:val="zh-CN"/>
        </w:rPr>
        <w:t>巡检：每月到场完成系统巡查、存储清理、安全隐患整改；</w:t>
      </w:r>
    </w:p>
    <w:p w14:paraId="6966AFDC">
      <w:pPr>
        <w:rPr>
          <w:rFonts w:hint="eastAsia" w:ascii="方正兰亭黑简体" w:hAnsi="方正兰亭黑简体" w:eastAsia="方正兰亭黑简体" w:cs="方正兰亭黑简体"/>
          <w:color w:val="auto"/>
          <w:sz w:val="22"/>
          <w:szCs w:val="28"/>
          <w:highlight w:val="none"/>
          <w:lang w:val="zh-CN"/>
        </w:rPr>
      </w:pPr>
      <w:r>
        <w:rPr>
          <w:rFonts w:hint="eastAsia" w:ascii="方正兰亭黑简体" w:hAnsi="方正兰亭黑简体" w:eastAsia="方正兰亭黑简体" w:cs="方正兰亭黑简体"/>
          <w:color w:val="auto"/>
          <w:sz w:val="22"/>
          <w:szCs w:val="28"/>
          <w:highlight w:val="none"/>
          <w:lang w:val="zh-CN"/>
        </w:rPr>
        <w:t>教学高峰期</w:t>
      </w:r>
      <w:r>
        <w:rPr>
          <w:rFonts w:hint="eastAsia" w:ascii="方正兰亭黑简体" w:hAnsi="方正兰亭黑简体" w:eastAsia="方正兰亭黑简体" w:cs="方正兰亭黑简体"/>
          <w:color w:val="auto"/>
          <w:sz w:val="22"/>
          <w:szCs w:val="28"/>
          <w:highlight w:val="none"/>
        </w:rPr>
        <w:t>根据需要</w:t>
      </w:r>
      <w:r>
        <w:rPr>
          <w:rFonts w:hint="eastAsia" w:ascii="方正兰亭黑简体" w:hAnsi="方正兰亭黑简体" w:eastAsia="方正兰亭黑简体" w:cs="方正兰亭黑简体"/>
          <w:color w:val="auto"/>
          <w:sz w:val="22"/>
          <w:szCs w:val="28"/>
          <w:highlight w:val="none"/>
          <w:lang w:val="zh-CN"/>
        </w:rPr>
        <w:t>驻场</w:t>
      </w:r>
      <w:r>
        <w:rPr>
          <w:rFonts w:hint="eastAsia" w:ascii="方正兰亭黑简体" w:hAnsi="方正兰亭黑简体" w:eastAsia="方正兰亭黑简体" w:cs="方正兰亭黑简体"/>
          <w:color w:val="auto"/>
          <w:sz w:val="22"/>
          <w:szCs w:val="28"/>
          <w:highlight w:val="none"/>
        </w:rPr>
        <w:t>值守</w:t>
      </w:r>
      <w:r>
        <w:rPr>
          <w:rFonts w:hint="eastAsia" w:ascii="方正兰亭黑简体" w:hAnsi="方正兰亭黑简体" w:eastAsia="方正兰亭黑简体" w:cs="方正兰亭黑简体"/>
          <w:color w:val="auto"/>
          <w:sz w:val="22"/>
          <w:szCs w:val="28"/>
          <w:highlight w:val="none"/>
          <w:lang w:val="zh-CN"/>
        </w:rPr>
        <w:t>，保障平台稳定运行。</w:t>
      </w:r>
    </w:p>
    <w:p w14:paraId="45725F87">
      <w:pPr>
        <w:numPr>
          <w:ilvl w:val="0"/>
          <w:numId w:val="0"/>
        </w:numPr>
        <w:rPr>
          <w:rFonts w:hint="eastAsia" w:ascii="方正兰亭黑简体" w:hAnsi="方正兰亭黑简体" w:eastAsia="方正兰亭黑简体" w:cs="方正兰亭黑简体"/>
          <w:color w:val="auto"/>
          <w:sz w:val="22"/>
          <w:szCs w:val="28"/>
          <w:highlight w:val="none"/>
          <w:lang w:val="en-US" w:eastAsia="zh-CN"/>
        </w:rPr>
      </w:pPr>
      <w:r>
        <w:rPr>
          <w:rFonts w:hint="eastAsia" w:ascii="方正兰亭黑简体" w:hAnsi="方正兰亭黑简体" w:eastAsia="方正兰亭黑简体" w:cs="方正兰亭黑简体"/>
          <w:color w:val="auto"/>
          <w:kern w:val="2"/>
          <w:sz w:val="22"/>
          <w:szCs w:val="28"/>
          <w:highlight w:val="none"/>
          <w:lang w:val="en-US" w:eastAsia="zh-CN" w:bidi="ar-SA"/>
        </w:rPr>
        <w:t>3、</w:t>
      </w:r>
      <w:r>
        <w:rPr>
          <w:rFonts w:hint="eastAsia" w:ascii="方正兰亭黑简体" w:hAnsi="方正兰亭黑简体" w:eastAsia="方正兰亭黑简体" w:cs="方正兰亭黑简体"/>
          <w:color w:val="auto"/>
          <w:sz w:val="22"/>
          <w:szCs w:val="28"/>
          <w:highlight w:val="none"/>
          <w:lang w:val="en-US" w:eastAsia="zh-CN"/>
        </w:rPr>
        <w:t>履约验收标准：</w:t>
      </w:r>
    </w:p>
    <w:p w14:paraId="3BDDDD14">
      <w:pPr>
        <w:numPr>
          <w:ilvl w:val="0"/>
          <w:numId w:val="0"/>
        </w:numPr>
        <w:rPr>
          <w:rFonts w:hint="eastAsia" w:ascii="方正兰亭黑简体" w:hAnsi="方正兰亭黑简体" w:eastAsia="方正兰亭黑简体" w:cs="方正兰亭黑简体"/>
          <w:color w:val="auto"/>
          <w:sz w:val="22"/>
          <w:szCs w:val="28"/>
          <w:highlight w:val="none"/>
          <w:lang w:val="zh-CN"/>
        </w:rPr>
      </w:pPr>
      <w:r>
        <w:rPr>
          <w:rFonts w:hint="eastAsia" w:ascii="方正兰亭黑简体" w:hAnsi="方正兰亭黑简体" w:eastAsia="方正兰亭黑简体" w:cs="方正兰亭黑简体"/>
          <w:color w:val="auto"/>
          <w:sz w:val="22"/>
          <w:szCs w:val="28"/>
          <w:highlight w:val="none"/>
          <w:lang w:val="zh-CN"/>
        </w:rPr>
        <w:t>项目验收应以采购文件、投标响应文件、合同、服务方案及双方确认的变更文件为依据，对服务范围、服务质量、响应时效、交付成果和培训情况进行综合验收。</w:t>
      </w:r>
    </w:p>
    <w:p w14:paraId="4977240E">
      <w:pPr>
        <w:rPr>
          <w:rFonts w:hint="eastAsia" w:ascii="方正兰亭黑简体" w:hAnsi="方正兰亭黑简体" w:eastAsia="方正兰亭黑简体" w:cs="方正兰亭黑简体"/>
          <w:color w:val="auto"/>
          <w:sz w:val="22"/>
          <w:szCs w:val="28"/>
          <w:highlight w:val="none"/>
          <w:lang w:val="zh-CN"/>
        </w:rPr>
      </w:pPr>
      <w:r>
        <w:rPr>
          <w:rFonts w:hint="eastAsia" w:ascii="方正兰亭黑简体" w:hAnsi="方正兰亭黑简体" w:eastAsia="方正兰亭黑简体" w:cs="方正兰亭黑简体"/>
          <w:color w:val="auto"/>
          <w:sz w:val="22"/>
          <w:szCs w:val="28"/>
          <w:highlight w:val="none"/>
          <w:lang w:val="zh-CN"/>
        </w:rPr>
        <w:t>具体标准：</w:t>
      </w:r>
    </w:p>
    <w:p w14:paraId="7AAF0B1E">
      <w:pPr>
        <w:rPr>
          <w:rFonts w:hint="eastAsia" w:ascii="方正兰亭黑简体" w:hAnsi="方正兰亭黑简体" w:eastAsia="方正兰亭黑简体" w:cs="方正兰亭黑简体"/>
          <w:color w:val="auto"/>
          <w:sz w:val="22"/>
          <w:szCs w:val="28"/>
          <w:highlight w:val="none"/>
          <w:lang w:val="zh-CN"/>
        </w:rPr>
      </w:pPr>
      <w:r>
        <w:rPr>
          <w:rFonts w:hint="eastAsia" w:ascii="方正兰亭黑简体" w:hAnsi="方正兰亭黑简体" w:eastAsia="方正兰亭黑简体" w:cs="方正兰亭黑简体"/>
          <w:color w:val="auto"/>
          <w:sz w:val="22"/>
          <w:szCs w:val="28"/>
          <w:highlight w:val="none"/>
          <w:lang w:val="zh-CN"/>
        </w:rPr>
        <w:t>维护服务内容全部完成，无实质性缺项；</w:t>
      </w:r>
    </w:p>
    <w:p w14:paraId="7279D69E">
      <w:pPr>
        <w:rPr>
          <w:rFonts w:hint="eastAsia" w:ascii="方正兰亭黑简体" w:hAnsi="方正兰亭黑简体" w:eastAsia="方正兰亭黑简体" w:cs="方正兰亭黑简体"/>
          <w:color w:val="auto"/>
          <w:sz w:val="22"/>
          <w:szCs w:val="28"/>
          <w:highlight w:val="none"/>
          <w:lang w:val="zh-CN"/>
        </w:rPr>
      </w:pPr>
      <w:r>
        <w:rPr>
          <w:rFonts w:hint="eastAsia" w:ascii="方正兰亭黑简体" w:hAnsi="方正兰亭黑简体" w:eastAsia="方正兰亭黑简体" w:cs="方正兰亭黑简体"/>
          <w:color w:val="auto"/>
          <w:sz w:val="22"/>
          <w:szCs w:val="28"/>
          <w:highlight w:val="none"/>
          <w:lang w:val="zh-CN"/>
        </w:rPr>
        <w:t>服务工单、巡检报告、变更记录及交付资料完整；</w:t>
      </w:r>
    </w:p>
    <w:p w14:paraId="472B60BC">
      <w:pPr>
        <w:rPr>
          <w:rFonts w:hint="eastAsia" w:ascii="方正兰亭黑简体" w:hAnsi="方正兰亭黑简体" w:eastAsia="方正兰亭黑简体" w:cs="方正兰亭黑简体"/>
          <w:color w:val="auto"/>
          <w:sz w:val="22"/>
          <w:szCs w:val="28"/>
          <w:highlight w:val="none"/>
          <w:lang w:val="zh-CN"/>
        </w:rPr>
      </w:pPr>
      <w:r>
        <w:rPr>
          <w:rFonts w:hint="eastAsia" w:ascii="方正兰亭黑简体" w:hAnsi="方正兰亭黑简体" w:eastAsia="方正兰亭黑简体" w:cs="方正兰亭黑简体"/>
          <w:color w:val="auto"/>
          <w:sz w:val="22"/>
          <w:szCs w:val="28"/>
          <w:highlight w:val="none"/>
          <w:lang w:val="zh-CN"/>
        </w:rPr>
        <w:t>登录管理平台后各组件运行状态正常；</w:t>
      </w:r>
    </w:p>
    <w:p w14:paraId="3E1A4ED6">
      <w:pPr>
        <w:rPr>
          <w:rFonts w:hint="eastAsia" w:ascii="方正兰亭黑简体" w:hAnsi="方正兰亭黑简体" w:eastAsia="方正兰亭黑简体" w:cs="方正兰亭黑简体"/>
          <w:color w:val="auto"/>
          <w:sz w:val="22"/>
          <w:szCs w:val="28"/>
          <w:highlight w:val="none"/>
          <w:lang w:val="zh-CN"/>
        </w:rPr>
      </w:pPr>
      <w:r>
        <w:rPr>
          <w:rFonts w:hint="eastAsia" w:ascii="方正兰亭黑简体" w:hAnsi="方正兰亭黑简体" w:eastAsia="方正兰亭黑简体" w:cs="方正兰亭黑简体"/>
          <w:color w:val="auto"/>
          <w:sz w:val="22"/>
          <w:szCs w:val="28"/>
          <w:highlight w:val="none"/>
          <w:lang w:val="zh-CN"/>
        </w:rPr>
        <w:t>ESXi主机、虚拟机、存储及网络状态正常；</w:t>
      </w:r>
    </w:p>
    <w:p w14:paraId="284A7C87">
      <w:pPr>
        <w:rPr>
          <w:rFonts w:hint="eastAsia" w:ascii="方正兰亭黑简体" w:hAnsi="方正兰亭黑简体" w:eastAsia="方正兰亭黑简体" w:cs="方正兰亭黑简体"/>
          <w:color w:val="auto"/>
          <w:sz w:val="22"/>
          <w:szCs w:val="28"/>
          <w:highlight w:val="none"/>
          <w:lang w:val="zh-CN"/>
        </w:rPr>
      </w:pPr>
      <w:r>
        <w:rPr>
          <w:rFonts w:hint="eastAsia" w:ascii="方正兰亭黑简体" w:hAnsi="方正兰亭黑简体" w:eastAsia="方正兰亭黑简体" w:cs="方正兰亭黑简体"/>
          <w:color w:val="auto"/>
          <w:sz w:val="22"/>
          <w:szCs w:val="28"/>
          <w:highlight w:val="none"/>
          <w:lang w:val="zh-CN"/>
        </w:rPr>
        <w:t>现有业务系统及虚拟化平台运行稳定；</w:t>
      </w:r>
    </w:p>
    <w:p w14:paraId="4C981FFB">
      <w:pPr>
        <w:rPr>
          <w:rFonts w:hint="eastAsia" w:ascii="方正兰亭黑简体" w:hAnsi="方正兰亭黑简体" w:eastAsia="方正兰亭黑简体" w:cs="方正兰亭黑简体"/>
          <w:color w:val="auto"/>
          <w:sz w:val="22"/>
          <w:szCs w:val="28"/>
          <w:highlight w:val="none"/>
          <w:lang w:val="zh-CN"/>
        </w:rPr>
      </w:pPr>
      <w:r>
        <w:rPr>
          <w:rFonts w:hint="eastAsia" w:ascii="方正兰亭黑简体" w:hAnsi="方正兰亭黑简体" w:eastAsia="方正兰亭黑简体" w:cs="方正兰亭黑简体"/>
          <w:color w:val="auto"/>
          <w:sz w:val="22"/>
          <w:szCs w:val="28"/>
          <w:highlight w:val="none"/>
          <w:lang w:val="en-US" w:eastAsia="zh-CN"/>
        </w:rPr>
        <w:t>维护</w:t>
      </w:r>
      <w:r>
        <w:rPr>
          <w:rFonts w:hint="eastAsia" w:ascii="方正兰亭黑简体" w:hAnsi="方正兰亭黑简体" w:eastAsia="方正兰亭黑简体" w:cs="方正兰亭黑简体"/>
          <w:color w:val="auto"/>
          <w:sz w:val="22"/>
          <w:szCs w:val="28"/>
          <w:highlight w:val="none"/>
          <w:lang w:val="zh-CN"/>
        </w:rPr>
        <w:t>过程可记录、可追溯、可核查；</w:t>
      </w:r>
    </w:p>
    <w:p w14:paraId="030FD154">
      <w:pPr>
        <w:rPr>
          <w:rFonts w:hint="eastAsia" w:ascii="方正兰亭黑简体" w:hAnsi="方正兰亭黑简体" w:eastAsia="方正兰亭黑简体" w:cs="方正兰亭黑简体"/>
          <w:color w:val="auto"/>
          <w:sz w:val="22"/>
          <w:szCs w:val="28"/>
          <w:highlight w:val="none"/>
          <w:lang w:val="zh-CN"/>
        </w:rPr>
      </w:pPr>
      <w:r>
        <w:rPr>
          <w:rFonts w:hint="eastAsia" w:ascii="方正兰亭黑简体" w:hAnsi="方正兰亭黑简体" w:eastAsia="方正兰亭黑简体" w:cs="方正兰亭黑简体"/>
          <w:color w:val="auto"/>
          <w:sz w:val="22"/>
          <w:szCs w:val="28"/>
          <w:highlight w:val="none"/>
          <w:lang w:val="zh-CN"/>
        </w:rPr>
        <w:t>故障、隐患和整改事项形成闭环；</w:t>
      </w:r>
    </w:p>
    <w:p w14:paraId="10DE41A2">
      <w:pPr>
        <w:rPr>
          <w:rFonts w:hint="eastAsia" w:ascii="方正兰亭黑简体" w:hAnsi="方正兰亭黑简体" w:eastAsia="方正兰亭黑简体" w:cs="方正兰亭黑简体"/>
          <w:color w:val="auto"/>
          <w:sz w:val="22"/>
          <w:szCs w:val="28"/>
          <w:highlight w:val="none"/>
          <w:lang w:val="zh-CN"/>
        </w:rPr>
      </w:pPr>
      <w:r>
        <w:rPr>
          <w:rFonts w:hint="eastAsia" w:ascii="方正兰亭黑简体" w:hAnsi="方正兰亭黑简体" w:eastAsia="方正兰亭黑简体" w:cs="方正兰亭黑简体"/>
          <w:color w:val="auto"/>
          <w:sz w:val="22"/>
          <w:szCs w:val="28"/>
          <w:highlight w:val="none"/>
          <w:lang w:val="zh-CN"/>
        </w:rPr>
        <w:t>提交的技术资料完整、准确并与实际一致；</w:t>
      </w:r>
    </w:p>
    <w:p w14:paraId="419EE707">
      <w:pPr>
        <w:rPr>
          <w:rFonts w:hint="eastAsia" w:ascii="方正兰亭黑简体" w:hAnsi="方正兰亭黑简体" w:eastAsia="方正兰亭黑简体" w:cs="方正兰亭黑简体"/>
          <w:b/>
          <w:bCs/>
          <w:color w:val="auto"/>
          <w:sz w:val="24"/>
          <w:szCs w:val="32"/>
          <w:highlight w:val="none"/>
        </w:rPr>
      </w:pPr>
      <w:r>
        <w:rPr>
          <w:rFonts w:hint="eastAsia" w:ascii="方正兰亭黑简体" w:hAnsi="方正兰亭黑简体" w:eastAsia="方正兰亭黑简体" w:cs="方正兰亭黑简体"/>
          <w:b/>
          <w:bCs/>
          <w:color w:val="auto"/>
          <w:sz w:val="24"/>
          <w:szCs w:val="32"/>
          <w:highlight w:val="none"/>
        </w:rPr>
        <w:br w:type="page"/>
      </w:r>
    </w:p>
    <w:p w14:paraId="242B56B3">
      <w:pPr>
        <w:jc w:val="center"/>
        <w:rPr>
          <w:rFonts w:hint="eastAsia" w:ascii="方正兰亭黑简体" w:hAnsi="方正兰亭黑简体" w:eastAsia="方正兰亭黑简体" w:cs="方正兰亭黑简体"/>
          <w:b/>
          <w:bCs/>
          <w:color w:val="auto"/>
          <w:sz w:val="24"/>
          <w:szCs w:val="32"/>
          <w:highlight w:val="none"/>
        </w:rPr>
      </w:pPr>
      <w:r>
        <w:rPr>
          <w:rFonts w:hint="eastAsia" w:ascii="方正兰亭黑简体" w:hAnsi="方正兰亭黑简体" w:eastAsia="方正兰亭黑简体" w:cs="方正兰亭黑简体"/>
          <w:b/>
          <w:bCs/>
          <w:color w:val="auto"/>
          <w:sz w:val="24"/>
          <w:szCs w:val="32"/>
          <w:highlight w:val="none"/>
        </w:rPr>
        <w:t>第三章评审办法</w:t>
      </w:r>
    </w:p>
    <w:p w14:paraId="2DA9D43D">
      <w:pPr>
        <w:ind w:firstLine="440" w:firstLineChars="200"/>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综合本项目的特点，根据相关法律法规的规定，本着保护竞争，维护采购工作公开、公平、公正原则，特制定本评审办法，作为选定本次采购中标人的依据。</w:t>
      </w:r>
    </w:p>
    <w:p w14:paraId="673FFF60">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1、成立比选评审小组</w:t>
      </w:r>
    </w:p>
    <w:p w14:paraId="1D34F033">
      <w:p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采购人将根据货物与服务的特点，依规组建比选小组，比选小组由3人或以上的单数组成。</w:t>
      </w:r>
    </w:p>
    <w:p w14:paraId="12EFA4B4">
      <w:pPr>
        <w:numPr>
          <w:ilvl w:val="0"/>
          <w:numId w:val="9"/>
        </w:numPr>
        <w:jc w:val="left"/>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具体评分细则如下：</w:t>
      </w:r>
    </w:p>
    <w:tbl>
      <w:tblPr>
        <w:tblStyle w:val="14"/>
        <w:tblW w:w="4987"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56"/>
        <w:gridCol w:w="1329"/>
        <w:gridCol w:w="721"/>
        <w:gridCol w:w="7230"/>
      </w:tblGrid>
      <w:tr w14:paraId="4FA9B33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330" w:type="pct"/>
            <w:vAlign w:val="center"/>
          </w:tcPr>
          <w:p w14:paraId="0E8E4E82">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序号</w:t>
            </w:r>
          </w:p>
        </w:tc>
        <w:tc>
          <w:tcPr>
            <w:tcW w:w="669" w:type="pct"/>
            <w:vAlign w:val="center"/>
          </w:tcPr>
          <w:p w14:paraId="04667EC9">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评审因素</w:t>
            </w:r>
          </w:p>
        </w:tc>
        <w:tc>
          <w:tcPr>
            <w:tcW w:w="363" w:type="pct"/>
            <w:vAlign w:val="center"/>
          </w:tcPr>
          <w:p w14:paraId="6B1AA947">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分值</w:t>
            </w:r>
          </w:p>
        </w:tc>
        <w:tc>
          <w:tcPr>
            <w:tcW w:w="3637" w:type="pct"/>
            <w:vAlign w:val="center"/>
          </w:tcPr>
          <w:p w14:paraId="78DCF4D6">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评分说明</w:t>
            </w:r>
          </w:p>
        </w:tc>
      </w:tr>
      <w:tr w14:paraId="25120DB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53" w:hRule="atLeast"/>
          <w:jc w:val="center"/>
        </w:trPr>
        <w:tc>
          <w:tcPr>
            <w:tcW w:w="5000" w:type="pct"/>
            <w:gridSpan w:val="4"/>
            <w:vAlign w:val="center"/>
          </w:tcPr>
          <w:p w14:paraId="3C4E5B51">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一、价格部分</w:t>
            </w:r>
          </w:p>
        </w:tc>
      </w:tr>
      <w:tr w14:paraId="14B227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30" w:type="pct"/>
            <w:vAlign w:val="center"/>
          </w:tcPr>
          <w:p w14:paraId="40A3FBEB">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1</w:t>
            </w:r>
          </w:p>
        </w:tc>
        <w:tc>
          <w:tcPr>
            <w:tcW w:w="669" w:type="pct"/>
            <w:vAlign w:val="center"/>
          </w:tcPr>
          <w:p w14:paraId="6E043E2F">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价格得分</w:t>
            </w:r>
          </w:p>
          <w:p w14:paraId="33D28CC8">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（客观分）</w:t>
            </w:r>
          </w:p>
        </w:tc>
        <w:tc>
          <w:tcPr>
            <w:tcW w:w="363" w:type="pct"/>
            <w:vAlign w:val="center"/>
          </w:tcPr>
          <w:p w14:paraId="2F6FAA4D">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lang w:val="en-US" w:eastAsia="zh-CN"/>
              </w:rPr>
              <w:t>1</w:t>
            </w:r>
            <w:r>
              <w:rPr>
                <w:rFonts w:hint="eastAsia" w:ascii="方正兰亭黑简体" w:hAnsi="方正兰亭黑简体" w:eastAsia="方正兰亭黑简体" w:cs="方正兰亭黑简体"/>
                <w:color w:val="auto"/>
                <w:sz w:val="20"/>
                <w:szCs w:val="20"/>
                <w:highlight w:val="none"/>
              </w:rPr>
              <w:t>0</w:t>
            </w:r>
          </w:p>
        </w:tc>
        <w:tc>
          <w:tcPr>
            <w:tcW w:w="3637" w:type="pct"/>
            <w:vAlign w:val="center"/>
          </w:tcPr>
          <w:p w14:paraId="69E5170C">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采用低价优先法计算，即满足比选文件要求且最低的报价为基准价，其价格分为满分</w:t>
            </w:r>
            <w:r>
              <w:rPr>
                <w:rFonts w:hint="eastAsia" w:ascii="方正兰亭黑简体" w:hAnsi="方正兰亭黑简体" w:eastAsia="方正兰亭黑简体" w:cs="方正兰亭黑简体"/>
                <w:color w:val="auto"/>
                <w:sz w:val="20"/>
                <w:szCs w:val="20"/>
                <w:highlight w:val="none"/>
                <w:lang w:val="en-US" w:eastAsia="zh-CN"/>
              </w:rPr>
              <w:t>1</w:t>
            </w:r>
            <w:r>
              <w:rPr>
                <w:rFonts w:hint="eastAsia" w:ascii="方正兰亭黑简体" w:hAnsi="方正兰亭黑简体" w:eastAsia="方正兰亭黑简体" w:cs="方正兰亭黑简体"/>
                <w:color w:val="auto"/>
                <w:sz w:val="20"/>
                <w:szCs w:val="20"/>
                <w:highlight w:val="none"/>
              </w:rPr>
              <w:t>0分。其他报价单位的报价得分计算公式如下：报价得分＝</w:t>
            </w:r>
            <w:r>
              <w:rPr>
                <w:rFonts w:hint="eastAsia" w:ascii="方正兰亭黑简体" w:hAnsi="方正兰亭黑简体" w:eastAsia="方正兰亭黑简体" w:cs="方正兰亭黑简体"/>
                <w:color w:val="auto"/>
                <w:sz w:val="20"/>
                <w:szCs w:val="20"/>
                <w:highlight w:val="none"/>
                <w:lang w:val="en-US" w:eastAsia="zh-CN"/>
              </w:rPr>
              <w:t>1</w:t>
            </w:r>
            <w:r>
              <w:rPr>
                <w:rFonts w:hint="eastAsia" w:ascii="方正兰亭黑简体" w:hAnsi="方正兰亭黑简体" w:eastAsia="方正兰亭黑简体" w:cs="方正兰亭黑简体"/>
                <w:color w:val="auto"/>
                <w:sz w:val="20"/>
                <w:szCs w:val="20"/>
                <w:highlight w:val="none"/>
              </w:rPr>
              <w:t>0×（评标基准价/投标报价）。</w:t>
            </w:r>
          </w:p>
        </w:tc>
      </w:tr>
      <w:tr w14:paraId="4DE7C0B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35" w:hRule="atLeast"/>
          <w:jc w:val="center"/>
        </w:trPr>
        <w:tc>
          <w:tcPr>
            <w:tcW w:w="5000" w:type="pct"/>
            <w:gridSpan w:val="4"/>
            <w:vAlign w:val="center"/>
          </w:tcPr>
          <w:p w14:paraId="11AA50BB">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二、商务、技术部分</w:t>
            </w:r>
          </w:p>
        </w:tc>
      </w:tr>
      <w:tr w14:paraId="2540F19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330" w:type="pct"/>
            <w:vAlign w:val="center"/>
          </w:tcPr>
          <w:p w14:paraId="4ED921D1">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2</w:t>
            </w:r>
          </w:p>
        </w:tc>
        <w:tc>
          <w:tcPr>
            <w:tcW w:w="669" w:type="pct"/>
            <w:vAlign w:val="center"/>
          </w:tcPr>
          <w:p w14:paraId="7AF339FF">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经验业绩</w:t>
            </w:r>
          </w:p>
          <w:p w14:paraId="6004DB21">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（客观分）</w:t>
            </w:r>
          </w:p>
        </w:tc>
        <w:tc>
          <w:tcPr>
            <w:tcW w:w="363" w:type="pct"/>
            <w:vAlign w:val="center"/>
          </w:tcPr>
          <w:p w14:paraId="3557659E">
            <w:pPr>
              <w:spacing w:line="240" w:lineRule="auto"/>
              <w:jc w:val="center"/>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8</w:t>
            </w:r>
          </w:p>
        </w:tc>
        <w:tc>
          <w:tcPr>
            <w:tcW w:w="3637" w:type="pct"/>
            <w:vAlign w:val="center"/>
          </w:tcPr>
          <w:p w14:paraId="74E23610">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提供近3年（合同签订日期自2023年</w:t>
            </w:r>
            <w:r>
              <w:rPr>
                <w:rFonts w:hint="eastAsia" w:ascii="方正兰亭黑简体" w:hAnsi="方正兰亭黑简体" w:eastAsia="方正兰亭黑简体" w:cs="方正兰亭黑简体"/>
                <w:color w:val="auto"/>
                <w:sz w:val="20"/>
                <w:szCs w:val="20"/>
                <w:highlight w:val="none"/>
                <w:lang w:val="en-US" w:eastAsia="zh-CN"/>
              </w:rPr>
              <w:t>7</w:t>
            </w:r>
            <w:r>
              <w:rPr>
                <w:rFonts w:hint="eastAsia" w:ascii="方正兰亭黑简体" w:hAnsi="方正兰亭黑简体" w:eastAsia="方正兰亭黑简体" w:cs="方正兰亭黑简体"/>
                <w:color w:val="auto"/>
                <w:sz w:val="20"/>
                <w:szCs w:val="20"/>
                <w:highlight w:val="none"/>
              </w:rPr>
              <w:t>月1日起至今）业绩案例。（每提供1个得</w:t>
            </w:r>
            <w:r>
              <w:rPr>
                <w:rFonts w:hint="eastAsia" w:ascii="方正兰亭黑简体" w:hAnsi="方正兰亭黑简体" w:eastAsia="方正兰亭黑简体" w:cs="方正兰亭黑简体"/>
                <w:color w:val="auto"/>
                <w:sz w:val="20"/>
                <w:szCs w:val="20"/>
                <w:highlight w:val="none"/>
                <w:lang w:val="en-US" w:eastAsia="zh-CN"/>
              </w:rPr>
              <w:t>2</w:t>
            </w:r>
            <w:r>
              <w:rPr>
                <w:rFonts w:hint="eastAsia" w:ascii="方正兰亭黑简体" w:hAnsi="方正兰亭黑简体" w:eastAsia="方正兰亭黑简体" w:cs="方正兰亭黑简体"/>
                <w:color w:val="auto"/>
                <w:sz w:val="20"/>
                <w:szCs w:val="20"/>
                <w:highlight w:val="none"/>
              </w:rPr>
              <w:t>分；最高得</w:t>
            </w:r>
            <w:r>
              <w:rPr>
                <w:rFonts w:hint="eastAsia" w:ascii="方正兰亭黑简体" w:hAnsi="方正兰亭黑简体" w:eastAsia="方正兰亭黑简体" w:cs="方正兰亭黑简体"/>
                <w:color w:val="auto"/>
                <w:sz w:val="20"/>
                <w:szCs w:val="20"/>
                <w:highlight w:val="none"/>
                <w:lang w:val="en-US" w:eastAsia="zh-CN"/>
              </w:rPr>
              <w:t>8</w:t>
            </w:r>
            <w:r>
              <w:rPr>
                <w:rFonts w:hint="eastAsia" w:ascii="方正兰亭黑简体" w:hAnsi="方正兰亭黑简体" w:eastAsia="方正兰亭黑简体" w:cs="方正兰亭黑简体"/>
                <w:color w:val="auto"/>
                <w:sz w:val="20"/>
                <w:szCs w:val="20"/>
                <w:highlight w:val="none"/>
              </w:rPr>
              <w:t>分）注：需提供相关业绩的合同复印件，否则将不予认可。</w:t>
            </w:r>
          </w:p>
        </w:tc>
      </w:tr>
      <w:tr w14:paraId="6C7AE63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330" w:type="pct"/>
            <w:vAlign w:val="center"/>
          </w:tcPr>
          <w:p w14:paraId="20215608">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3</w:t>
            </w:r>
          </w:p>
        </w:tc>
        <w:tc>
          <w:tcPr>
            <w:tcW w:w="669" w:type="pct"/>
            <w:vAlign w:val="center"/>
          </w:tcPr>
          <w:p w14:paraId="380505D3">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履约能力</w:t>
            </w:r>
          </w:p>
          <w:p w14:paraId="2321DCF3">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（客观分）</w:t>
            </w:r>
          </w:p>
        </w:tc>
        <w:tc>
          <w:tcPr>
            <w:tcW w:w="363" w:type="pct"/>
            <w:vAlign w:val="center"/>
          </w:tcPr>
          <w:p w14:paraId="195428E2">
            <w:pPr>
              <w:spacing w:line="240" w:lineRule="auto"/>
              <w:jc w:val="center"/>
              <w:rPr>
                <w:rFonts w:hint="default"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10</w:t>
            </w:r>
          </w:p>
        </w:tc>
        <w:tc>
          <w:tcPr>
            <w:tcW w:w="3637" w:type="pct"/>
            <w:vAlign w:val="center"/>
          </w:tcPr>
          <w:p w14:paraId="20F99564">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lang w:val="en-US" w:eastAsia="zh-CN"/>
              </w:rPr>
              <w:t>1.提供</w:t>
            </w:r>
            <w:r>
              <w:rPr>
                <w:rFonts w:hint="eastAsia" w:ascii="方正兰亭黑简体" w:hAnsi="方正兰亭黑简体" w:eastAsia="方正兰亭黑简体" w:cs="方正兰亭黑简体"/>
                <w:color w:val="auto"/>
                <w:sz w:val="20"/>
                <w:szCs w:val="20"/>
                <w:highlight w:val="none"/>
              </w:rPr>
              <w:t>具有在有效期内的质量管理体系认证证书</w:t>
            </w:r>
            <w:r>
              <w:rPr>
                <w:rFonts w:hint="eastAsia" w:ascii="方正兰亭黑简体" w:hAnsi="方正兰亭黑简体" w:eastAsia="方正兰亭黑简体" w:cs="方正兰亭黑简体"/>
                <w:color w:val="auto"/>
                <w:sz w:val="20"/>
                <w:szCs w:val="20"/>
                <w:highlight w:val="none"/>
                <w:lang w:eastAsia="zh-CN"/>
              </w:rPr>
              <w:t>，</w:t>
            </w:r>
            <w:r>
              <w:rPr>
                <w:rFonts w:hint="eastAsia" w:ascii="方正兰亭黑简体" w:hAnsi="方正兰亭黑简体" w:eastAsia="方正兰亭黑简体" w:cs="方正兰亭黑简体"/>
                <w:color w:val="auto"/>
                <w:sz w:val="20"/>
                <w:szCs w:val="20"/>
                <w:highlight w:val="none"/>
              </w:rPr>
              <w:t>得2分。</w:t>
            </w:r>
          </w:p>
          <w:p w14:paraId="21E4CF28">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lang w:val="en-US" w:eastAsia="zh-CN"/>
              </w:rPr>
              <w:t>2.提供</w:t>
            </w:r>
            <w:r>
              <w:rPr>
                <w:rFonts w:hint="eastAsia" w:ascii="方正兰亭黑简体" w:hAnsi="方正兰亭黑简体" w:eastAsia="方正兰亭黑简体" w:cs="方正兰亭黑简体"/>
                <w:color w:val="auto"/>
                <w:sz w:val="20"/>
                <w:szCs w:val="20"/>
                <w:highlight w:val="none"/>
              </w:rPr>
              <w:t>具有在有效期内的信息安全管理体系认证证书</w:t>
            </w:r>
            <w:r>
              <w:rPr>
                <w:rFonts w:hint="eastAsia" w:ascii="方正兰亭黑简体" w:hAnsi="方正兰亭黑简体" w:eastAsia="方正兰亭黑简体" w:cs="方正兰亭黑简体"/>
                <w:color w:val="auto"/>
                <w:sz w:val="20"/>
                <w:szCs w:val="20"/>
                <w:highlight w:val="none"/>
                <w:lang w:eastAsia="zh-CN"/>
              </w:rPr>
              <w:t>，</w:t>
            </w:r>
            <w:r>
              <w:rPr>
                <w:rFonts w:hint="eastAsia" w:ascii="方正兰亭黑简体" w:hAnsi="方正兰亭黑简体" w:eastAsia="方正兰亭黑简体" w:cs="方正兰亭黑简体"/>
                <w:color w:val="auto"/>
                <w:sz w:val="20"/>
                <w:szCs w:val="20"/>
                <w:highlight w:val="none"/>
              </w:rPr>
              <w:t>得4分。</w:t>
            </w:r>
          </w:p>
          <w:p w14:paraId="61EC035A">
            <w:pPr>
              <w:spacing w:line="24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3.提供</w:t>
            </w:r>
            <w:r>
              <w:rPr>
                <w:rFonts w:hint="eastAsia" w:ascii="方正兰亭黑简体" w:hAnsi="方正兰亭黑简体" w:eastAsia="方正兰亭黑简体" w:cs="方正兰亭黑简体"/>
                <w:color w:val="auto"/>
                <w:sz w:val="20"/>
                <w:szCs w:val="20"/>
                <w:highlight w:val="none"/>
              </w:rPr>
              <w:t>具备计算机信息系统集成服务能力评价资质认证证书</w:t>
            </w:r>
            <w:r>
              <w:rPr>
                <w:rFonts w:hint="eastAsia" w:ascii="方正兰亭黑简体" w:hAnsi="方正兰亭黑简体" w:eastAsia="方正兰亭黑简体" w:cs="方正兰亭黑简体"/>
                <w:color w:val="auto"/>
                <w:sz w:val="20"/>
                <w:szCs w:val="20"/>
                <w:highlight w:val="none"/>
                <w:lang w:eastAsia="zh-CN"/>
              </w:rPr>
              <w:t>，</w:t>
            </w:r>
            <w:r>
              <w:rPr>
                <w:rFonts w:hint="eastAsia" w:ascii="方正兰亭黑简体" w:hAnsi="方正兰亭黑简体" w:eastAsia="方正兰亭黑简体" w:cs="方正兰亭黑简体"/>
                <w:color w:val="auto"/>
                <w:sz w:val="20"/>
                <w:szCs w:val="20"/>
                <w:highlight w:val="none"/>
              </w:rPr>
              <w:t>得2分</w:t>
            </w:r>
            <w:r>
              <w:rPr>
                <w:rFonts w:hint="eastAsia" w:ascii="方正兰亭黑简体" w:hAnsi="方正兰亭黑简体" w:eastAsia="方正兰亭黑简体" w:cs="方正兰亭黑简体"/>
                <w:color w:val="auto"/>
                <w:sz w:val="20"/>
                <w:szCs w:val="20"/>
                <w:highlight w:val="none"/>
                <w:lang w:eastAsia="zh-CN"/>
              </w:rPr>
              <w:t>。</w:t>
            </w:r>
          </w:p>
          <w:p w14:paraId="05A21767">
            <w:pPr>
              <w:spacing w:line="24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4.提供</w:t>
            </w:r>
            <w:r>
              <w:rPr>
                <w:rFonts w:hint="eastAsia" w:ascii="方正兰亭黑简体" w:hAnsi="方正兰亭黑简体" w:eastAsia="方正兰亭黑简体" w:cs="方正兰亭黑简体"/>
                <w:color w:val="auto"/>
                <w:sz w:val="20"/>
                <w:szCs w:val="20"/>
                <w:highlight w:val="none"/>
              </w:rPr>
              <w:t>具备信息技术服务企业资质认证证书</w:t>
            </w:r>
            <w:r>
              <w:rPr>
                <w:rFonts w:hint="eastAsia" w:ascii="方正兰亭黑简体" w:hAnsi="方正兰亭黑简体" w:eastAsia="方正兰亭黑简体" w:cs="方正兰亭黑简体"/>
                <w:color w:val="auto"/>
                <w:sz w:val="20"/>
                <w:szCs w:val="20"/>
                <w:highlight w:val="none"/>
                <w:lang w:eastAsia="zh-CN"/>
              </w:rPr>
              <w:t>，</w:t>
            </w:r>
            <w:r>
              <w:rPr>
                <w:rFonts w:hint="eastAsia" w:ascii="方正兰亭黑简体" w:hAnsi="方正兰亭黑简体" w:eastAsia="方正兰亭黑简体" w:cs="方正兰亭黑简体"/>
                <w:color w:val="auto"/>
                <w:sz w:val="20"/>
                <w:szCs w:val="20"/>
                <w:highlight w:val="none"/>
              </w:rPr>
              <w:t>得2分</w:t>
            </w:r>
            <w:r>
              <w:rPr>
                <w:rFonts w:hint="eastAsia" w:ascii="方正兰亭黑简体" w:hAnsi="方正兰亭黑简体" w:eastAsia="方正兰亭黑简体" w:cs="方正兰亭黑简体"/>
                <w:color w:val="auto"/>
                <w:sz w:val="20"/>
                <w:szCs w:val="20"/>
                <w:highlight w:val="none"/>
                <w:lang w:eastAsia="zh-CN"/>
              </w:rPr>
              <w:t>。</w:t>
            </w:r>
          </w:p>
        </w:tc>
      </w:tr>
      <w:tr w14:paraId="6AF9498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04" w:hRule="atLeast"/>
          <w:jc w:val="center"/>
        </w:trPr>
        <w:tc>
          <w:tcPr>
            <w:tcW w:w="330" w:type="pct"/>
            <w:vAlign w:val="center"/>
          </w:tcPr>
          <w:p w14:paraId="4780BF04">
            <w:pPr>
              <w:spacing w:line="240" w:lineRule="auto"/>
              <w:jc w:val="center"/>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4</w:t>
            </w:r>
          </w:p>
        </w:tc>
        <w:tc>
          <w:tcPr>
            <w:tcW w:w="669" w:type="pct"/>
            <w:vAlign w:val="center"/>
          </w:tcPr>
          <w:p w14:paraId="137FA9B8">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需求理解</w:t>
            </w:r>
          </w:p>
          <w:p w14:paraId="1DD2C7B1">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w:t>
            </w:r>
            <w:r>
              <w:rPr>
                <w:rFonts w:hint="eastAsia" w:ascii="方正兰亭黑简体" w:hAnsi="方正兰亭黑简体" w:eastAsia="方正兰亭黑简体" w:cs="方正兰亭黑简体"/>
                <w:color w:val="auto"/>
                <w:sz w:val="20"/>
                <w:szCs w:val="20"/>
                <w:highlight w:val="none"/>
                <w:lang w:val="en-US" w:eastAsia="zh-CN"/>
              </w:rPr>
              <w:t>主</w:t>
            </w:r>
            <w:r>
              <w:rPr>
                <w:rFonts w:hint="eastAsia" w:ascii="方正兰亭黑简体" w:hAnsi="方正兰亭黑简体" w:eastAsia="方正兰亭黑简体" w:cs="方正兰亭黑简体"/>
                <w:color w:val="auto"/>
                <w:sz w:val="20"/>
                <w:szCs w:val="20"/>
                <w:highlight w:val="none"/>
              </w:rPr>
              <w:t>观分）</w:t>
            </w:r>
          </w:p>
        </w:tc>
        <w:tc>
          <w:tcPr>
            <w:tcW w:w="363" w:type="pct"/>
            <w:vAlign w:val="center"/>
          </w:tcPr>
          <w:p w14:paraId="3A438D65">
            <w:pPr>
              <w:spacing w:line="240" w:lineRule="auto"/>
              <w:jc w:val="center"/>
              <w:rPr>
                <w:rFonts w:hint="default"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20</w:t>
            </w:r>
          </w:p>
        </w:tc>
        <w:tc>
          <w:tcPr>
            <w:tcW w:w="3637" w:type="pct"/>
            <w:vAlign w:val="center"/>
          </w:tcPr>
          <w:p w14:paraId="1CEA057C">
            <w:pPr>
              <w:spacing w:line="240" w:lineRule="auto"/>
              <w:jc w:val="left"/>
              <w:rPr>
                <w:rFonts w:hint="eastAsia" w:ascii="方正兰亭黑简体" w:hAnsi="方正兰亭黑简体" w:eastAsia="方正兰亭黑简体" w:cs="方正兰亭黑简体"/>
                <w:color w:val="auto"/>
                <w:sz w:val="20"/>
                <w:szCs w:val="20"/>
                <w:highlight w:val="none"/>
              </w:rPr>
            </w:pPr>
            <w:bookmarkStart w:id="6" w:name="_Hlk235227516"/>
            <w:r>
              <w:rPr>
                <w:rFonts w:hint="eastAsia" w:ascii="方正兰亭黑简体" w:hAnsi="方正兰亭黑简体" w:eastAsia="方正兰亭黑简体" w:cs="方正兰亭黑简体"/>
                <w:color w:val="auto"/>
                <w:sz w:val="20"/>
                <w:szCs w:val="20"/>
                <w:highlight w:val="none"/>
                <w:lang w:val="en-US" w:eastAsia="zh-CN"/>
              </w:rPr>
              <w:t>1.</w:t>
            </w:r>
            <w:r>
              <w:rPr>
                <w:rFonts w:hint="eastAsia" w:ascii="方正兰亭黑简体" w:hAnsi="方正兰亭黑简体" w:eastAsia="方正兰亭黑简体" w:cs="方正兰亭黑简体"/>
                <w:color w:val="auto"/>
                <w:sz w:val="20"/>
                <w:szCs w:val="20"/>
                <w:highlight w:val="none"/>
              </w:rPr>
              <w:t>对采购需求的分析、理解以及重点、难点的分析</w:t>
            </w:r>
            <w:bookmarkEnd w:id="6"/>
            <w:r>
              <w:rPr>
                <w:rFonts w:hint="eastAsia" w:ascii="方正兰亭黑简体" w:hAnsi="方正兰亭黑简体" w:eastAsia="方正兰亭黑简体" w:cs="方正兰亭黑简体"/>
                <w:color w:val="auto"/>
                <w:sz w:val="20"/>
                <w:szCs w:val="20"/>
                <w:highlight w:val="none"/>
              </w:rPr>
              <w:t xml:space="preserve">是否合理，是否对学校的k8s平台、Citrix云桌面平台以及vmware虚拟化平台的运行和使用情况有针对性的响应（0-10分）； </w:t>
            </w:r>
          </w:p>
          <w:p w14:paraId="1F7066E1">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lang w:val="en-US" w:eastAsia="zh-CN"/>
              </w:rPr>
              <w:t>2.</w:t>
            </w:r>
            <w:r>
              <w:rPr>
                <w:rFonts w:hint="eastAsia" w:ascii="方正兰亭黑简体" w:hAnsi="方正兰亭黑简体" w:eastAsia="方正兰亭黑简体" w:cs="方正兰亭黑简体"/>
                <w:color w:val="auto"/>
                <w:sz w:val="20"/>
                <w:szCs w:val="20"/>
                <w:highlight w:val="none"/>
              </w:rPr>
              <w:t>对本项目的合理化建议（0-10分）；</w:t>
            </w:r>
          </w:p>
        </w:tc>
      </w:tr>
      <w:tr w14:paraId="29993D0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04" w:hRule="atLeast"/>
          <w:jc w:val="center"/>
        </w:trPr>
        <w:tc>
          <w:tcPr>
            <w:tcW w:w="330" w:type="pct"/>
            <w:vAlign w:val="center"/>
          </w:tcPr>
          <w:p w14:paraId="5497789B">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5</w:t>
            </w:r>
          </w:p>
        </w:tc>
        <w:tc>
          <w:tcPr>
            <w:tcW w:w="669" w:type="pct"/>
            <w:vAlign w:val="center"/>
          </w:tcPr>
          <w:p w14:paraId="704B64D6">
            <w:pPr>
              <w:spacing w:line="240" w:lineRule="auto"/>
              <w:jc w:val="center"/>
              <w:rPr>
                <w:rFonts w:hint="eastAsia"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技术方案</w:t>
            </w:r>
          </w:p>
          <w:p w14:paraId="6B01F883">
            <w:pPr>
              <w:spacing w:line="240" w:lineRule="auto"/>
              <w:jc w:val="center"/>
              <w:rPr>
                <w:rFonts w:hint="default"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rPr>
              <w:t>（</w:t>
            </w:r>
            <w:r>
              <w:rPr>
                <w:rFonts w:hint="eastAsia" w:ascii="方正兰亭黑简体" w:hAnsi="方正兰亭黑简体" w:eastAsia="方正兰亭黑简体" w:cs="方正兰亭黑简体"/>
                <w:color w:val="auto"/>
                <w:sz w:val="20"/>
                <w:szCs w:val="20"/>
                <w:highlight w:val="none"/>
                <w:lang w:val="en-US" w:eastAsia="zh-CN"/>
              </w:rPr>
              <w:t>主</w:t>
            </w:r>
            <w:r>
              <w:rPr>
                <w:rFonts w:hint="eastAsia" w:ascii="方正兰亭黑简体" w:hAnsi="方正兰亭黑简体" w:eastAsia="方正兰亭黑简体" w:cs="方正兰亭黑简体"/>
                <w:color w:val="auto"/>
                <w:sz w:val="20"/>
                <w:szCs w:val="20"/>
                <w:highlight w:val="none"/>
              </w:rPr>
              <w:t>观分）</w:t>
            </w:r>
          </w:p>
        </w:tc>
        <w:tc>
          <w:tcPr>
            <w:tcW w:w="363" w:type="pct"/>
            <w:vAlign w:val="center"/>
          </w:tcPr>
          <w:p w14:paraId="0F043EDB">
            <w:pPr>
              <w:spacing w:line="240" w:lineRule="auto"/>
              <w:jc w:val="center"/>
              <w:rPr>
                <w:rFonts w:hint="default" w:ascii="方正兰亭黑简体" w:hAnsi="方正兰亭黑简体" w:eastAsia="方正兰亭黑简体" w:cs="方正兰亭黑简体"/>
                <w:color w:val="auto"/>
                <w:sz w:val="20"/>
                <w:szCs w:val="20"/>
                <w:highlight w:val="none"/>
                <w:lang w:val="en-US" w:eastAsia="zh-CN"/>
              </w:rPr>
            </w:pPr>
            <w:r>
              <w:rPr>
                <w:rFonts w:hint="eastAsia" w:ascii="方正兰亭黑简体" w:hAnsi="方正兰亭黑简体" w:eastAsia="方正兰亭黑简体" w:cs="方正兰亭黑简体"/>
                <w:color w:val="auto"/>
                <w:sz w:val="20"/>
                <w:szCs w:val="20"/>
                <w:highlight w:val="none"/>
                <w:lang w:val="en-US" w:eastAsia="zh-CN"/>
              </w:rPr>
              <w:t>22</w:t>
            </w:r>
          </w:p>
        </w:tc>
        <w:tc>
          <w:tcPr>
            <w:tcW w:w="3637" w:type="pct"/>
            <w:vAlign w:val="center"/>
          </w:tcPr>
          <w:p w14:paraId="187E2C14">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1.对本项目采购需求的技术响应程度、技术要求满足程度等方面是否完全满足本项目招标要求（0-5分）；</w:t>
            </w:r>
          </w:p>
          <w:p w14:paraId="3B6DC63B">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1.提供的巡查制度和定期巡查制度是否合理，是否满足本项目的需要；（0-4分）</w:t>
            </w:r>
          </w:p>
          <w:p w14:paraId="7D5AA826">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2.提供的技术方案是否包含规范和完善工作日志，完成数据汇总和挖掘，做好工作预案，质量控制措施是否完善，是否提供质量服务承诺，承诺是否量化且可操作（0-4分）；</w:t>
            </w:r>
          </w:p>
          <w:p w14:paraId="19F1B2BE">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3.投标人提供的技术方案是否包含制度化工作要求（0-4分）；</w:t>
            </w:r>
          </w:p>
          <w:p w14:paraId="6A404C01">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4.投标人提供的技术方案是否包含本项目的工作规划，是否提供安全服务方案，方案是否具有完善的服务流程（0-5分）；</w:t>
            </w:r>
          </w:p>
        </w:tc>
      </w:tr>
      <w:tr w14:paraId="4D0BBB9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881" w:hRule="atLeast"/>
          <w:jc w:val="center"/>
        </w:trPr>
        <w:tc>
          <w:tcPr>
            <w:tcW w:w="330" w:type="pct"/>
            <w:vAlign w:val="center"/>
          </w:tcPr>
          <w:p w14:paraId="788752CD">
            <w:pPr>
              <w:spacing w:line="240" w:lineRule="auto"/>
              <w:jc w:val="center"/>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6</w:t>
            </w:r>
          </w:p>
        </w:tc>
        <w:tc>
          <w:tcPr>
            <w:tcW w:w="669" w:type="pct"/>
            <w:tcBorders>
              <w:top w:val="single" w:color="auto" w:sz="6" w:space="0"/>
              <w:left w:val="single" w:color="auto" w:sz="6" w:space="0"/>
              <w:bottom w:val="single" w:color="auto" w:sz="6" w:space="0"/>
              <w:right w:val="single" w:color="auto" w:sz="6" w:space="0"/>
            </w:tcBorders>
            <w:vAlign w:val="center"/>
          </w:tcPr>
          <w:p w14:paraId="7A8085AB">
            <w:pPr>
              <w:spacing w:line="240" w:lineRule="auto"/>
              <w:jc w:val="center"/>
              <w:rPr>
                <w:rFonts w:hint="eastAsia" w:ascii="方正兰亭黑简体" w:hAnsi="方正兰亭黑简体" w:eastAsia="方正兰亭黑简体" w:cs="方正兰亭黑简体"/>
                <w:color w:val="auto"/>
                <w:sz w:val="20"/>
                <w:szCs w:val="20"/>
                <w:highlight w:val="none"/>
              </w:rPr>
            </w:pPr>
            <w:bookmarkStart w:id="7" w:name="_Hlk235180013"/>
            <w:r>
              <w:rPr>
                <w:rFonts w:hint="eastAsia" w:ascii="方正兰亭黑简体" w:hAnsi="方正兰亭黑简体" w:eastAsia="方正兰亭黑简体" w:cs="方正兰亭黑简体"/>
                <w:color w:val="auto"/>
                <w:sz w:val="20"/>
                <w:szCs w:val="20"/>
                <w:highlight w:val="none"/>
                <w:lang w:val="en-US" w:eastAsia="zh-CN"/>
              </w:rPr>
              <w:t>维护</w:t>
            </w:r>
            <w:r>
              <w:rPr>
                <w:rFonts w:hint="eastAsia" w:ascii="方正兰亭黑简体" w:hAnsi="方正兰亭黑简体" w:eastAsia="方正兰亭黑简体" w:cs="方正兰亭黑简体"/>
                <w:color w:val="auto"/>
                <w:sz w:val="20"/>
                <w:szCs w:val="20"/>
                <w:highlight w:val="none"/>
              </w:rPr>
              <w:t>服务方案</w:t>
            </w:r>
            <w:bookmarkEnd w:id="7"/>
          </w:p>
          <w:p w14:paraId="2F94F36C">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（主观分）</w:t>
            </w:r>
          </w:p>
        </w:tc>
        <w:tc>
          <w:tcPr>
            <w:tcW w:w="363" w:type="pct"/>
            <w:vAlign w:val="center"/>
          </w:tcPr>
          <w:p w14:paraId="004B4B48">
            <w:pPr>
              <w:spacing w:line="240" w:lineRule="auto"/>
              <w:jc w:val="center"/>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lang w:val="en-US" w:eastAsia="zh-CN"/>
              </w:rPr>
              <w:t>2</w:t>
            </w:r>
            <w:r>
              <w:rPr>
                <w:rFonts w:hint="eastAsia" w:ascii="方正兰亭黑简体" w:hAnsi="方正兰亭黑简体" w:eastAsia="方正兰亭黑简体" w:cs="方正兰亭黑简体"/>
                <w:color w:val="auto"/>
                <w:sz w:val="20"/>
                <w:szCs w:val="20"/>
                <w:highlight w:val="none"/>
              </w:rPr>
              <w:t>0</w:t>
            </w:r>
          </w:p>
        </w:tc>
        <w:tc>
          <w:tcPr>
            <w:tcW w:w="3637" w:type="pct"/>
            <w:vAlign w:val="center"/>
          </w:tcPr>
          <w:p w14:paraId="482B7D10">
            <w:pPr>
              <w:spacing w:line="24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1.</w:t>
            </w:r>
            <w:r>
              <w:rPr>
                <w:rFonts w:hint="eastAsia" w:ascii="方正兰亭黑简体" w:hAnsi="方正兰亭黑简体" w:eastAsia="方正兰亭黑简体" w:cs="方正兰亭黑简体"/>
                <w:color w:val="auto"/>
                <w:sz w:val="20"/>
                <w:szCs w:val="20"/>
                <w:highlight w:val="none"/>
              </w:rPr>
              <w:t>提供的日常保障方案、风险管理方案等是否有针对性，是否满足本项目需求（0-5分）</w:t>
            </w:r>
            <w:r>
              <w:rPr>
                <w:rFonts w:hint="eastAsia" w:ascii="方正兰亭黑简体" w:hAnsi="方正兰亭黑简体" w:eastAsia="方正兰亭黑简体" w:cs="方正兰亭黑简体"/>
                <w:color w:val="auto"/>
                <w:sz w:val="20"/>
                <w:szCs w:val="20"/>
                <w:highlight w:val="none"/>
                <w:lang w:eastAsia="zh-CN"/>
              </w:rPr>
              <w:t>；</w:t>
            </w:r>
          </w:p>
          <w:p w14:paraId="4769BB3C">
            <w:pPr>
              <w:spacing w:line="24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2.</w:t>
            </w:r>
            <w:r>
              <w:rPr>
                <w:rFonts w:hint="eastAsia" w:ascii="方正兰亭黑简体" w:hAnsi="方正兰亭黑简体" w:eastAsia="方正兰亭黑简体" w:cs="方正兰亭黑简体"/>
                <w:color w:val="auto"/>
                <w:sz w:val="20"/>
                <w:szCs w:val="20"/>
                <w:highlight w:val="none"/>
              </w:rPr>
              <w:t>提供项目应急预案是否有针对性，符合本项目的需求，包括对日常运维中常见突发情况和应急事件有认识和成因以及响应的应对措施（0-5分）</w:t>
            </w:r>
            <w:r>
              <w:rPr>
                <w:rFonts w:hint="eastAsia" w:ascii="方正兰亭黑简体" w:hAnsi="方正兰亭黑简体" w:eastAsia="方正兰亭黑简体" w:cs="方正兰亭黑简体"/>
                <w:color w:val="auto"/>
                <w:sz w:val="20"/>
                <w:szCs w:val="20"/>
                <w:highlight w:val="none"/>
                <w:lang w:eastAsia="zh-CN"/>
              </w:rPr>
              <w:t>；</w:t>
            </w:r>
          </w:p>
          <w:p w14:paraId="4976AEEB">
            <w:pPr>
              <w:spacing w:line="24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3.</w:t>
            </w:r>
            <w:r>
              <w:rPr>
                <w:rFonts w:hint="eastAsia" w:ascii="方正兰亭黑简体" w:hAnsi="方正兰亭黑简体" w:eastAsia="方正兰亭黑简体" w:cs="方正兰亭黑简体"/>
                <w:color w:val="auto"/>
                <w:sz w:val="20"/>
                <w:szCs w:val="20"/>
                <w:highlight w:val="none"/>
                <w:lang w:eastAsia="zh-CN"/>
              </w:rPr>
              <w:t>技术服务</w:t>
            </w:r>
            <w:r>
              <w:rPr>
                <w:rFonts w:hint="eastAsia" w:ascii="方正兰亭黑简体" w:hAnsi="方正兰亭黑简体" w:eastAsia="方正兰亭黑简体" w:cs="方正兰亭黑简体"/>
                <w:color w:val="auto"/>
                <w:sz w:val="20"/>
                <w:szCs w:val="20"/>
                <w:highlight w:val="none"/>
              </w:rPr>
              <w:t>人员配备及管理措施(0-5分)</w:t>
            </w:r>
            <w:r>
              <w:rPr>
                <w:rFonts w:hint="eastAsia" w:ascii="方正兰亭黑简体" w:hAnsi="方正兰亭黑简体" w:eastAsia="方正兰亭黑简体" w:cs="方正兰亭黑简体"/>
                <w:color w:val="auto"/>
                <w:sz w:val="20"/>
                <w:szCs w:val="20"/>
                <w:highlight w:val="none"/>
                <w:lang w:eastAsia="zh-CN"/>
              </w:rPr>
              <w:t>：</w:t>
            </w:r>
          </w:p>
          <w:p w14:paraId="3E40C044">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lang w:val="en-US" w:eastAsia="zh-CN"/>
              </w:rPr>
              <w:t>若满足</w:t>
            </w:r>
            <w:r>
              <w:rPr>
                <w:rFonts w:hint="eastAsia" w:ascii="方正兰亭黑简体" w:hAnsi="方正兰亭黑简体" w:eastAsia="方正兰亭黑简体" w:cs="方正兰亭黑简体"/>
                <w:color w:val="auto"/>
                <w:sz w:val="20"/>
                <w:szCs w:val="20"/>
                <w:highlight w:val="none"/>
              </w:rPr>
              <w:t>日常</w:t>
            </w:r>
            <w:r>
              <w:rPr>
                <w:rFonts w:hint="eastAsia" w:ascii="方正兰亭黑简体" w:hAnsi="方正兰亭黑简体" w:eastAsia="方正兰亭黑简体" w:cs="方正兰亭黑简体"/>
                <w:color w:val="auto"/>
                <w:sz w:val="20"/>
                <w:szCs w:val="20"/>
                <w:highlight w:val="none"/>
                <w:lang w:eastAsia="zh-CN"/>
              </w:rPr>
              <w:t>技术服务</w:t>
            </w:r>
            <w:r>
              <w:rPr>
                <w:rFonts w:hint="eastAsia" w:ascii="方正兰亭黑简体" w:hAnsi="方正兰亭黑简体" w:eastAsia="方正兰亭黑简体" w:cs="方正兰亭黑简体"/>
                <w:color w:val="auto"/>
                <w:sz w:val="20"/>
                <w:szCs w:val="20"/>
                <w:highlight w:val="none"/>
              </w:rPr>
              <w:t>人员提供VMware Certified  Professional 证书的，得2分；技术服务人员提供高级软件开发工程师证书的，得2分</w:t>
            </w:r>
            <w:r>
              <w:rPr>
                <w:rFonts w:hint="eastAsia" w:ascii="方正兰亭黑简体" w:hAnsi="方正兰亭黑简体" w:eastAsia="方正兰亭黑简体" w:cs="方正兰亭黑简体"/>
                <w:color w:val="auto"/>
                <w:sz w:val="20"/>
                <w:szCs w:val="20"/>
                <w:highlight w:val="none"/>
                <w:lang w:eastAsia="zh-CN"/>
              </w:rPr>
              <w:t>；</w:t>
            </w:r>
            <w:r>
              <w:rPr>
                <w:rFonts w:hint="eastAsia" w:ascii="方正兰亭黑简体" w:hAnsi="方正兰亭黑简体" w:eastAsia="方正兰亭黑简体" w:cs="方正兰亭黑简体"/>
                <w:color w:val="auto"/>
                <w:sz w:val="20"/>
                <w:szCs w:val="20"/>
                <w:highlight w:val="none"/>
                <w:lang w:val="en-US" w:eastAsia="zh-CN"/>
              </w:rPr>
              <w:t>提供相关管理措施的得1分；</w:t>
            </w:r>
          </w:p>
          <w:p w14:paraId="551CD7E1">
            <w:pPr>
              <w:spacing w:line="24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4.</w:t>
            </w:r>
            <w:r>
              <w:rPr>
                <w:rFonts w:hint="eastAsia" w:ascii="方正兰亭黑简体" w:hAnsi="方正兰亭黑简体" w:eastAsia="方正兰亭黑简体" w:cs="方正兰亭黑简体"/>
                <w:color w:val="auto"/>
                <w:sz w:val="20"/>
                <w:szCs w:val="20"/>
                <w:highlight w:val="none"/>
              </w:rPr>
              <w:t>提供的服务保障体系（包含保障与服务能力、保障时间和范围、保障期内运行服务内容、对采购人的支持或后期请求处理流程等）、</w:t>
            </w:r>
            <w:r>
              <w:rPr>
                <w:rFonts w:hint="eastAsia" w:ascii="方正兰亭黑简体" w:hAnsi="方正兰亭黑简体" w:eastAsia="方正兰亭黑简体" w:cs="方正兰亭黑简体"/>
                <w:color w:val="auto"/>
                <w:sz w:val="20"/>
                <w:szCs w:val="20"/>
                <w:highlight w:val="none"/>
                <w:lang w:val="en-US" w:eastAsia="zh-CN"/>
              </w:rPr>
              <w:t>维护</w:t>
            </w:r>
            <w:r>
              <w:rPr>
                <w:rFonts w:hint="eastAsia" w:ascii="方正兰亭黑简体" w:hAnsi="方正兰亭黑简体" w:eastAsia="方正兰亭黑简体" w:cs="方正兰亭黑简体"/>
                <w:color w:val="auto"/>
                <w:sz w:val="20"/>
                <w:szCs w:val="20"/>
                <w:highlight w:val="none"/>
              </w:rPr>
              <w:t>服务人员管理制度是否合理，是否满足本项目需求(0-5分)</w:t>
            </w:r>
            <w:r>
              <w:rPr>
                <w:rFonts w:hint="eastAsia" w:ascii="方正兰亭黑简体" w:hAnsi="方正兰亭黑简体" w:eastAsia="方正兰亭黑简体" w:cs="方正兰亭黑简体"/>
                <w:color w:val="auto"/>
                <w:sz w:val="20"/>
                <w:szCs w:val="20"/>
                <w:highlight w:val="none"/>
                <w:lang w:eastAsia="zh-CN"/>
              </w:rPr>
              <w:t>；</w:t>
            </w:r>
          </w:p>
          <w:p w14:paraId="633E5F41">
            <w:pPr>
              <w:spacing w:line="24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5.</w:t>
            </w:r>
            <w:r>
              <w:rPr>
                <w:rFonts w:hint="eastAsia" w:ascii="方正兰亭黑简体" w:hAnsi="方正兰亭黑简体" w:eastAsia="方正兰亭黑简体" w:cs="方正兰亭黑简体"/>
                <w:color w:val="auto"/>
                <w:sz w:val="20"/>
                <w:szCs w:val="20"/>
                <w:highlight w:val="none"/>
              </w:rPr>
              <w:t>投标人提供</w:t>
            </w:r>
            <w:r>
              <w:rPr>
                <w:rFonts w:hint="eastAsia" w:ascii="方正兰亭黑简体" w:hAnsi="方正兰亭黑简体" w:eastAsia="方正兰亭黑简体" w:cs="方正兰亭黑简体"/>
                <w:color w:val="auto"/>
                <w:sz w:val="20"/>
                <w:szCs w:val="20"/>
                <w:highlight w:val="none"/>
                <w:lang w:val="en-US" w:eastAsia="zh-CN"/>
              </w:rPr>
              <w:t>维护</w:t>
            </w:r>
            <w:r>
              <w:rPr>
                <w:rFonts w:hint="eastAsia" w:ascii="方正兰亭黑简体" w:hAnsi="方正兰亭黑简体" w:eastAsia="方正兰亭黑简体" w:cs="方正兰亭黑简体"/>
                <w:color w:val="auto"/>
                <w:sz w:val="20"/>
                <w:szCs w:val="20"/>
                <w:highlight w:val="none"/>
              </w:rPr>
              <w:t>服务管理承诺函（0-5分）</w:t>
            </w:r>
            <w:r>
              <w:rPr>
                <w:rFonts w:hint="eastAsia" w:ascii="方正兰亭黑简体" w:hAnsi="方正兰亭黑简体" w:eastAsia="方正兰亭黑简体" w:cs="方正兰亭黑简体"/>
                <w:color w:val="auto"/>
                <w:sz w:val="20"/>
                <w:szCs w:val="20"/>
                <w:highlight w:val="none"/>
                <w:lang w:eastAsia="zh-CN"/>
              </w:rPr>
              <w:t>：</w:t>
            </w:r>
          </w:p>
          <w:p w14:paraId="4D2AF6D8">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投标人承诺如采购人认为投标人所提供的整体</w:t>
            </w:r>
            <w:r>
              <w:rPr>
                <w:rFonts w:hint="eastAsia" w:ascii="方正兰亭黑简体" w:hAnsi="方正兰亭黑简体" w:eastAsia="方正兰亭黑简体" w:cs="方正兰亭黑简体"/>
                <w:color w:val="auto"/>
                <w:sz w:val="20"/>
                <w:szCs w:val="20"/>
                <w:highlight w:val="none"/>
                <w:lang w:val="en-US" w:eastAsia="zh-CN"/>
              </w:rPr>
              <w:t>技术</w:t>
            </w:r>
            <w:r>
              <w:rPr>
                <w:rFonts w:hint="eastAsia" w:ascii="方正兰亭黑简体" w:hAnsi="方正兰亭黑简体" w:eastAsia="方正兰亭黑简体" w:cs="方正兰亭黑简体"/>
                <w:color w:val="auto"/>
                <w:sz w:val="20"/>
                <w:szCs w:val="20"/>
                <w:highlight w:val="none"/>
              </w:rPr>
              <w:t>服务不能达到采购人对虚拟化平台及基础支撑系统维护要求的，为确保教学的正常运行，采购人有权终止合同，所产生的损失，将由投标人承担的，得5分。需提供明确且加盖公章的承诺函，格式自拟，否则不得分。</w:t>
            </w:r>
          </w:p>
          <w:p w14:paraId="6C40E5DB">
            <w:pPr>
              <w:spacing w:line="240" w:lineRule="auto"/>
              <w:jc w:val="left"/>
              <w:rPr>
                <w:rFonts w:hint="eastAsia" w:ascii="方正兰亭黑简体" w:hAnsi="方正兰亭黑简体" w:eastAsia="方正兰亭黑简体" w:cs="方正兰亭黑简体"/>
                <w:color w:val="auto"/>
                <w:sz w:val="20"/>
                <w:szCs w:val="20"/>
                <w:highlight w:val="none"/>
                <w:lang w:eastAsia="zh-CN"/>
              </w:rPr>
            </w:pPr>
            <w:r>
              <w:rPr>
                <w:rFonts w:hint="eastAsia" w:ascii="方正兰亭黑简体" w:hAnsi="方正兰亭黑简体" w:eastAsia="方正兰亭黑简体" w:cs="方正兰亭黑简体"/>
                <w:color w:val="auto"/>
                <w:sz w:val="20"/>
                <w:szCs w:val="20"/>
                <w:highlight w:val="none"/>
                <w:lang w:val="en-US" w:eastAsia="zh-CN"/>
              </w:rPr>
              <w:t>5.</w:t>
            </w:r>
            <w:r>
              <w:rPr>
                <w:rFonts w:hint="eastAsia" w:ascii="方正兰亭黑简体" w:hAnsi="方正兰亭黑简体" w:eastAsia="方正兰亭黑简体" w:cs="方正兰亭黑简体"/>
                <w:color w:val="auto"/>
                <w:sz w:val="20"/>
                <w:szCs w:val="20"/>
                <w:highlight w:val="none"/>
              </w:rPr>
              <w:t>投标人提供专人对接及保证服务水平和保证本项目在服务期内稳定地运行承诺函（0-5分）</w:t>
            </w:r>
            <w:r>
              <w:rPr>
                <w:rFonts w:hint="eastAsia" w:ascii="方正兰亭黑简体" w:hAnsi="方正兰亭黑简体" w:eastAsia="方正兰亭黑简体" w:cs="方正兰亭黑简体"/>
                <w:color w:val="auto"/>
                <w:sz w:val="20"/>
                <w:szCs w:val="20"/>
                <w:highlight w:val="none"/>
                <w:lang w:eastAsia="zh-CN"/>
              </w:rPr>
              <w:t>：</w:t>
            </w:r>
          </w:p>
          <w:p w14:paraId="4EE55FF6">
            <w:pPr>
              <w:spacing w:line="240" w:lineRule="auto"/>
              <w:jc w:val="left"/>
              <w:rPr>
                <w:rFonts w:hint="eastAsia" w:ascii="方正兰亭黑简体" w:hAnsi="方正兰亭黑简体" w:eastAsia="方正兰亭黑简体" w:cs="方正兰亭黑简体"/>
                <w:color w:val="auto"/>
                <w:sz w:val="20"/>
                <w:szCs w:val="20"/>
                <w:highlight w:val="none"/>
              </w:rPr>
            </w:pPr>
            <w:r>
              <w:rPr>
                <w:rFonts w:hint="eastAsia" w:ascii="方正兰亭黑简体" w:hAnsi="方正兰亭黑简体" w:eastAsia="方正兰亭黑简体" w:cs="方正兰亭黑简体"/>
                <w:color w:val="auto"/>
                <w:sz w:val="20"/>
                <w:szCs w:val="20"/>
                <w:highlight w:val="none"/>
              </w:rPr>
              <w:t>承诺根据上海海事大学的实际运行需求，有计划地制定本项目运维和服务保障体系，保证本项目按时稳定地运行</w:t>
            </w:r>
            <w:r>
              <w:rPr>
                <w:rFonts w:hint="eastAsia" w:ascii="方正兰亭黑简体" w:hAnsi="方正兰亭黑简体" w:eastAsia="方正兰亭黑简体" w:cs="方正兰亭黑简体"/>
                <w:color w:val="auto"/>
                <w:sz w:val="20"/>
                <w:szCs w:val="20"/>
                <w:highlight w:val="none"/>
                <w:lang w:val="en-US" w:eastAsia="zh-CN"/>
              </w:rPr>
              <w:t>的，</w:t>
            </w:r>
            <w:r>
              <w:rPr>
                <w:rFonts w:hint="eastAsia" w:ascii="方正兰亭黑简体" w:hAnsi="方正兰亭黑简体" w:eastAsia="方正兰亭黑简体" w:cs="方正兰亭黑简体"/>
                <w:color w:val="auto"/>
                <w:sz w:val="20"/>
                <w:szCs w:val="20"/>
                <w:highlight w:val="none"/>
              </w:rPr>
              <w:t>得2分; 为保证项目的顺利实施，如期完成，同时保证项目实施全过程中的服务水平，投标人承诺在项目实施过程中，指定有智能化系统集成项目经理证书的专业人员负责与学校相关负责人对接的，得3分。以上均需提供明确且加盖公章的承诺函，格式自拟，否则不得分。</w:t>
            </w:r>
          </w:p>
        </w:tc>
      </w:tr>
    </w:tbl>
    <w:p w14:paraId="6072BEB5">
      <w:pPr>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br w:type="page"/>
      </w:r>
    </w:p>
    <w:p w14:paraId="2D0B04EA">
      <w:pPr>
        <w:jc w:val="center"/>
        <w:rPr>
          <w:rFonts w:hint="eastAsia" w:ascii="方正兰亭黑简体" w:hAnsi="方正兰亭黑简体" w:eastAsia="方正兰亭黑简体" w:cs="方正兰亭黑简体"/>
          <w:b/>
          <w:bCs/>
          <w:color w:val="auto"/>
          <w:sz w:val="24"/>
          <w:szCs w:val="32"/>
          <w:highlight w:val="none"/>
        </w:rPr>
        <w:sectPr>
          <w:footerReference r:id="rId3" w:type="default"/>
          <w:pgSz w:w="11906" w:h="16838"/>
          <w:pgMar w:top="1440" w:right="1080" w:bottom="1440" w:left="1080" w:header="851" w:footer="992" w:gutter="0"/>
          <w:cols w:space="425" w:num="1"/>
          <w:docGrid w:type="lines" w:linePitch="312" w:charSpace="0"/>
        </w:sectPr>
      </w:pPr>
    </w:p>
    <w:p w14:paraId="1AC852B6">
      <w:pPr>
        <w:jc w:val="center"/>
        <w:rPr>
          <w:rFonts w:hint="eastAsia" w:ascii="方正兰亭黑简体" w:hAnsi="方正兰亭黑简体" w:eastAsia="方正兰亭黑简体" w:cs="方正兰亭黑简体"/>
          <w:b/>
          <w:bCs/>
          <w:color w:val="auto"/>
          <w:sz w:val="24"/>
          <w:szCs w:val="32"/>
          <w:highlight w:val="none"/>
        </w:rPr>
      </w:pPr>
      <w:r>
        <w:rPr>
          <w:rFonts w:hint="eastAsia" w:ascii="方正兰亭黑简体" w:hAnsi="方正兰亭黑简体" w:eastAsia="方正兰亭黑简体" w:cs="方正兰亭黑简体"/>
          <w:b/>
          <w:bCs/>
          <w:color w:val="auto"/>
          <w:sz w:val="24"/>
          <w:szCs w:val="32"/>
          <w:highlight w:val="none"/>
        </w:rPr>
        <w:t>第四章格式附件</w:t>
      </w:r>
    </w:p>
    <w:p w14:paraId="1219D175">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附件1：报价单</w:t>
      </w:r>
    </w:p>
    <w:p w14:paraId="038537F8">
      <w:pPr>
        <w:spacing w:line="440" w:lineRule="exact"/>
        <w:jc w:val="center"/>
        <w:rPr>
          <w:rFonts w:hint="eastAsia" w:ascii="宋体" w:hAnsi="宋体" w:eastAsia="宋体"/>
          <w:color w:val="auto"/>
          <w:sz w:val="24"/>
          <w:highlight w:val="none"/>
        </w:rPr>
      </w:pPr>
      <w:r>
        <w:rPr>
          <w:rFonts w:hint="eastAsia" w:ascii="黑体" w:hAnsi="华文楷体" w:eastAsia="黑体"/>
          <w:b/>
          <w:color w:val="auto"/>
          <w:sz w:val="36"/>
          <w:szCs w:val="36"/>
          <w:highlight w:val="none"/>
        </w:rPr>
        <w:t>报价单</w:t>
      </w:r>
    </w:p>
    <w:p w14:paraId="28C0DCFE">
      <w:pPr>
        <w:spacing w:line="440" w:lineRule="exact"/>
        <w:jc w:val="left"/>
        <w:rPr>
          <w:rFonts w:hint="eastAsia" w:ascii="黑体" w:hAnsi="华文楷体" w:eastAsia="黑体"/>
          <w:color w:val="auto"/>
          <w:sz w:val="24"/>
          <w:highlight w:val="none"/>
          <w:lang w:eastAsia="zh-CN"/>
        </w:rPr>
      </w:pPr>
      <w:r>
        <w:rPr>
          <w:rFonts w:hint="eastAsia" w:ascii="黑体" w:hAnsi="华文楷体" w:eastAsia="黑体"/>
          <w:b/>
          <w:color w:val="auto"/>
          <w:sz w:val="24"/>
          <w:highlight w:val="none"/>
        </w:rPr>
        <w:t>TO</w:t>
      </w:r>
      <w:r>
        <w:rPr>
          <w:rFonts w:hint="eastAsia" w:ascii="黑体" w:hAnsi="华文楷体" w:eastAsia="黑体"/>
          <w:b/>
          <w:color w:val="auto"/>
          <w:sz w:val="24"/>
          <w:highlight w:val="none"/>
          <w:lang w:eastAsia="zh-CN"/>
        </w:rPr>
        <w:t>：</w:t>
      </w:r>
      <w:r>
        <w:rPr>
          <w:rFonts w:hint="eastAsia" w:ascii="黑体" w:hAnsi="华文楷体" w:eastAsia="黑体"/>
          <w:color w:val="auto"/>
          <w:sz w:val="24"/>
          <w:highlight w:val="none"/>
        </w:rPr>
        <w:t>上海海事大学采购与招投标管理中心</w:t>
      </w:r>
      <w:r>
        <w:rPr>
          <w:rFonts w:hint="eastAsia" w:ascii="黑体" w:hAnsi="华文楷体" w:eastAsia="黑体"/>
          <w:color w:val="auto"/>
          <w:sz w:val="24"/>
          <w:highlight w:val="none"/>
          <w:lang w:val="en-US" w:eastAsia="zh-CN"/>
        </w:rPr>
        <w:t xml:space="preserve">                         </w:t>
      </w:r>
      <w:r>
        <w:rPr>
          <w:rFonts w:hint="eastAsia" w:ascii="黑体" w:hAnsi="华文楷体" w:eastAsia="黑体"/>
          <w:color w:val="auto"/>
          <w:sz w:val="24"/>
          <w:highlight w:val="none"/>
        </w:rPr>
        <w:t>项目编号：</w:t>
      </w:r>
      <w:r>
        <w:rPr>
          <w:rFonts w:hint="eastAsia" w:ascii="黑体" w:hAnsi="华文楷体" w:eastAsia="黑体"/>
          <w:color w:val="auto"/>
          <w:sz w:val="24"/>
          <w:highlight w:val="none"/>
          <w:lang w:eastAsia="zh-CN"/>
        </w:rPr>
        <w:t>HFBX2026071</w:t>
      </w:r>
    </w:p>
    <w:p w14:paraId="09EAC316">
      <w:pPr>
        <w:spacing w:line="440" w:lineRule="exact"/>
        <w:rPr>
          <w:rFonts w:hint="eastAsia" w:ascii="方正仿宋_GB2312" w:hAnsi="方正仿宋_GB2312" w:eastAsia="方正仿宋_GB2312" w:cs="方正仿宋_GB2312"/>
          <w:b/>
          <w:color w:val="auto"/>
          <w:sz w:val="24"/>
          <w:highlight w:val="none"/>
        </w:rPr>
      </w:pPr>
      <w:r>
        <w:rPr>
          <w:rFonts w:hint="eastAsia" w:ascii="黑体" w:hAnsi="华文楷体" w:eastAsia="黑体"/>
          <w:b/>
          <w:color w:val="auto"/>
          <w:sz w:val="24"/>
          <w:highlight w:val="none"/>
        </w:rPr>
        <w:t>电子邮箱：</w:t>
      </w:r>
      <w:r>
        <w:rPr>
          <w:color w:val="auto"/>
          <w:highlight w:val="none"/>
        </w:rPr>
        <w:fldChar w:fldCharType="begin"/>
      </w:r>
      <w:r>
        <w:rPr>
          <w:color w:val="auto"/>
          <w:highlight w:val="none"/>
        </w:rPr>
        <w:instrText xml:space="preserve"> HYPERLINK "mailto:quotation@shmtu.edu.cn" </w:instrText>
      </w:r>
      <w:r>
        <w:rPr>
          <w:color w:val="auto"/>
          <w:highlight w:val="none"/>
        </w:rPr>
        <w:fldChar w:fldCharType="separate"/>
      </w:r>
      <w:r>
        <w:rPr>
          <w:rStyle w:val="18"/>
          <w:rFonts w:ascii="黑体" w:hAnsi="华文楷体" w:eastAsia="黑体"/>
          <w:b/>
          <w:color w:val="auto"/>
          <w:sz w:val="24"/>
          <w:highlight w:val="none"/>
        </w:rPr>
        <w:t>quotation@shmtu.edu.cn</w:t>
      </w:r>
      <w:r>
        <w:rPr>
          <w:rStyle w:val="18"/>
          <w:rFonts w:ascii="黑体" w:hAnsi="华文楷体" w:eastAsia="黑体"/>
          <w:b/>
          <w:color w:val="auto"/>
          <w:sz w:val="24"/>
          <w:highlight w:val="none"/>
        </w:rPr>
        <w:fldChar w:fldCharType="end"/>
      </w:r>
    </w:p>
    <w:p w14:paraId="0E4AC90F">
      <w:pPr>
        <w:spacing w:line="440" w:lineRule="exact"/>
        <w:rPr>
          <w:rFonts w:hint="eastAsia" w:ascii="黑体" w:hAnsi="华文楷体" w:eastAsia="黑体"/>
          <w:b/>
          <w:color w:val="auto"/>
          <w:sz w:val="24"/>
          <w:highlight w:val="none"/>
        </w:rPr>
      </w:pPr>
      <w:r>
        <w:rPr>
          <w:rFonts w:hint="eastAsia" w:ascii="黑体" w:hAnsi="华文楷体" w:eastAsia="黑体"/>
          <w:b/>
          <w:color w:val="auto"/>
          <w:sz w:val="24"/>
          <w:highlight w:val="none"/>
        </w:rPr>
        <w:t>公司名称：联系人：</w:t>
      </w:r>
    </w:p>
    <w:p w14:paraId="6610026A">
      <w:pPr>
        <w:spacing w:line="440" w:lineRule="exact"/>
        <w:rPr>
          <w:rFonts w:hint="eastAsia" w:ascii="黑体" w:hAnsi="华文楷体" w:eastAsia="黑体"/>
          <w:b/>
          <w:color w:val="auto"/>
          <w:sz w:val="24"/>
          <w:highlight w:val="none"/>
        </w:rPr>
      </w:pPr>
      <w:r>
        <w:rPr>
          <w:rFonts w:hint="eastAsia" w:ascii="黑体" w:hAnsi="华文楷体" w:eastAsia="黑体"/>
          <w:b/>
          <w:color w:val="auto"/>
          <w:sz w:val="24"/>
          <w:highlight w:val="none"/>
        </w:rPr>
        <w:t>电子邮箱：公司地址：</w:t>
      </w:r>
    </w:p>
    <w:p w14:paraId="0F397EAB">
      <w:pPr>
        <w:spacing w:line="440" w:lineRule="exact"/>
        <w:rPr>
          <w:rFonts w:hint="eastAsia" w:ascii="黑体" w:hAnsi="华文楷体" w:eastAsia="黑体"/>
          <w:b/>
          <w:color w:val="auto"/>
          <w:sz w:val="24"/>
          <w:highlight w:val="none"/>
        </w:rPr>
      </w:pPr>
      <w:r>
        <w:rPr>
          <w:rFonts w:hint="eastAsia" w:ascii="黑体" w:hAnsi="华文楷体" w:eastAsia="黑体"/>
          <w:b/>
          <w:color w:val="auto"/>
          <w:sz w:val="24"/>
          <w:highlight w:val="none"/>
        </w:rPr>
        <w:t>电话：联系人手机：</w:t>
      </w:r>
    </w:p>
    <w:p w14:paraId="184D96DB">
      <w:pPr>
        <w:spacing w:line="440" w:lineRule="exact"/>
        <w:rPr>
          <w:rFonts w:hint="eastAsia" w:ascii="黑体" w:hAnsi="华文楷体" w:eastAsia="黑体"/>
          <w:b/>
          <w:color w:val="auto"/>
          <w:sz w:val="24"/>
          <w:highlight w:val="none"/>
        </w:rPr>
      </w:pPr>
    </w:p>
    <w:tbl>
      <w:tblPr>
        <w:tblStyle w:val="14"/>
        <w:tblW w:w="4987"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28" w:type="dxa"/>
          <w:bottom w:w="0" w:type="dxa"/>
          <w:right w:w="28" w:type="dxa"/>
        </w:tblCellMar>
      </w:tblPr>
      <w:tblGrid>
        <w:gridCol w:w="608"/>
        <w:gridCol w:w="4306"/>
        <w:gridCol w:w="2521"/>
        <w:gridCol w:w="2336"/>
      </w:tblGrid>
      <w:tr w14:paraId="164CE4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50" w:hRule="exact"/>
        </w:trPr>
        <w:tc>
          <w:tcPr>
            <w:tcW w:w="311" w:type="pct"/>
            <w:tcBorders>
              <w:top w:val="single" w:color="auto" w:sz="12" w:space="0"/>
              <w:left w:val="single" w:color="auto" w:sz="12" w:space="0"/>
              <w:bottom w:val="double" w:color="auto" w:sz="4" w:space="0"/>
            </w:tcBorders>
            <w:vAlign w:val="center"/>
          </w:tcPr>
          <w:p w14:paraId="2BBD17A6">
            <w:pPr>
              <w:tabs>
                <w:tab w:val="left" w:pos="7020"/>
              </w:tabs>
              <w:jc w:val="center"/>
              <w:rPr>
                <w:rFonts w:hint="eastAsia" w:ascii="黑体" w:hAnsi="黑体" w:eastAsia="黑体"/>
                <w:b/>
                <w:color w:val="auto"/>
                <w:sz w:val="24"/>
                <w:highlight w:val="none"/>
              </w:rPr>
            </w:pPr>
            <w:r>
              <w:rPr>
                <w:rFonts w:hint="eastAsia" w:ascii="黑体" w:hAnsi="黑体" w:eastAsia="黑体"/>
                <w:b/>
                <w:color w:val="auto"/>
                <w:sz w:val="24"/>
                <w:highlight w:val="none"/>
              </w:rPr>
              <w:t>序号</w:t>
            </w:r>
          </w:p>
        </w:tc>
        <w:tc>
          <w:tcPr>
            <w:tcW w:w="2202" w:type="pct"/>
            <w:tcBorders>
              <w:top w:val="single" w:color="auto" w:sz="12" w:space="0"/>
              <w:bottom w:val="double" w:color="auto" w:sz="4" w:space="0"/>
            </w:tcBorders>
            <w:vAlign w:val="center"/>
          </w:tcPr>
          <w:p w14:paraId="1041179F">
            <w:pPr>
              <w:tabs>
                <w:tab w:val="left" w:pos="7020"/>
              </w:tabs>
              <w:jc w:val="center"/>
              <w:rPr>
                <w:rFonts w:hint="eastAsia" w:ascii="黑体" w:hAnsi="黑体" w:eastAsia="黑体"/>
                <w:b/>
                <w:color w:val="auto"/>
                <w:sz w:val="24"/>
                <w:highlight w:val="none"/>
              </w:rPr>
            </w:pPr>
            <w:r>
              <w:rPr>
                <w:rFonts w:hint="eastAsia" w:ascii="黑体" w:hAnsi="黑体" w:eastAsia="黑体"/>
                <w:b/>
                <w:color w:val="auto"/>
                <w:sz w:val="24"/>
                <w:highlight w:val="none"/>
              </w:rPr>
              <w:t>项目名称</w:t>
            </w:r>
          </w:p>
        </w:tc>
        <w:tc>
          <w:tcPr>
            <w:tcW w:w="1290" w:type="pct"/>
            <w:tcBorders>
              <w:top w:val="single" w:color="auto" w:sz="12" w:space="0"/>
              <w:left w:val="single" w:color="auto" w:sz="4" w:space="0"/>
              <w:bottom w:val="double" w:color="auto" w:sz="4" w:space="0"/>
              <w:right w:val="single" w:color="auto" w:sz="4" w:space="0"/>
            </w:tcBorders>
            <w:vAlign w:val="center"/>
          </w:tcPr>
          <w:p w14:paraId="697F2EE7">
            <w:pPr>
              <w:tabs>
                <w:tab w:val="left" w:pos="7020"/>
              </w:tabs>
              <w:jc w:val="center"/>
              <w:rPr>
                <w:rFonts w:hint="eastAsia" w:ascii="黑体" w:hAnsi="黑体" w:eastAsia="黑体"/>
                <w:b/>
                <w:color w:val="auto"/>
                <w:sz w:val="24"/>
                <w:highlight w:val="none"/>
                <w:lang w:val="en-US" w:eastAsia="zh-CN"/>
              </w:rPr>
            </w:pPr>
            <w:r>
              <w:rPr>
                <w:rFonts w:hint="eastAsia" w:ascii="黑体" w:hAnsi="黑体" w:eastAsia="黑体"/>
                <w:b/>
                <w:color w:val="auto"/>
                <w:sz w:val="24"/>
                <w:highlight w:val="none"/>
              </w:rPr>
              <w:t>项目</w:t>
            </w:r>
            <w:r>
              <w:rPr>
                <w:rFonts w:hint="eastAsia" w:ascii="黑体" w:hAnsi="黑体" w:eastAsia="黑体"/>
                <w:b/>
                <w:color w:val="auto"/>
                <w:sz w:val="24"/>
                <w:highlight w:val="none"/>
                <w:lang w:val="en-US" w:eastAsia="zh-CN"/>
              </w:rPr>
              <w:t>总价</w:t>
            </w:r>
            <w:r>
              <w:rPr>
                <w:rFonts w:hint="eastAsia" w:ascii="黑体" w:hAnsi="黑体" w:eastAsia="黑体"/>
                <w:b/>
                <w:color w:val="auto"/>
                <w:sz w:val="24"/>
                <w:highlight w:val="none"/>
              </w:rPr>
              <w:t>（元）</w:t>
            </w:r>
          </w:p>
        </w:tc>
        <w:tc>
          <w:tcPr>
            <w:tcW w:w="1195" w:type="pct"/>
            <w:tcBorders>
              <w:top w:val="single" w:color="auto" w:sz="12" w:space="0"/>
              <w:left w:val="single" w:color="auto" w:sz="4" w:space="0"/>
              <w:bottom w:val="double" w:color="auto" w:sz="4" w:space="0"/>
              <w:right w:val="single" w:color="auto" w:sz="12" w:space="0"/>
            </w:tcBorders>
            <w:vAlign w:val="center"/>
          </w:tcPr>
          <w:p w14:paraId="5C391E51">
            <w:pPr>
              <w:tabs>
                <w:tab w:val="left" w:pos="7020"/>
              </w:tabs>
              <w:jc w:val="center"/>
              <w:rPr>
                <w:rFonts w:hint="default" w:ascii="黑体" w:hAnsi="黑体" w:eastAsia="黑体"/>
                <w:b/>
                <w:color w:val="auto"/>
                <w:sz w:val="24"/>
                <w:highlight w:val="none"/>
                <w:lang w:val="en-US" w:eastAsia="zh-CN"/>
              </w:rPr>
            </w:pPr>
            <w:r>
              <w:rPr>
                <w:rFonts w:hint="eastAsia" w:ascii="黑体" w:hAnsi="黑体" w:eastAsia="黑体"/>
                <w:b/>
                <w:color w:val="auto"/>
                <w:sz w:val="24"/>
                <w:highlight w:val="none"/>
                <w:lang w:val="en-US" w:eastAsia="zh-CN"/>
              </w:rPr>
              <w:t>备注</w:t>
            </w:r>
          </w:p>
        </w:tc>
      </w:tr>
      <w:tr w14:paraId="09A6E8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705" w:hRule="exact"/>
        </w:trPr>
        <w:tc>
          <w:tcPr>
            <w:tcW w:w="311" w:type="pct"/>
            <w:tcBorders>
              <w:top w:val="double" w:color="auto" w:sz="4" w:space="0"/>
              <w:left w:val="single" w:color="auto" w:sz="12" w:space="0"/>
              <w:bottom w:val="double" w:color="auto" w:sz="4" w:space="0"/>
            </w:tcBorders>
            <w:vAlign w:val="center"/>
          </w:tcPr>
          <w:p w14:paraId="1ED43816">
            <w:pPr>
              <w:tabs>
                <w:tab w:val="left" w:pos="7020"/>
              </w:tabs>
              <w:jc w:val="center"/>
              <w:rPr>
                <w:rFonts w:hint="eastAsia" w:ascii="黑体" w:hAnsi="黑体" w:eastAsia="黑体"/>
                <w:b/>
                <w:color w:val="auto"/>
                <w:sz w:val="24"/>
                <w:highlight w:val="none"/>
              </w:rPr>
            </w:pPr>
            <w:r>
              <w:rPr>
                <w:rFonts w:hint="eastAsia" w:ascii="黑体" w:hAnsi="黑体" w:eastAsia="黑体"/>
                <w:b/>
                <w:color w:val="auto"/>
                <w:sz w:val="24"/>
                <w:highlight w:val="none"/>
              </w:rPr>
              <w:t>1</w:t>
            </w:r>
          </w:p>
        </w:tc>
        <w:tc>
          <w:tcPr>
            <w:tcW w:w="2202" w:type="pct"/>
            <w:tcBorders>
              <w:top w:val="double" w:color="auto" w:sz="4" w:space="0"/>
              <w:bottom w:val="double" w:color="auto" w:sz="4" w:space="0"/>
            </w:tcBorders>
            <w:vAlign w:val="center"/>
          </w:tcPr>
          <w:p w14:paraId="4E78542C">
            <w:pPr>
              <w:tabs>
                <w:tab w:val="left" w:pos="7020"/>
              </w:tabs>
              <w:jc w:val="center"/>
              <w:rPr>
                <w:rFonts w:hint="eastAsia" w:ascii="黑体" w:hAnsi="黑体" w:eastAsia="黑体" w:cs="Times New Roman"/>
                <w:b/>
                <w:color w:val="auto"/>
                <w:sz w:val="24"/>
                <w:highlight w:val="none"/>
                <w:lang w:eastAsia="zh-CN"/>
              </w:rPr>
            </w:pPr>
            <w:r>
              <w:rPr>
                <w:rFonts w:hint="eastAsia" w:ascii="黑体" w:hAnsi="黑体" w:eastAsia="黑体"/>
                <w:b/>
                <w:color w:val="auto"/>
                <w:sz w:val="24"/>
                <w:highlight w:val="none"/>
                <w:lang w:eastAsia="zh-CN"/>
              </w:rPr>
              <w:t>虚拟化平台及基础支撑系统技术服务</w:t>
            </w:r>
          </w:p>
        </w:tc>
        <w:tc>
          <w:tcPr>
            <w:tcW w:w="1290" w:type="pct"/>
            <w:tcBorders>
              <w:top w:val="double" w:color="auto" w:sz="4" w:space="0"/>
              <w:left w:val="single" w:color="auto" w:sz="4" w:space="0"/>
              <w:bottom w:val="double" w:color="auto" w:sz="4" w:space="0"/>
              <w:right w:val="single" w:color="auto" w:sz="4" w:space="0"/>
            </w:tcBorders>
            <w:vAlign w:val="center"/>
          </w:tcPr>
          <w:p w14:paraId="58FFF829">
            <w:pPr>
              <w:tabs>
                <w:tab w:val="left" w:pos="7020"/>
              </w:tabs>
              <w:jc w:val="center"/>
              <w:rPr>
                <w:rFonts w:hint="eastAsia" w:ascii="黑体" w:hAnsi="黑体" w:eastAsia="黑体"/>
                <w:b/>
                <w:color w:val="auto"/>
                <w:sz w:val="24"/>
                <w:highlight w:val="none"/>
                <w:lang w:eastAsia="zh-CN"/>
              </w:rPr>
            </w:pPr>
          </w:p>
        </w:tc>
        <w:tc>
          <w:tcPr>
            <w:tcW w:w="1195" w:type="pct"/>
            <w:tcBorders>
              <w:top w:val="double" w:color="auto" w:sz="4" w:space="0"/>
              <w:left w:val="single" w:color="auto" w:sz="4" w:space="0"/>
              <w:bottom w:val="double" w:color="auto" w:sz="4" w:space="0"/>
              <w:right w:val="single" w:color="auto" w:sz="12" w:space="0"/>
            </w:tcBorders>
            <w:vAlign w:val="center"/>
          </w:tcPr>
          <w:p w14:paraId="3E1EF44A">
            <w:pPr>
              <w:tabs>
                <w:tab w:val="left" w:pos="7020"/>
              </w:tabs>
              <w:jc w:val="center"/>
              <w:rPr>
                <w:rFonts w:hint="default" w:eastAsiaTheme="minorEastAsia"/>
                <w:color w:val="auto"/>
                <w:highlight w:val="none"/>
                <w:lang w:val="en-US" w:eastAsia="zh-CN"/>
              </w:rPr>
            </w:pPr>
          </w:p>
        </w:tc>
      </w:tr>
      <w:tr w14:paraId="77FEC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50" w:hRule="exact"/>
        </w:trPr>
        <w:tc>
          <w:tcPr>
            <w:tcW w:w="2514" w:type="pct"/>
            <w:gridSpan w:val="2"/>
            <w:tcBorders>
              <w:top w:val="double" w:color="auto" w:sz="4" w:space="0"/>
              <w:left w:val="single" w:color="auto" w:sz="12" w:space="0"/>
              <w:bottom w:val="single" w:color="auto" w:sz="12" w:space="0"/>
              <w:right w:val="single" w:color="auto" w:sz="4" w:space="0"/>
            </w:tcBorders>
            <w:vAlign w:val="center"/>
          </w:tcPr>
          <w:p w14:paraId="6322DB60">
            <w:pPr>
              <w:tabs>
                <w:tab w:val="left" w:pos="7020"/>
              </w:tabs>
              <w:jc w:val="center"/>
              <w:rPr>
                <w:rFonts w:hint="eastAsia" w:ascii="黑体" w:hAnsi="黑体" w:eastAsia="黑体"/>
                <w:b/>
                <w:color w:val="auto"/>
                <w:sz w:val="24"/>
                <w:highlight w:val="none"/>
              </w:rPr>
            </w:pPr>
            <w:r>
              <w:rPr>
                <w:rFonts w:hint="eastAsia" w:ascii="黑体" w:hAnsi="黑体" w:eastAsia="黑体"/>
                <w:b/>
                <w:color w:val="auto"/>
                <w:sz w:val="24"/>
                <w:highlight w:val="none"/>
              </w:rPr>
              <w:t>合计金额（人民币）</w:t>
            </w:r>
          </w:p>
        </w:tc>
        <w:tc>
          <w:tcPr>
            <w:tcW w:w="2485" w:type="pct"/>
            <w:gridSpan w:val="2"/>
            <w:tcBorders>
              <w:top w:val="double" w:color="auto" w:sz="4" w:space="0"/>
              <w:left w:val="single" w:color="auto" w:sz="4" w:space="0"/>
              <w:bottom w:val="single" w:color="auto" w:sz="12" w:space="0"/>
              <w:right w:val="single" w:color="auto" w:sz="12" w:space="0"/>
            </w:tcBorders>
            <w:vAlign w:val="center"/>
          </w:tcPr>
          <w:p w14:paraId="4B46D8FA">
            <w:pPr>
              <w:tabs>
                <w:tab w:val="left" w:pos="7020"/>
              </w:tabs>
              <w:jc w:val="center"/>
              <w:rPr>
                <w:rFonts w:hint="eastAsia" w:ascii="黑体" w:hAnsi="黑体" w:eastAsia="黑体"/>
                <w:b/>
                <w:color w:val="auto"/>
                <w:sz w:val="24"/>
                <w:highlight w:val="none"/>
              </w:rPr>
            </w:pPr>
            <w:r>
              <w:rPr>
                <w:rFonts w:hint="eastAsia" w:ascii="黑体" w:hAnsi="黑体" w:eastAsia="黑体"/>
                <w:b/>
                <w:color w:val="auto"/>
                <w:sz w:val="24"/>
                <w:highlight w:val="none"/>
              </w:rPr>
              <w:t>￥（大写）：</w:t>
            </w:r>
          </w:p>
        </w:tc>
      </w:tr>
    </w:tbl>
    <w:p w14:paraId="0408D135">
      <w:pPr>
        <w:spacing w:line="440" w:lineRule="exact"/>
        <w:rPr>
          <w:rFonts w:hint="eastAsia" w:ascii="黑体" w:hAnsi="华文楷体" w:eastAsia="黑体"/>
          <w:color w:val="auto"/>
          <w:sz w:val="24"/>
          <w:highlight w:val="none"/>
        </w:rPr>
      </w:pPr>
    </w:p>
    <w:p w14:paraId="614EA236">
      <w:pPr>
        <w:spacing w:line="440" w:lineRule="exact"/>
        <w:rPr>
          <w:rFonts w:hint="eastAsia" w:ascii="黑体" w:hAnsi="华文楷体" w:eastAsia="黑体"/>
          <w:color w:val="auto"/>
          <w:sz w:val="24"/>
          <w:highlight w:val="none"/>
        </w:rPr>
      </w:pPr>
      <w:r>
        <w:rPr>
          <w:rFonts w:hint="eastAsia" w:ascii="黑体" w:hAnsi="华文楷体" w:eastAsia="黑体"/>
          <w:color w:val="auto"/>
          <w:sz w:val="24"/>
          <w:highlight w:val="none"/>
        </w:rPr>
        <w:t>公司名称（盖章）：委托代理人（签字）：报价日期：年月日</w:t>
      </w:r>
    </w:p>
    <w:p w14:paraId="20B1E828">
      <w:pPr>
        <w:spacing w:line="440" w:lineRule="exact"/>
        <w:rPr>
          <w:rFonts w:hint="eastAsia" w:ascii="黑体" w:hAnsi="华文楷体" w:eastAsia="黑体"/>
          <w:color w:val="auto"/>
          <w:sz w:val="24"/>
          <w:highlight w:val="none"/>
        </w:rPr>
      </w:pPr>
    </w:p>
    <w:p w14:paraId="642407A4">
      <w:pPr>
        <w:rPr>
          <w:rFonts w:hint="eastAsia" w:ascii="黑体" w:hAnsi="华文楷体" w:eastAsia="黑体"/>
          <w:color w:val="auto"/>
          <w:szCs w:val="21"/>
          <w:highlight w:val="none"/>
        </w:rPr>
      </w:pPr>
      <w:r>
        <w:rPr>
          <w:rFonts w:hint="eastAsia" w:ascii="黑体" w:hAnsi="华文楷体" w:eastAsia="黑体"/>
          <w:color w:val="auto"/>
          <w:szCs w:val="21"/>
          <w:highlight w:val="none"/>
        </w:rPr>
        <w:t>报价说明：1、报价公司提供的上述产品，应完全满足或者优于我校提出的需求。</w:t>
      </w:r>
    </w:p>
    <w:p w14:paraId="554618DC">
      <w:pPr>
        <w:rPr>
          <w:rFonts w:hint="eastAsia" w:ascii="黑体" w:hAnsi="华文楷体" w:eastAsia="黑体"/>
          <w:color w:val="auto"/>
          <w:szCs w:val="21"/>
          <w:highlight w:val="none"/>
        </w:rPr>
      </w:pPr>
      <w:r>
        <w:rPr>
          <w:rFonts w:hint="eastAsia" w:ascii="黑体" w:hAnsi="华文楷体" w:eastAsia="黑体"/>
          <w:color w:val="auto"/>
          <w:szCs w:val="21"/>
          <w:highlight w:val="none"/>
        </w:rPr>
        <w:t>2、如属非标配产品，其技术指标（特别是优于我校需求的部分）请另行附页说明。</w:t>
      </w:r>
    </w:p>
    <w:p w14:paraId="7D349A8B">
      <w:pPr>
        <w:rPr>
          <w:rFonts w:hint="eastAsia" w:ascii="黑体" w:hAnsi="华文楷体" w:eastAsia="黑体"/>
          <w:color w:val="auto"/>
          <w:szCs w:val="21"/>
          <w:highlight w:val="none"/>
        </w:rPr>
      </w:pPr>
      <w:r>
        <w:rPr>
          <w:rFonts w:hint="eastAsia" w:ascii="黑体" w:hAnsi="华文楷体" w:eastAsia="黑体"/>
          <w:color w:val="auto"/>
          <w:szCs w:val="21"/>
          <w:highlight w:val="none"/>
        </w:rPr>
        <w:t>3、特殊的售后服务措施、代理证明情况等需要说明的，请另行附页说明。</w:t>
      </w:r>
    </w:p>
    <w:p w14:paraId="6619B28A">
      <w:pPr>
        <w:rPr>
          <w:rFonts w:hint="eastAsia" w:ascii="黑体" w:hAnsi="华文楷体" w:eastAsia="黑体"/>
          <w:color w:val="auto"/>
          <w:szCs w:val="21"/>
          <w:highlight w:val="none"/>
        </w:rPr>
      </w:pPr>
      <w:r>
        <w:rPr>
          <w:rFonts w:hint="eastAsia" w:ascii="黑体" w:hAnsi="华文楷体" w:eastAsia="黑体"/>
          <w:color w:val="auto"/>
          <w:szCs w:val="21"/>
          <w:highlight w:val="none"/>
        </w:rPr>
        <w:t>4、报价单附页（如有）共页。</w:t>
      </w:r>
    </w:p>
    <w:p w14:paraId="02E355A4">
      <w:pPr>
        <w:rPr>
          <w:rFonts w:hint="eastAsia" w:ascii="仿宋" w:hAnsi="仿宋" w:eastAsia="仿宋"/>
          <w:b/>
          <w:bCs/>
          <w:color w:val="auto"/>
          <w:kern w:val="0"/>
          <w:sz w:val="36"/>
          <w:szCs w:val="36"/>
          <w:highlight w:val="none"/>
        </w:rPr>
      </w:pPr>
      <w:r>
        <w:rPr>
          <w:rFonts w:hint="eastAsia" w:ascii="仿宋" w:hAnsi="仿宋" w:eastAsia="仿宋"/>
          <w:b/>
          <w:bCs/>
          <w:color w:val="auto"/>
          <w:kern w:val="0"/>
          <w:sz w:val="36"/>
          <w:szCs w:val="36"/>
          <w:highlight w:val="none"/>
        </w:rPr>
        <w:br w:type="page"/>
      </w:r>
    </w:p>
    <w:p w14:paraId="66593191">
      <w:pPr>
        <w:spacing w:after="157" w:afterLines="50"/>
        <w:jc w:val="center"/>
        <w:rPr>
          <w:rFonts w:hint="eastAsia" w:ascii="仿宋" w:hAnsi="仿宋" w:eastAsia="仿宋"/>
          <w:b/>
          <w:bCs/>
          <w:color w:val="auto"/>
          <w:kern w:val="0"/>
          <w:sz w:val="36"/>
          <w:szCs w:val="36"/>
          <w:highlight w:val="none"/>
        </w:rPr>
      </w:pPr>
      <w:r>
        <w:rPr>
          <w:rFonts w:hint="eastAsia" w:ascii="仿宋" w:hAnsi="仿宋" w:eastAsia="仿宋"/>
          <w:b/>
          <w:bCs/>
          <w:color w:val="auto"/>
          <w:kern w:val="0"/>
          <w:sz w:val="36"/>
          <w:szCs w:val="36"/>
          <w:highlight w:val="none"/>
        </w:rPr>
        <w:t>报价承诺函</w:t>
      </w:r>
    </w:p>
    <w:p w14:paraId="06CF8257">
      <w:pPr>
        <w:spacing w:after="157" w:afterLines="50"/>
        <w:rPr>
          <w:rFonts w:hint="eastAsia" w:ascii="仿宋" w:hAnsi="仿宋" w:eastAsia="仿宋" w:cs="宋体"/>
          <w:color w:val="auto"/>
          <w:sz w:val="24"/>
          <w:highlight w:val="none"/>
        </w:rPr>
      </w:pPr>
      <w:r>
        <w:rPr>
          <w:rFonts w:hint="eastAsia" w:ascii="仿宋" w:hAnsi="仿宋" w:eastAsia="仿宋" w:cs="宋体"/>
          <w:color w:val="auto"/>
          <w:sz w:val="24"/>
          <w:highlight w:val="none"/>
          <w:lang w:val="zh-CN"/>
        </w:rPr>
        <w:t>致：</w:t>
      </w:r>
      <w:r>
        <w:rPr>
          <w:rFonts w:hint="eastAsia" w:ascii="仿宋" w:hAnsi="仿宋" w:eastAsia="仿宋" w:cs="宋体"/>
          <w:color w:val="auto"/>
          <w:sz w:val="24"/>
          <w:highlight w:val="none"/>
        </w:rPr>
        <w:t>上海海事大学</w:t>
      </w:r>
    </w:p>
    <w:p w14:paraId="61C7F4FB">
      <w:pPr>
        <w:spacing w:after="157" w:afterLines="50"/>
        <w:ind w:firstLine="480" w:firstLineChars="200"/>
        <w:rPr>
          <w:rFonts w:hint="eastAsia" w:ascii="仿宋" w:hAnsi="仿宋" w:eastAsia="仿宋" w:cs="宋体"/>
          <w:color w:val="auto"/>
          <w:sz w:val="24"/>
          <w:highlight w:val="none"/>
          <w:lang w:val="zh-CN"/>
        </w:rPr>
      </w:pPr>
      <w:r>
        <w:rPr>
          <w:rFonts w:hint="eastAsia" w:ascii="仿宋" w:hAnsi="仿宋" w:eastAsia="仿宋" w:cs="宋体"/>
          <w:color w:val="auto"/>
          <w:sz w:val="24"/>
          <w:highlight w:val="none"/>
          <w:lang w:val="zh-CN"/>
        </w:rPr>
        <w:t>我</w:t>
      </w:r>
      <w:r>
        <w:rPr>
          <w:rFonts w:ascii="仿宋" w:hAnsi="仿宋" w:eastAsia="仿宋" w:cs="宋体"/>
          <w:color w:val="auto"/>
          <w:sz w:val="24"/>
          <w:highlight w:val="none"/>
          <w:lang w:val="zh-CN"/>
        </w:rPr>
        <w:t>公司在参加本次</w:t>
      </w:r>
      <w:r>
        <w:rPr>
          <w:rFonts w:hint="eastAsia" w:ascii="仿宋" w:hAnsi="仿宋" w:eastAsia="仿宋" w:cs="宋体"/>
          <w:color w:val="auto"/>
          <w:sz w:val="24"/>
          <w:highlight w:val="none"/>
        </w:rPr>
        <w:t>比选采购</w:t>
      </w:r>
      <w:r>
        <w:rPr>
          <w:rFonts w:ascii="仿宋" w:hAnsi="仿宋" w:eastAsia="仿宋" w:cs="宋体"/>
          <w:color w:val="auto"/>
          <w:sz w:val="24"/>
          <w:highlight w:val="none"/>
          <w:lang w:val="zh-CN"/>
        </w:rPr>
        <w:t>活动中，</w:t>
      </w:r>
      <w:r>
        <w:rPr>
          <w:rFonts w:hint="eastAsia" w:ascii="仿宋" w:hAnsi="仿宋" w:eastAsia="仿宋" w:cs="宋体"/>
          <w:color w:val="auto"/>
          <w:sz w:val="24"/>
          <w:highlight w:val="none"/>
          <w:lang w:val="zh-CN"/>
        </w:rPr>
        <w:t>做出如下</w:t>
      </w:r>
      <w:r>
        <w:rPr>
          <w:rFonts w:ascii="仿宋" w:hAnsi="仿宋" w:eastAsia="仿宋" w:cs="宋体"/>
          <w:color w:val="auto"/>
          <w:sz w:val="24"/>
          <w:highlight w:val="none"/>
          <w:lang w:val="zh-CN"/>
        </w:rPr>
        <w:t>承诺：</w:t>
      </w:r>
    </w:p>
    <w:p w14:paraId="4F0E35EC">
      <w:pPr>
        <w:spacing w:after="157" w:afterLines="50"/>
        <w:ind w:firstLine="480" w:firstLineChars="200"/>
        <w:rPr>
          <w:rFonts w:hint="eastAsia" w:ascii="仿宋" w:hAnsi="仿宋" w:eastAsia="仿宋" w:cs="宋体"/>
          <w:color w:val="auto"/>
          <w:sz w:val="24"/>
          <w:highlight w:val="none"/>
        </w:rPr>
      </w:pPr>
      <w:r>
        <w:rPr>
          <w:rFonts w:hint="eastAsia" w:ascii="仿宋" w:hAnsi="仿宋" w:eastAsia="仿宋" w:cs="宋体"/>
          <w:color w:val="auto"/>
          <w:sz w:val="24"/>
          <w:highlight w:val="none"/>
          <w:lang w:val="zh-CN"/>
        </w:rPr>
        <w:t>一、</w:t>
      </w:r>
      <w:r>
        <w:rPr>
          <w:rFonts w:hint="eastAsia" w:ascii="仿宋" w:hAnsi="仿宋" w:eastAsia="仿宋" w:cs="宋体"/>
          <w:color w:val="auto"/>
          <w:sz w:val="24"/>
          <w:highlight w:val="none"/>
        </w:rPr>
        <w:t>我</w:t>
      </w:r>
      <w:r>
        <w:rPr>
          <w:rFonts w:hint="eastAsia" w:ascii="仿宋" w:hAnsi="仿宋" w:eastAsia="仿宋" w:cs="宋体"/>
          <w:color w:val="auto"/>
          <w:sz w:val="24"/>
          <w:highlight w:val="none"/>
          <w:lang w:val="zh-CN"/>
        </w:rPr>
        <w:t>公司</w:t>
      </w:r>
      <w:r>
        <w:rPr>
          <w:rFonts w:hint="eastAsia" w:ascii="仿宋" w:hAnsi="仿宋" w:eastAsia="仿宋" w:cs="宋体"/>
          <w:color w:val="auto"/>
          <w:sz w:val="24"/>
          <w:highlight w:val="none"/>
        </w:rPr>
        <w:t>具备独立法人资格，能够独立承担民事责任。</w:t>
      </w:r>
    </w:p>
    <w:p w14:paraId="6F37786C">
      <w:pPr>
        <w:spacing w:after="157" w:afterLines="50"/>
        <w:ind w:firstLine="480" w:firstLineChars="200"/>
        <w:rPr>
          <w:rFonts w:hint="eastAsia" w:ascii="仿宋" w:hAnsi="仿宋" w:eastAsia="仿宋" w:cs="宋体"/>
          <w:color w:val="auto"/>
          <w:sz w:val="24"/>
          <w:highlight w:val="none"/>
        </w:rPr>
      </w:pPr>
      <w:r>
        <w:rPr>
          <w:rFonts w:hint="eastAsia" w:ascii="仿宋" w:hAnsi="仿宋" w:eastAsia="仿宋" w:cs="宋体"/>
          <w:color w:val="auto"/>
          <w:sz w:val="24"/>
          <w:highlight w:val="none"/>
        </w:rPr>
        <w:t>二、我</w:t>
      </w:r>
      <w:r>
        <w:rPr>
          <w:rFonts w:hint="eastAsia" w:ascii="仿宋" w:hAnsi="仿宋" w:eastAsia="仿宋" w:cs="宋体"/>
          <w:color w:val="auto"/>
          <w:sz w:val="24"/>
          <w:highlight w:val="none"/>
          <w:lang w:val="zh-CN"/>
        </w:rPr>
        <w:t>公司</w:t>
      </w:r>
      <w:r>
        <w:rPr>
          <w:rFonts w:hint="eastAsia" w:ascii="仿宋" w:hAnsi="仿宋" w:eastAsia="仿宋" w:cs="宋体"/>
          <w:color w:val="auto"/>
          <w:sz w:val="24"/>
          <w:highlight w:val="none"/>
        </w:rPr>
        <w:t>财务状况良好，具备履行合同所需资金实力。</w:t>
      </w:r>
    </w:p>
    <w:p w14:paraId="3E13B155">
      <w:pPr>
        <w:spacing w:after="157" w:afterLines="50"/>
        <w:ind w:firstLine="480" w:firstLineChars="200"/>
        <w:rPr>
          <w:rFonts w:hint="eastAsia" w:ascii="仿宋" w:hAnsi="仿宋" w:eastAsia="仿宋" w:cs="宋体"/>
          <w:color w:val="auto"/>
          <w:sz w:val="24"/>
          <w:highlight w:val="none"/>
        </w:rPr>
      </w:pPr>
      <w:r>
        <w:rPr>
          <w:rFonts w:hint="eastAsia" w:ascii="仿宋" w:hAnsi="仿宋" w:eastAsia="仿宋" w:cs="宋体"/>
          <w:color w:val="auto"/>
          <w:sz w:val="24"/>
          <w:highlight w:val="none"/>
        </w:rPr>
        <w:t>三、我</w:t>
      </w:r>
      <w:r>
        <w:rPr>
          <w:rFonts w:hint="eastAsia" w:ascii="仿宋" w:hAnsi="仿宋" w:eastAsia="仿宋" w:cs="宋体"/>
          <w:color w:val="auto"/>
          <w:sz w:val="24"/>
          <w:highlight w:val="none"/>
          <w:lang w:val="zh-CN"/>
        </w:rPr>
        <w:t>公司</w:t>
      </w:r>
      <w:r>
        <w:rPr>
          <w:rFonts w:hint="eastAsia" w:ascii="仿宋" w:hAnsi="仿宋" w:eastAsia="仿宋" w:cs="宋体"/>
          <w:color w:val="auto"/>
          <w:sz w:val="24"/>
          <w:highlight w:val="none"/>
        </w:rPr>
        <w:t>拥有履行项目所需的专业技术人员和先进的生产设备。</w:t>
      </w:r>
    </w:p>
    <w:p w14:paraId="1486EB83">
      <w:pPr>
        <w:spacing w:after="157" w:afterLines="50"/>
        <w:ind w:firstLine="480" w:firstLineChars="200"/>
        <w:rPr>
          <w:rFonts w:hint="eastAsia" w:ascii="仿宋" w:hAnsi="仿宋" w:eastAsia="仿宋" w:cs="宋体"/>
          <w:color w:val="auto"/>
          <w:sz w:val="24"/>
          <w:highlight w:val="none"/>
        </w:rPr>
      </w:pPr>
      <w:r>
        <w:rPr>
          <w:rFonts w:hint="eastAsia" w:ascii="仿宋" w:hAnsi="仿宋" w:eastAsia="仿宋" w:cs="宋体"/>
          <w:color w:val="auto"/>
          <w:sz w:val="24"/>
          <w:highlight w:val="none"/>
        </w:rPr>
        <w:t>四、我</w:t>
      </w:r>
      <w:r>
        <w:rPr>
          <w:rFonts w:hint="eastAsia" w:ascii="仿宋" w:hAnsi="仿宋" w:eastAsia="仿宋" w:cs="宋体"/>
          <w:color w:val="auto"/>
          <w:sz w:val="24"/>
          <w:highlight w:val="none"/>
          <w:lang w:val="zh-CN"/>
        </w:rPr>
        <w:t>公司</w:t>
      </w:r>
      <w:r>
        <w:rPr>
          <w:rFonts w:hint="eastAsia" w:ascii="仿宋" w:hAnsi="仿宋" w:eastAsia="仿宋" w:cs="宋体"/>
          <w:color w:val="auto"/>
          <w:sz w:val="24"/>
          <w:highlight w:val="none"/>
        </w:rPr>
        <w:t>依法纳税，并按时缴纳社会保险费。</w:t>
      </w:r>
    </w:p>
    <w:p w14:paraId="1705CE12">
      <w:pPr>
        <w:spacing w:after="157" w:afterLines="50"/>
        <w:ind w:firstLine="480" w:firstLineChars="200"/>
        <w:rPr>
          <w:rFonts w:hint="eastAsia" w:ascii="仿宋" w:hAnsi="仿宋" w:eastAsia="仿宋" w:cs="宋体"/>
          <w:color w:val="auto"/>
          <w:sz w:val="24"/>
          <w:highlight w:val="none"/>
        </w:rPr>
      </w:pPr>
      <w:r>
        <w:rPr>
          <w:rFonts w:hint="eastAsia" w:ascii="仿宋" w:hAnsi="仿宋" w:eastAsia="仿宋" w:cs="宋体"/>
          <w:color w:val="auto"/>
          <w:sz w:val="24"/>
          <w:highlight w:val="none"/>
        </w:rPr>
        <w:t>五、我</w:t>
      </w:r>
      <w:r>
        <w:rPr>
          <w:rFonts w:hint="eastAsia" w:ascii="仿宋" w:hAnsi="仿宋" w:eastAsia="仿宋" w:cs="宋体"/>
          <w:color w:val="auto"/>
          <w:sz w:val="24"/>
          <w:highlight w:val="none"/>
          <w:lang w:val="zh-CN"/>
        </w:rPr>
        <w:t>公司</w:t>
      </w:r>
      <w:r>
        <w:rPr>
          <w:rFonts w:hint="eastAsia" w:ascii="仿宋" w:hAnsi="仿宋" w:eastAsia="仿宋" w:cs="宋体"/>
          <w:color w:val="auto"/>
          <w:sz w:val="24"/>
          <w:highlight w:val="none"/>
        </w:rPr>
        <w:t>在最近三年内无任何违法违规行为，信誉良好。</w:t>
      </w:r>
    </w:p>
    <w:p w14:paraId="54BF34F8">
      <w:pPr>
        <w:spacing w:after="157" w:afterLines="50"/>
        <w:ind w:firstLine="480" w:firstLineChars="200"/>
        <w:rPr>
          <w:rFonts w:hint="eastAsia" w:ascii="仿宋" w:hAnsi="仿宋" w:eastAsia="仿宋" w:cs="宋体"/>
          <w:color w:val="auto"/>
          <w:sz w:val="24"/>
          <w:highlight w:val="none"/>
        </w:rPr>
      </w:pPr>
      <w:r>
        <w:rPr>
          <w:rFonts w:hint="eastAsia" w:ascii="仿宋" w:hAnsi="仿宋" w:eastAsia="仿宋" w:cs="宋体"/>
          <w:color w:val="auto"/>
          <w:sz w:val="24"/>
          <w:highlight w:val="none"/>
        </w:rPr>
        <w:t>六、我</w:t>
      </w:r>
      <w:r>
        <w:rPr>
          <w:rFonts w:hint="eastAsia" w:ascii="仿宋" w:hAnsi="仿宋" w:eastAsia="仿宋" w:cs="宋体"/>
          <w:color w:val="auto"/>
          <w:sz w:val="24"/>
          <w:highlight w:val="none"/>
          <w:lang w:val="zh-CN"/>
        </w:rPr>
        <w:t>公司</w:t>
      </w:r>
      <w:r>
        <w:rPr>
          <w:rFonts w:hint="eastAsia" w:ascii="仿宋" w:hAnsi="仿宋" w:eastAsia="仿宋" w:cs="宋体"/>
          <w:color w:val="auto"/>
          <w:sz w:val="24"/>
          <w:highlight w:val="none"/>
        </w:rPr>
        <w:t>完全符合政府采购法及其他相关法律法规的规定。</w:t>
      </w:r>
    </w:p>
    <w:p w14:paraId="46600348">
      <w:pPr>
        <w:spacing w:after="157" w:afterLines="50"/>
        <w:ind w:firstLine="480" w:firstLineChars="200"/>
        <w:rPr>
          <w:rFonts w:hint="eastAsia" w:ascii="仿宋" w:hAnsi="仿宋" w:eastAsia="仿宋" w:cs="宋体"/>
          <w:color w:val="auto"/>
          <w:sz w:val="24"/>
          <w:highlight w:val="none"/>
          <w:lang w:val="zh-CN"/>
        </w:rPr>
      </w:pPr>
      <w:r>
        <w:rPr>
          <w:rFonts w:hint="eastAsia" w:ascii="仿宋" w:hAnsi="仿宋" w:eastAsia="仿宋" w:cs="宋体"/>
          <w:color w:val="auto"/>
          <w:sz w:val="24"/>
          <w:highlight w:val="none"/>
        </w:rPr>
        <w:t>七</w:t>
      </w:r>
      <w:r>
        <w:rPr>
          <w:rFonts w:hint="eastAsia" w:ascii="仿宋" w:hAnsi="仿宋" w:eastAsia="仿宋" w:cs="宋体"/>
          <w:color w:val="auto"/>
          <w:sz w:val="24"/>
          <w:highlight w:val="none"/>
          <w:lang w:val="zh-CN"/>
        </w:rPr>
        <w:t>、</w:t>
      </w:r>
      <w:r>
        <w:rPr>
          <w:rFonts w:hint="eastAsia" w:ascii="仿宋" w:hAnsi="仿宋" w:eastAsia="仿宋" w:cs="宋体"/>
          <w:color w:val="auto"/>
          <w:sz w:val="24"/>
          <w:highlight w:val="none"/>
        </w:rPr>
        <w:t>我</w:t>
      </w:r>
      <w:r>
        <w:rPr>
          <w:rFonts w:hint="eastAsia" w:ascii="仿宋" w:hAnsi="仿宋" w:eastAsia="仿宋" w:cs="宋体"/>
          <w:color w:val="auto"/>
          <w:sz w:val="24"/>
          <w:highlight w:val="none"/>
          <w:lang w:val="zh-CN"/>
        </w:rPr>
        <w:t>公司提供的相关文件均真实、有效。</w:t>
      </w:r>
    </w:p>
    <w:p w14:paraId="6C6ABE4A">
      <w:pPr>
        <w:spacing w:after="157" w:afterLines="50"/>
        <w:ind w:firstLine="480" w:firstLineChars="200"/>
        <w:rPr>
          <w:rFonts w:hint="eastAsia" w:ascii="仿宋" w:hAnsi="仿宋" w:eastAsia="仿宋" w:cs="宋体"/>
          <w:color w:val="auto"/>
          <w:sz w:val="24"/>
          <w:highlight w:val="none"/>
        </w:rPr>
      </w:pPr>
      <w:r>
        <w:rPr>
          <w:rFonts w:hint="eastAsia" w:ascii="仿宋" w:hAnsi="仿宋" w:eastAsia="仿宋" w:cs="宋体"/>
          <w:color w:val="auto"/>
          <w:sz w:val="24"/>
          <w:highlight w:val="none"/>
        </w:rPr>
        <w:t>八、我</w:t>
      </w:r>
      <w:r>
        <w:rPr>
          <w:rFonts w:hint="eastAsia" w:ascii="仿宋" w:hAnsi="仿宋" w:eastAsia="仿宋" w:cs="宋体"/>
          <w:color w:val="auto"/>
          <w:sz w:val="24"/>
          <w:highlight w:val="none"/>
          <w:lang w:val="zh-CN"/>
        </w:rPr>
        <w:t>公司未挂靠、借用资质进行投标等违法违规行为。</w:t>
      </w:r>
    </w:p>
    <w:p w14:paraId="5613149E">
      <w:pPr>
        <w:spacing w:after="157" w:afterLines="50"/>
        <w:ind w:firstLine="480" w:firstLineChars="200"/>
        <w:rPr>
          <w:rFonts w:hint="eastAsia" w:ascii="仿宋" w:hAnsi="仿宋" w:eastAsia="仿宋" w:cs="宋体"/>
          <w:color w:val="auto"/>
          <w:sz w:val="24"/>
          <w:highlight w:val="none"/>
          <w:lang w:val="zh-CN"/>
        </w:rPr>
      </w:pPr>
      <w:r>
        <w:rPr>
          <w:rFonts w:hint="eastAsia" w:ascii="仿宋" w:hAnsi="仿宋" w:eastAsia="仿宋" w:cs="宋体"/>
          <w:color w:val="auto"/>
          <w:sz w:val="24"/>
          <w:highlight w:val="none"/>
        </w:rPr>
        <w:t>九、</w:t>
      </w:r>
      <w:r>
        <w:rPr>
          <w:rFonts w:hint="eastAsia" w:ascii="仿宋" w:hAnsi="仿宋" w:eastAsia="仿宋" w:cs="宋体"/>
          <w:color w:val="auto"/>
          <w:sz w:val="24"/>
          <w:highlight w:val="none"/>
          <w:lang w:val="zh-CN"/>
        </w:rPr>
        <w:t>我公司承诺在参加本</w:t>
      </w:r>
      <w:r>
        <w:rPr>
          <w:rFonts w:hint="eastAsia" w:ascii="仿宋" w:hAnsi="仿宋" w:eastAsia="仿宋" w:cs="宋体"/>
          <w:color w:val="auto"/>
          <w:sz w:val="24"/>
          <w:highlight w:val="none"/>
        </w:rPr>
        <w:t>次</w:t>
      </w:r>
      <w:r>
        <w:rPr>
          <w:rFonts w:hint="eastAsia" w:ascii="仿宋" w:hAnsi="仿宋" w:eastAsia="仿宋" w:cs="宋体"/>
          <w:color w:val="auto"/>
          <w:sz w:val="24"/>
          <w:highlight w:val="none"/>
          <w:lang w:val="zh-CN"/>
        </w:rPr>
        <w:t>采购活动中，</w:t>
      </w:r>
      <w:r>
        <w:rPr>
          <w:rFonts w:hint="eastAsia" w:ascii="仿宋" w:hAnsi="仿宋" w:eastAsia="仿宋" w:cs="宋体"/>
          <w:color w:val="auto"/>
          <w:sz w:val="24"/>
          <w:highlight w:val="none"/>
        </w:rPr>
        <w:t>不存在串标围标行为</w:t>
      </w:r>
      <w:r>
        <w:rPr>
          <w:rFonts w:hint="eastAsia" w:ascii="仿宋" w:hAnsi="仿宋" w:eastAsia="仿宋" w:cs="宋体"/>
          <w:color w:val="auto"/>
          <w:sz w:val="24"/>
          <w:highlight w:val="none"/>
          <w:lang w:val="zh-CN"/>
        </w:rPr>
        <w:t>，</w:t>
      </w:r>
      <w:r>
        <w:rPr>
          <w:rFonts w:hint="eastAsia" w:ascii="仿宋" w:hAnsi="仿宋" w:eastAsia="仿宋" w:cs="宋体"/>
          <w:color w:val="auto"/>
          <w:sz w:val="24"/>
          <w:highlight w:val="none"/>
        </w:rPr>
        <w:t>不存在</w:t>
      </w:r>
      <w:r>
        <w:rPr>
          <w:rFonts w:hint="eastAsia" w:ascii="仿宋" w:hAnsi="仿宋" w:eastAsia="仿宋" w:cs="宋体"/>
          <w:color w:val="auto"/>
          <w:sz w:val="24"/>
          <w:highlight w:val="none"/>
          <w:lang w:val="zh-CN"/>
        </w:rPr>
        <w:t>损害</w:t>
      </w:r>
      <w:r>
        <w:rPr>
          <w:rFonts w:hint="eastAsia" w:ascii="仿宋" w:hAnsi="仿宋" w:eastAsia="仿宋" w:cs="宋体"/>
          <w:color w:val="auto"/>
          <w:sz w:val="24"/>
          <w:highlight w:val="none"/>
        </w:rPr>
        <w:t>校方</w:t>
      </w:r>
      <w:r>
        <w:rPr>
          <w:rFonts w:hint="eastAsia" w:ascii="仿宋" w:hAnsi="仿宋" w:eastAsia="仿宋" w:cs="宋体"/>
          <w:color w:val="auto"/>
          <w:sz w:val="24"/>
          <w:highlight w:val="none"/>
          <w:lang w:val="zh-CN"/>
        </w:rPr>
        <w:t>或者其他</w:t>
      </w:r>
      <w:r>
        <w:rPr>
          <w:rFonts w:hint="eastAsia" w:ascii="仿宋" w:hAnsi="仿宋" w:eastAsia="仿宋" w:cs="宋体"/>
          <w:color w:val="auto"/>
          <w:sz w:val="24"/>
          <w:highlight w:val="none"/>
        </w:rPr>
        <w:t>报价单位</w:t>
      </w:r>
      <w:r>
        <w:rPr>
          <w:rFonts w:hint="eastAsia" w:ascii="仿宋" w:hAnsi="仿宋" w:eastAsia="仿宋" w:cs="宋体"/>
          <w:color w:val="auto"/>
          <w:sz w:val="24"/>
          <w:highlight w:val="none"/>
          <w:lang w:val="zh-CN"/>
        </w:rPr>
        <w:t>利益的行为。</w:t>
      </w:r>
    </w:p>
    <w:p w14:paraId="350AD56E">
      <w:pPr>
        <w:spacing w:after="157" w:afterLines="50"/>
        <w:ind w:firstLine="480" w:firstLineChars="200"/>
        <w:rPr>
          <w:rFonts w:hint="eastAsia" w:ascii="仿宋" w:hAnsi="仿宋" w:eastAsia="仿宋" w:cs="宋体"/>
          <w:color w:val="auto"/>
          <w:sz w:val="24"/>
          <w:highlight w:val="none"/>
          <w:lang w:val="zh-CN"/>
        </w:rPr>
      </w:pPr>
      <w:r>
        <w:rPr>
          <w:rFonts w:hint="eastAsia" w:ascii="仿宋" w:hAnsi="仿宋" w:eastAsia="仿宋" w:cs="宋体"/>
          <w:color w:val="auto"/>
          <w:sz w:val="24"/>
          <w:highlight w:val="none"/>
        </w:rPr>
        <w:t>十、</w:t>
      </w:r>
      <w:r>
        <w:rPr>
          <w:rFonts w:hint="eastAsia" w:ascii="仿宋" w:hAnsi="仿宋" w:eastAsia="仿宋" w:cs="宋体"/>
          <w:color w:val="auto"/>
          <w:sz w:val="24"/>
          <w:highlight w:val="none"/>
          <w:lang w:val="zh-CN"/>
        </w:rPr>
        <w:t>我</w:t>
      </w:r>
      <w:r>
        <w:rPr>
          <w:rFonts w:hint="eastAsia" w:ascii="仿宋" w:hAnsi="仿宋" w:eastAsia="仿宋" w:cs="宋体"/>
          <w:color w:val="auto"/>
          <w:sz w:val="24"/>
          <w:highlight w:val="none"/>
        </w:rPr>
        <w:t>公司管理层中</w:t>
      </w:r>
      <w:r>
        <w:rPr>
          <w:rFonts w:hint="eastAsia" w:ascii="仿宋" w:hAnsi="仿宋" w:eastAsia="仿宋" w:cs="宋体"/>
          <w:color w:val="auto"/>
          <w:sz w:val="24"/>
          <w:highlight w:val="none"/>
          <w:lang w:val="zh-CN"/>
        </w:rPr>
        <w:t>没有从</w:t>
      </w:r>
      <w:r>
        <w:rPr>
          <w:rFonts w:hint="eastAsia" w:ascii="仿宋" w:hAnsi="仿宋" w:eastAsia="仿宋" w:cs="宋体"/>
          <w:color w:val="auto"/>
          <w:sz w:val="24"/>
          <w:highlight w:val="none"/>
        </w:rPr>
        <w:t>贵校</w:t>
      </w:r>
      <w:r>
        <w:rPr>
          <w:rFonts w:hint="eastAsia" w:ascii="仿宋" w:hAnsi="仿宋" w:eastAsia="仿宋" w:cs="宋体"/>
          <w:color w:val="auto"/>
          <w:sz w:val="24"/>
          <w:highlight w:val="none"/>
          <w:lang w:val="zh-CN"/>
        </w:rPr>
        <w:t>离职或退休3年以内的人员担任控股股东或实际控股人、董事、监事，也没有聘用从</w:t>
      </w:r>
      <w:r>
        <w:rPr>
          <w:rFonts w:hint="eastAsia" w:ascii="仿宋" w:hAnsi="仿宋" w:eastAsia="仿宋" w:cs="宋体"/>
          <w:color w:val="auto"/>
          <w:sz w:val="24"/>
          <w:highlight w:val="none"/>
        </w:rPr>
        <w:t>贵校</w:t>
      </w:r>
      <w:r>
        <w:rPr>
          <w:rFonts w:hint="eastAsia" w:ascii="仿宋" w:hAnsi="仿宋" w:eastAsia="仿宋" w:cs="宋体"/>
          <w:color w:val="auto"/>
          <w:sz w:val="24"/>
          <w:highlight w:val="none"/>
          <w:lang w:val="zh-CN"/>
        </w:rPr>
        <w:t>离职或退休3年以内的人员。</w:t>
      </w:r>
    </w:p>
    <w:p w14:paraId="7BAAA33E">
      <w:pPr>
        <w:spacing w:after="157" w:afterLines="50"/>
        <w:ind w:firstLine="480" w:firstLineChars="200"/>
        <w:rPr>
          <w:rFonts w:hint="eastAsia" w:ascii="仿宋" w:hAnsi="仿宋" w:eastAsia="仿宋" w:cs="宋体"/>
          <w:color w:val="auto"/>
          <w:sz w:val="24"/>
          <w:highlight w:val="none"/>
          <w:lang w:val="zh-CN"/>
        </w:rPr>
      </w:pPr>
      <w:r>
        <w:rPr>
          <w:rFonts w:hint="eastAsia" w:ascii="仿宋" w:hAnsi="仿宋" w:eastAsia="仿宋" w:cs="宋体"/>
          <w:color w:val="auto"/>
          <w:sz w:val="24"/>
          <w:highlight w:val="none"/>
        </w:rPr>
        <w:t>我公司保证上述声明真实无误，如有不实，愿承担相应法律责任。</w:t>
      </w:r>
    </w:p>
    <w:p w14:paraId="5C4569E6">
      <w:pPr>
        <w:spacing w:after="157" w:afterLines="50"/>
        <w:rPr>
          <w:rFonts w:hint="eastAsia" w:ascii="仿宋" w:hAnsi="仿宋" w:eastAsia="仿宋" w:cs="宋体"/>
          <w:color w:val="auto"/>
          <w:sz w:val="24"/>
          <w:highlight w:val="none"/>
          <w:lang w:val="zh-CN"/>
        </w:rPr>
      </w:pPr>
    </w:p>
    <w:p w14:paraId="6DFC7771">
      <w:pPr>
        <w:spacing w:after="157" w:afterLines="50"/>
        <w:rPr>
          <w:rFonts w:hint="eastAsia" w:ascii="黑体" w:hAnsi="华文楷体" w:eastAsia="黑体"/>
          <w:b/>
          <w:bCs/>
          <w:color w:val="auto"/>
          <w:sz w:val="32"/>
          <w:szCs w:val="32"/>
          <w:highlight w:val="none"/>
        </w:rPr>
      </w:pPr>
      <w:r>
        <w:rPr>
          <w:rFonts w:hint="eastAsia" w:ascii="黑体" w:hAnsi="华文楷体" w:eastAsia="黑体"/>
          <w:color w:val="auto"/>
          <w:sz w:val="24"/>
          <w:highlight w:val="none"/>
        </w:rPr>
        <w:t>公司名称（盖章）：委托代理人（签字）：</w:t>
      </w:r>
    </w:p>
    <w:p w14:paraId="097F108E">
      <w:pPr>
        <w:pStyle w:val="5"/>
        <w:rPr>
          <w:rFonts w:hint="eastAsia" w:ascii="方正兰亭黑简体" w:hAnsi="方正兰亭黑简体" w:eastAsia="方正兰亭黑简体" w:cs="方正兰亭黑简体"/>
          <w:color w:val="auto"/>
          <w:sz w:val="22"/>
          <w:szCs w:val="28"/>
          <w:highlight w:val="none"/>
        </w:rPr>
      </w:pPr>
    </w:p>
    <w:p w14:paraId="6AAADDA4">
      <w:pPr>
        <w:pStyle w:val="5"/>
        <w:rPr>
          <w:rFonts w:hint="eastAsia" w:ascii="方正兰亭黑简体" w:hAnsi="方正兰亭黑简体" w:eastAsia="方正兰亭黑简体" w:cs="方正兰亭黑简体"/>
          <w:color w:val="auto"/>
          <w:sz w:val="22"/>
          <w:szCs w:val="28"/>
          <w:highlight w:val="none"/>
        </w:rPr>
      </w:pPr>
    </w:p>
    <w:p w14:paraId="3805D66A">
      <w:pPr>
        <w:jc w:val="left"/>
        <w:rPr>
          <w:rFonts w:hint="eastAsia" w:ascii="方正兰亭黑简体" w:hAnsi="方正兰亭黑简体" w:eastAsia="方正兰亭黑简体" w:cs="方正兰亭黑简体"/>
          <w:color w:val="auto"/>
          <w:sz w:val="22"/>
          <w:szCs w:val="28"/>
          <w:highlight w:val="none"/>
        </w:rPr>
        <w:sectPr>
          <w:pgSz w:w="11906" w:h="16838"/>
          <w:pgMar w:top="1440" w:right="1083" w:bottom="1440" w:left="1083" w:header="851" w:footer="992" w:gutter="0"/>
          <w:cols w:space="0" w:num="1"/>
          <w:docGrid w:type="lines" w:linePitch="314" w:charSpace="0"/>
        </w:sectPr>
      </w:pPr>
    </w:p>
    <w:p w14:paraId="52FF6152">
      <w:pPr>
        <w:jc w:val="left"/>
        <w:rPr>
          <w:rFonts w:hint="eastAsia" w:ascii="方正兰亭黑简体" w:hAnsi="方正兰亭黑简体" w:eastAsia="方正兰亭黑简体" w:cs="方正兰亭黑简体"/>
          <w:b/>
          <w:bCs/>
          <w:color w:val="auto"/>
          <w:sz w:val="22"/>
          <w:szCs w:val="28"/>
          <w:highlight w:val="none"/>
        </w:rPr>
      </w:pPr>
      <w:r>
        <w:rPr>
          <w:rFonts w:hint="eastAsia" w:ascii="方正兰亭黑简体" w:hAnsi="方正兰亭黑简体" w:eastAsia="方正兰亭黑简体" w:cs="方正兰亭黑简体"/>
          <w:b/>
          <w:bCs/>
          <w:color w:val="auto"/>
          <w:sz w:val="22"/>
          <w:szCs w:val="28"/>
          <w:highlight w:val="none"/>
        </w:rPr>
        <w:t>附件2：其他材料</w:t>
      </w:r>
    </w:p>
    <w:p w14:paraId="2A456533">
      <w:pPr>
        <w:pStyle w:val="4"/>
        <w:ind w:left="0" w:leftChars="0"/>
        <w:rPr>
          <w:color w:val="auto"/>
          <w:highlight w:val="none"/>
        </w:rPr>
      </w:pPr>
      <w:r>
        <w:rPr>
          <w:rFonts w:hint="eastAsia" w:ascii="方正兰亭黑简体" w:hAnsi="方正兰亭黑简体" w:eastAsia="方正兰亭黑简体" w:cs="方正兰亭黑简体"/>
          <w:color w:val="auto"/>
          <w:sz w:val="22"/>
          <w:szCs w:val="28"/>
          <w:highlight w:val="none"/>
        </w:rPr>
        <w:t>包括但不限于：</w:t>
      </w:r>
    </w:p>
    <w:p w14:paraId="43482A45">
      <w:pPr>
        <w:pStyle w:val="4"/>
        <w:ind w:left="0" w:leftChars="0"/>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1、营业执照扫描件</w:t>
      </w:r>
    </w:p>
    <w:p w14:paraId="428A839D">
      <w:pPr>
        <w:pStyle w:val="4"/>
        <w:ind w:left="0" w:leftChars="0"/>
        <w:rPr>
          <w:rFonts w:hint="eastAsia" w:ascii="方正兰亭黑简体" w:hAnsi="方正兰亭黑简体" w:eastAsia="方正兰亭黑简体" w:cs="方正兰亭黑简体"/>
          <w:color w:val="auto"/>
          <w:sz w:val="22"/>
          <w:szCs w:val="28"/>
          <w:highlight w:val="none"/>
        </w:rPr>
      </w:pPr>
      <w:r>
        <w:rPr>
          <w:rFonts w:ascii="方正兰亭黑简体" w:hAnsi="方正兰亭黑简体" w:eastAsia="方正兰亭黑简体" w:cs="方正兰亭黑简体"/>
          <w:color w:val="auto"/>
          <w:sz w:val="22"/>
          <w:szCs w:val="28"/>
          <w:highlight w:val="none"/>
        </w:rPr>
        <w:t>2</w:t>
      </w:r>
      <w:r>
        <w:rPr>
          <w:rFonts w:hint="eastAsia" w:ascii="方正兰亭黑简体" w:hAnsi="方正兰亭黑简体" w:eastAsia="方正兰亭黑简体" w:cs="方正兰亭黑简体"/>
          <w:color w:val="auto"/>
          <w:sz w:val="22"/>
          <w:szCs w:val="28"/>
          <w:highlight w:val="none"/>
        </w:rPr>
        <w:t>、项目服务方案（产品介绍）及实施计划</w:t>
      </w:r>
    </w:p>
    <w:p w14:paraId="56E8031D">
      <w:pPr>
        <w:pStyle w:val="4"/>
        <w:ind w:left="0" w:leftChars="0"/>
        <w:rPr>
          <w:rFonts w:hint="eastAsia" w:ascii="方正兰亭黑简体" w:hAnsi="方正兰亭黑简体" w:eastAsia="方正兰亭黑简体" w:cs="方正兰亭黑简体"/>
          <w:color w:val="auto"/>
          <w:sz w:val="22"/>
          <w:szCs w:val="28"/>
          <w:highlight w:val="none"/>
        </w:rPr>
      </w:pPr>
      <w:r>
        <w:rPr>
          <w:rFonts w:ascii="方正兰亭黑简体" w:hAnsi="方正兰亭黑简体" w:eastAsia="方正兰亭黑简体" w:cs="方正兰亭黑简体"/>
          <w:color w:val="auto"/>
          <w:sz w:val="22"/>
          <w:szCs w:val="28"/>
          <w:highlight w:val="none"/>
        </w:rPr>
        <w:t>3、</w:t>
      </w:r>
      <w:r>
        <w:rPr>
          <w:rFonts w:hint="eastAsia" w:ascii="方正兰亭黑简体" w:hAnsi="方正兰亭黑简体" w:eastAsia="方正兰亭黑简体" w:cs="方正兰亭黑简体"/>
          <w:color w:val="auto"/>
          <w:sz w:val="22"/>
          <w:szCs w:val="28"/>
          <w:highlight w:val="none"/>
        </w:rPr>
        <w:t>服务团队介绍</w:t>
      </w:r>
    </w:p>
    <w:p w14:paraId="1DCC4AA6">
      <w:pPr>
        <w:pStyle w:val="4"/>
        <w:ind w:left="0" w:leftChars="0"/>
        <w:rPr>
          <w:rFonts w:hint="eastAsia" w:ascii="方正兰亭黑简体" w:hAnsi="方正兰亭黑简体" w:eastAsia="方正兰亭黑简体" w:cs="方正兰亭黑简体"/>
          <w:color w:val="auto"/>
          <w:sz w:val="22"/>
          <w:szCs w:val="28"/>
          <w:highlight w:val="none"/>
        </w:rPr>
      </w:pPr>
      <w:r>
        <w:rPr>
          <w:rFonts w:ascii="方正兰亭黑简体" w:hAnsi="方正兰亭黑简体" w:eastAsia="方正兰亭黑简体" w:cs="方正兰亭黑简体"/>
          <w:color w:val="auto"/>
          <w:sz w:val="22"/>
          <w:szCs w:val="28"/>
          <w:highlight w:val="none"/>
        </w:rPr>
        <w:t>4</w:t>
      </w:r>
      <w:r>
        <w:rPr>
          <w:rFonts w:hint="eastAsia" w:ascii="方正兰亭黑简体" w:hAnsi="方正兰亭黑简体" w:eastAsia="方正兰亭黑简体" w:cs="方正兰亭黑简体"/>
          <w:color w:val="auto"/>
          <w:sz w:val="22"/>
          <w:szCs w:val="28"/>
          <w:highlight w:val="none"/>
        </w:rPr>
        <w:t>、服务保障承诺</w:t>
      </w:r>
    </w:p>
    <w:p w14:paraId="41589759">
      <w:pPr>
        <w:pStyle w:val="4"/>
        <w:ind w:left="0" w:leftChars="0"/>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5</w:t>
      </w:r>
      <w:r>
        <w:rPr>
          <w:rFonts w:ascii="方正兰亭黑简体" w:hAnsi="方正兰亭黑简体" w:eastAsia="方正兰亭黑简体" w:cs="方正兰亭黑简体"/>
          <w:color w:val="auto"/>
          <w:sz w:val="22"/>
          <w:szCs w:val="28"/>
          <w:highlight w:val="none"/>
        </w:rPr>
        <w:t>、</w:t>
      </w:r>
      <w:r>
        <w:rPr>
          <w:rFonts w:hint="eastAsia" w:ascii="方正兰亭黑简体" w:hAnsi="方正兰亭黑简体" w:eastAsia="方正兰亭黑简体" w:cs="方正兰亭黑简体"/>
          <w:color w:val="auto"/>
          <w:sz w:val="22"/>
          <w:szCs w:val="28"/>
          <w:highlight w:val="none"/>
        </w:rPr>
        <w:t>业绩案例</w:t>
      </w:r>
    </w:p>
    <w:p w14:paraId="7EB31163">
      <w:pPr>
        <w:pStyle w:val="4"/>
        <w:ind w:left="0" w:leftChars="0"/>
        <w:rPr>
          <w:rFonts w:hint="eastAsia" w:ascii="方正兰亭黑简体" w:hAnsi="方正兰亭黑简体" w:eastAsia="方正兰亭黑简体" w:cs="方正兰亭黑简体"/>
          <w:color w:val="auto"/>
          <w:sz w:val="22"/>
          <w:szCs w:val="28"/>
          <w:highlight w:val="none"/>
        </w:rPr>
      </w:pPr>
      <w:r>
        <w:rPr>
          <w:rFonts w:hint="eastAsia" w:ascii="方正兰亭黑简体" w:hAnsi="方正兰亭黑简体" w:eastAsia="方正兰亭黑简体" w:cs="方正兰亭黑简体"/>
          <w:color w:val="auto"/>
          <w:sz w:val="22"/>
          <w:szCs w:val="28"/>
          <w:highlight w:val="none"/>
        </w:rPr>
        <w:t>6、其他所必需的相关材料</w:t>
      </w:r>
    </w:p>
    <w:sectPr>
      <w:pgSz w:w="11906" w:h="16838"/>
      <w:pgMar w:top="1440" w:right="1083" w:bottom="1440" w:left="1083" w:header="851" w:footer="992" w:gutter="0"/>
      <w:cols w:space="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E05EA9C-4762-4136-9356-6F561700FA3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楷体_GB2312">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00000001" w:usb1="0800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2" w:fontKey="{6462A9DE-A9A9-41B9-80CE-A9F6F7424A6B}"/>
  </w:font>
  <w:font w:name="仿宋">
    <w:panose1 w:val="02010609060101010101"/>
    <w:charset w:val="86"/>
    <w:family w:val="modern"/>
    <w:pitch w:val="default"/>
    <w:sig w:usb0="800002BF" w:usb1="38CF7CFA" w:usb2="00000016" w:usb3="00000000" w:csb0="00040001" w:csb1="00000000"/>
    <w:embedRegular r:id="rId3" w:fontKey="{F63FE4CA-0C91-4D2A-99E2-B292A29BEAA7}"/>
  </w:font>
  <w:font w:name="方正兰亭黑简体">
    <w:panose1 w:val="02000000000000000000"/>
    <w:charset w:val="86"/>
    <w:family w:val="auto"/>
    <w:pitch w:val="default"/>
    <w:sig w:usb0="A00002BF" w:usb1="184F6CFA" w:usb2="00000012" w:usb3="00000000" w:csb0="00040001" w:csb1="00000000"/>
    <w:embedRegular r:id="rId4" w:fontKey="{0867D405-A897-4F79-9EF8-E03C470C9F0C}"/>
  </w:font>
  <w:font w:name="微软雅黑">
    <w:panose1 w:val="020B0503020204020204"/>
    <w:charset w:val="86"/>
    <w:family w:val="auto"/>
    <w:pitch w:val="default"/>
    <w:sig w:usb0="80000287" w:usb1="2ACF3C50" w:usb2="00000016" w:usb3="00000000" w:csb0="0004001F" w:csb1="00000000"/>
    <w:embedRegular r:id="rId5" w:fontKey="{71B1C5F7-0990-44CC-B106-57E94B93F7FD}"/>
  </w:font>
  <w:font w:name="华文楷体">
    <w:panose1 w:val="02010600040101010101"/>
    <w:charset w:val="86"/>
    <w:family w:val="auto"/>
    <w:pitch w:val="default"/>
    <w:sig w:usb0="A00002BF" w:usb1="78CF7CFB" w:usb2="00000016" w:usb3="00000000" w:csb0="6006009F" w:csb1="DFD70000"/>
    <w:embedRegular r:id="rId6" w:fontKey="{7BC26868-871A-40D9-8758-11BBA854BB0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6DE97">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859155" cy="147955"/>
              <wp:effectExtent l="0" t="0" r="0" b="0"/>
              <wp:wrapNone/>
              <wp:docPr id="1" name="文本框 2"/>
              <wp:cNvGraphicFramePr/>
              <a:graphic xmlns:a="http://schemas.openxmlformats.org/drawingml/2006/main">
                <a:graphicData uri="http://schemas.microsoft.com/office/word/2010/wordprocessingShape">
                  <wps:wsp>
                    <wps:cNvSpPr txBox="1"/>
                    <wps:spPr>
                      <a:xfrm>
                        <a:off x="0" y="0"/>
                        <a:ext cx="859155" cy="147955"/>
                      </a:xfrm>
                      <a:prstGeom prst="rect">
                        <a:avLst/>
                      </a:prstGeom>
                      <a:noFill/>
                      <a:ln w="6350">
                        <a:noFill/>
                      </a:ln>
                    </wps:spPr>
                    <wps:txbx>
                      <w:txbxContent>
                        <w:p w14:paraId="1C75E4AA">
                          <w:pPr>
                            <w:pStyle w:val="7"/>
                          </w:pPr>
                          <w:r>
                            <w:t>第</w:t>
                          </w:r>
                          <w:r>
                            <w:fldChar w:fldCharType="begin"/>
                          </w:r>
                          <w:r>
                            <w:instrText xml:space="preserve"> PAGE  \* MERGEFORMAT </w:instrText>
                          </w:r>
                          <w:r>
                            <w:fldChar w:fldCharType="separate"/>
                          </w:r>
                          <w:r>
                            <w:t>1</w:t>
                          </w:r>
                          <w:r>
                            <w:fldChar w:fldCharType="end"/>
                          </w:r>
                          <w:r>
                            <w:t>页共</w:t>
                          </w:r>
                          <w:r>
                            <w:fldChar w:fldCharType="begin"/>
                          </w:r>
                          <w:r>
                            <w:instrText xml:space="preserve"> NUMPAGES  \* MERGEFORMAT </w:instrText>
                          </w:r>
                          <w:r>
                            <w:fldChar w:fldCharType="separate"/>
                          </w:r>
                          <w:r>
                            <w:t>9</w:t>
                          </w:r>
                          <w:r>
                            <w:fldChar w:fldCharType="end"/>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1.65pt;width:67.65pt;mso-position-horizontal:center;mso-position-horizontal-relative:margin;mso-wrap-style:none;z-index:251659264;mso-width-relative:page;mso-height-relative:page;" filled="f" stroked="f" coordsize="21600,21600" o:gfxdata="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FS000NMAAAAEAQAADwAAAAAAAAABACAAAAAiAAAAZHJzL2Rvd25yZXYueG1sUEsBAhQA&#10;FAAAAAgAh07iQLIjnDUwAgAAUwQAAA4AAAAAAAAAAQAgAAAAIgEAAGRycy9lMm9Eb2MueG1sUEsF&#10;BgAAAAAGAAYAWQEAAMQFAAAAAA==&#10;">
              <v:fill on="f" focussize="0,0"/>
              <v:stroke on="f" weight="0.5pt"/>
              <v:imagedata o:title=""/>
              <o:lock v:ext="edit" aspectratio="f"/>
              <v:textbox inset="0mm,0mm,0mm,0mm" style="mso-fit-shape-to-text:t;">
                <w:txbxContent>
                  <w:p w14:paraId="1C75E4AA">
                    <w:pPr>
                      <w:pStyle w:val="7"/>
                    </w:pPr>
                    <w:r>
                      <w:t>第</w:t>
                    </w:r>
                    <w:r>
                      <w:fldChar w:fldCharType="begin"/>
                    </w:r>
                    <w:r>
                      <w:instrText xml:space="preserve"> PAGE  \* MERGEFORMAT </w:instrText>
                    </w:r>
                    <w:r>
                      <w:fldChar w:fldCharType="separate"/>
                    </w:r>
                    <w:r>
                      <w:t>1</w:t>
                    </w:r>
                    <w:r>
                      <w:fldChar w:fldCharType="end"/>
                    </w:r>
                    <w:r>
                      <w:t>页共</w:t>
                    </w:r>
                    <w:r>
                      <w:fldChar w:fldCharType="begin"/>
                    </w:r>
                    <w:r>
                      <w:instrText xml:space="preserve"> NUMPAGES  \* MERGEFORMAT </w:instrText>
                    </w:r>
                    <w:r>
                      <w:fldChar w:fldCharType="separate"/>
                    </w:r>
                    <w:r>
                      <w:t>9</w:t>
                    </w:r>
                    <w:r>
                      <w:fldChar w:fldCharType="end"/>
                    </w:r>
                    <w:r>
                      <w:t>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D2EBEB"/>
    <w:multiLevelType w:val="singleLevel"/>
    <w:tmpl w:val="E8D2EBEB"/>
    <w:lvl w:ilvl="0" w:tentative="0">
      <w:start w:val="2"/>
      <w:numFmt w:val="decimal"/>
      <w:suff w:val="nothing"/>
      <w:lvlText w:val="%1、"/>
      <w:lvlJc w:val="left"/>
    </w:lvl>
  </w:abstractNum>
  <w:abstractNum w:abstractNumId="1">
    <w:nsid w:val="009A3A12"/>
    <w:multiLevelType w:val="multilevel"/>
    <w:tmpl w:val="009A3A12"/>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bullet"/>
      <w:lvlText w:val=""/>
      <w:lvlJc w:val="left"/>
      <w:pPr>
        <w:ind w:left="1300" w:hanging="420"/>
      </w:pPr>
      <w:rPr>
        <w:rFonts w:hint="default" w:ascii="Wingdings" w:hAnsi="Wingdings" w:cs="Times New Roman" w:eastAsiaTheme="minorEastAsia"/>
      </w:r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14CA395B"/>
    <w:multiLevelType w:val="multilevel"/>
    <w:tmpl w:val="14CA395B"/>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18551D64"/>
    <w:multiLevelType w:val="multilevel"/>
    <w:tmpl w:val="18551D64"/>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233F6D1B"/>
    <w:multiLevelType w:val="multilevel"/>
    <w:tmpl w:val="233F6D1B"/>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bullet"/>
      <w:lvlText w:val=""/>
      <w:lvlJc w:val="left"/>
      <w:pPr>
        <w:ind w:left="1300" w:hanging="420"/>
      </w:pPr>
      <w:rPr>
        <w:rFonts w:hint="default" w:ascii="Wingdings" w:hAnsi="Wingdings" w:cs="Times New Roman" w:eastAsiaTheme="minorEastAsia"/>
      </w:r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2C352CC4"/>
    <w:multiLevelType w:val="multilevel"/>
    <w:tmpl w:val="2C352CC4"/>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bullet"/>
      <w:lvlText w:val=""/>
      <w:lvlJc w:val="left"/>
      <w:pPr>
        <w:ind w:left="1300" w:hanging="420"/>
      </w:pPr>
      <w:rPr>
        <w:rFonts w:hint="default" w:ascii="Wingdings" w:hAnsi="Wingdings" w:cs="Times New Roman" w:eastAsiaTheme="minorEastAsia"/>
      </w:r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3CDD17B3"/>
    <w:multiLevelType w:val="multilevel"/>
    <w:tmpl w:val="3CDD17B3"/>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7">
    <w:nsid w:val="3DDC67BB"/>
    <w:multiLevelType w:val="multilevel"/>
    <w:tmpl w:val="3DDC67BB"/>
    <w:lvl w:ilvl="0" w:tentative="0">
      <w:start w:val="1"/>
      <w:numFmt w:val="chineseCountingThousand"/>
      <w:lvlText w:val="%1、"/>
      <w:lvlJc w:val="left"/>
      <w:pPr>
        <w:ind w:left="440" w:hanging="440"/>
      </w:pPr>
    </w:lvl>
    <w:lvl w:ilvl="1" w:tentative="0">
      <w:start w:val="1"/>
      <w:numFmt w:val="decimal"/>
      <w:lvlText w:val="%2."/>
      <w:lvlJc w:val="left"/>
      <w:pPr>
        <w:ind w:left="860" w:hanging="420"/>
      </w:pPr>
      <w:rPr>
        <w:rFonts w:hint="default"/>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72422780"/>
    <w:multiLevelType w:val="multilevel"/>
    <w:tmpl w:val="72422780"/>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bullet"/>
      <w:lvlText w:val=""/>
      <w:lvlJc w:val="left"/>
      <w:pPr>
        <w:ind w:left="1300" w:hanging="420"/>
      </w:pPr>
      <w:rPr>
        <w:rFonts w:hint="default" w:ascii="Wingdings" w:hAnsi="Wingdings" w:cs="Times New Roman" w:eastAsiaTheme="minorEastAsia"/>
      </w:r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3"/>
  </w:num>
  <w:num w:numId="2">
    <w:abstractNumId w:val="2"/>
  </w:num>
  <w:num w:numId="3">
    <w:abstractNumId w:val="7"/>
  </w:num>
  <w:num w:numId="4">
    <w:abstractNumId w:val="8"/>
  </w:num>
  <w:num w:numId="5">
    <w:abstractNumId w:val="6"/>
  </w:num>
  <w:num w:numId="6">
    <w:abstractNumId w:val="5"/>
  </w:num>
  <w:num w:numId="7">
    <w:abstractNumId w:val="1"/>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CA3"/>
    <w:rsid w:val="000E4CA3"/>
    <w:rsid w:val="001B052D"/>
    <w:rsid w:val="001B1952"/>
    <w:rsid w:val="00283B3F"/>
    <w:rsid w:val="00325073"/>
    <w:rsid w:val="00572733"/>
    <w:rsid w:val="00595CBB"/>
    <w:rsid w:val="006030E1"/>
    <w:rsid w:val="007F3014"/>
    <w:rsid w:val="00836506"/>
    <w:rsid w:val="00C97D62"/>
    <w:rsid w:val="00DB0393"/>
    <w:rsid w:val="00DC509B"/>
    <w:rsid w:val="00E754B4"/>
    <w:rsid w:val="00F2174E"/>
    <w:rsid w:val="02675436"/>
    <w:rsid w:val="029C08D4"/>
    <w:rsid w:val="048B3475"/>
    <w:rsid w:val="071657EB"/>
    <w:rsid w:val="08B545A5"/>
    <w:rsid w:val="092F2754"/>
    <w:rsid w:val="0B7D7F96"/>
    <w:rsid w:val="13353790"/>
    <w:rsid w:val="13CA7CE9"/>
    <w:rsid w:val="157E6317"/>
    <w:rsid w:val="19F06820"/>
    <w:rsid w:val="1E596D71"/>
    <w:rsid w:val="23465AE2"/>
    <w:rsid w:val="24050543"/>
    <w:rsid w:val="26883166"/>
    <w:rsid w:val="269F2B16"/>
    <w:rsid w:val="2FB07FD7"/>
    <w:rsid w:val="317D7420"/>
    <w:rsid w:val="331671BF"/>
    <w:rsid w:val="33B3033B"/>
    <w:rsid w:val="33DD0342"/>
    <w:rsid w:val="34416E25"/>
    <w:rsid w:val="35906085"/>
    <w:rsid w:val="3A9852E0"/>
    <w:rsid w:val="3CD56D74"/>
    <w:rsid w:val="3CFB44C3"/>
    <w:rsid w:val="3D6469F5"/>
    <w:rsid w:val="3EB44731"/>
    <w:rsid w:val="3FCC680A"/>
    <w:rsid w:val="3FDF48A5"/>
    <w:rsid w:val="40115E5B"/>
    <w:rsid w:val="40134FEB"/>
    <w:rsid w:val="40436D96"/>
    <w:rsid w:val="41007DAA"/>
    <w:rsid w:val="438704B0"/>
    <w:rsid w:val="44E73D39"/>
    <w:rsid w:val="480A63EB"/>
    <w:rsid w:val="487158D1"/>
    <w:rsid w:val="488E3B06"/>
    <w:rsid w:val="48F25244"/>
    <w:rsid w:val="4CCA439B"/>
    <w:rsid w:val="4D0D4ED5"/>
    <w:rsid w:val="4E047438"/>
    <w:rsid w:val="4EFD134C"/>
    <w:rsid w:val="53F3317F"/>
    <w:rsid w:val="543D6D6A"/>
    <w:rsid w:val="58C4549A"/>
    <w:rsid w:val="5AEA704B"/>
    <w:rsid w:val="5C376D46"/>
    <w:rsid w:val="5DF2219B"/>
    <w:rsid w:val="5E8720EC"/>
    <w:rsid w:val="5EE9209B"/>
    <w:rsid w:val="5F44384A"/>
    <w:rsid w:val="5F5C0960"/>
    <w:rsid w:val="60BF2A71"/>
    <w:rsid w:val="63887FE1"/>
    <w:rsid w:val="63F161B6"/>
    <w:rsid w:val="654D0F67"/>
    <w:rsid w:val="66D3234F"/>
    <w:rsid w:val="66E533C4"/>
    <w:rsid w:val="681A51E0"/>
    <w:rsid w:val="695E3370"/>
    <w:rsid w:val="699D5EE7"/>
    <w:rsid w:val="6A660877"/>
    <w:rsid w:val="6B99520C"/>
    <w:rsid w:val="6BBB5EA1"/>
    <w:rsid w:val="6BE91536"/>
    <w:rsid w:val="704C6992"/>
    <w:rsid w:val="71E94098"/>
    <w:rsid w:val="76C311C1"/>
    <w:rsid w:val="778A5BDE"/>
    <w:rsid w:val="7A1F0BD5"/>
    <w:rsid w:val="7A92721C"/>
    <w:rsid w:val="7CFA5264"/>
    <w:rsid w:val="7E4E1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99"/>
    <w:pPr>
      <w:jc w:val="left"/>
    </w:pPr>
    <w:rPr>
      <w:kern w:val="0"/>
      <w:sz w:val="20"/>
      <w:szCs w:val="20"/>
    </w:rPr>
  </w:style>
  <w:style w:type="paragraph" w:styleId="3">
    <w:name w:val="Body Text"/>
    <w:basedOn w:val="1"/>
    <w:next w:val="1"/>
    <w:qFormat/>
    <w:uiPriority w:val="0"/>
    <w:pPr>
      <w:spacing w:after="120"/>
    </w:pPr>
  </w:style>
  <w:style w:type="paragraph" w:styleId="4">
    <w:name w:val="Body Text Indent"/>
    <w:basedOn w:val="1"/>
    <w:qFormat/>
    <w:uiPriority w:val="0"/>
    <w:pPr>
      <w:ind w:left="420" w:leftChars="200"/>
    </w:pPr>
  </w:style>
  <w:style w:type="paragraph" w:styleId="5">
    <w:name w:val="Plain Text"/>
    <w:basedOn w:val="1"/>
    <w:qFormat/>
    <w:uiPriority w:val="0"/>
    <w:rPr>
      <w:rFonts w:ascii="宋体" w:hAnsi="Courier New"/>
    </w:rPr>
  </w:style>
  <w:style w:type="paragraph" w:styleId="6">
    <w:name w:val="Body Text Indent 2"/>
    <w:basedOn w:val="1"/>
    <w:unhideWhenUsed/>
    <w:qFormat/>
    <w:uiPriority w:val="0"/>
    <w:pPr>
      <w:ind w:firstLine="540"/>
    </w:pPr>
    <w:rPr>
      <w:rFonts w:ascii="Calibri" w:hAnsi="Calibri"/>
      <w:sz w:val="28"/>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unhideWhenUsed/>
    <w:qFormat/>
    <w:uiPriority w:val="39"/>
    <w:rPr>
      <w:rFonts w:ascii="Calibri" w:hAnsi="Calibri" w:eastAsia="宋体" w:cs="Times New Roman"/>
    </w:rPr>
  </w:style>
  <w:style w:type="paragraph" w:styleId="10">
    <w:name w:val="Body Text Indent 3"/>
    <w:basedOn w:val="1"/>
    <w:qFormat/>
    <w:uiPriority w:val="0"/>
    <w:pPr>
      <w:ind w:firstLine="600" w:firstLineChars="200"/>
    </w:pPr>
    <w:rPr>
      <w:color w:val="FF0000"/>
      <w:sz w:val="30"/>
      <w:szCs w:val="20"/>
    </w:rPr>
  </w:style>
  <w:style w:type="paragraph" w:styleId="11">
    <w:name w:val="Body Text 2"/>
    <w:basedOn w:val="1"/>
    <w:qFormat/>
    <w:uiPriority w:val="0"/>
    <w:pPr>
      <w:spacing w:after="120" w:line="480" w:lineRule="auto"/>
    </w:p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Body Text First Indent"/>
    <w:basedOn w:val="3"/>
    <w:qFormat/>
    <w:uiPriority w:val="0"/>
    <w:pPr>
      <w:widowControl/>
      <w:ind w:firstLine="420" w:firstLineChars="100"/>
      <w:jc w:val="left"/>
    </w:pPr>
    <w:rPr>
      <w:rFonts w:ascii="Times New Roman"/>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22"/>
    <w:rPr>
      <w:b/>
      <w:bCs/>
    </w:rPr>
  </w:style>
  <w:style w:type="character" w:styleId="18">
    <w:name w:val="Hyperlink"/>
    <w:basedOn w:val="16"/>
    <w:unhideWhenUsed/>
    <w:qFormat/>
    <w:uiPriority w:val="99"/>
    <w:rPr>
      <w:color w:val="0000FF"/>
      <w:u w:val="single"/>
    </w:rPr>
  </w:style>
  <w:style w:type="paragraph" w:customStyle="1" w:styleId="19">
    <w:name w:val="列表段落1"/>
    <w:basedOn w:val="1"/>
    <w:qFormat/>
    <w:uiPriority w:val="0"/>
    <w:pPr>
      <w:ind w:firstLine="420" w:firstLineChars="200"/>
    </w:pPr>
  </w:style>
  <w:style w:type="paragraph" w:customStyle="1" w:styleId="20">
    <w:name w:val="Default"/>
    <w:qFormat/>
    <w:uiPriority w:val="0"/>
    <w:pPr>
      <w:widowControl w:val="0"/>
      <w:autoSpaceDE w:val="0"/>
      <w:autoSpaceDN w:val="0"/>
      <w:adjustRightInd w:val="0"/>
    </w:pPr>
    <w:rPr>
      <w:rFonts w:ascii="楷体" w:hAnsi="Times New Roman" w:eastAsia="楷体" w:cs="楷体"/>
      <w:color w:val="000000"/>
      <w:sz w:val="24"/>
      <w:szCs w:val="24"/>
      <w:lang w:val="en-US" w:eastAsia="zh-CN" w:bidi="ar-SA"/>
    </w:rPr>
  </w:style>
  <w:style w:type="character" w:customStyle="1" w:styleId="21">
    <w:name w:val="15"/>
    <w:basedOn w:val="16"/>
    <w:qFormat/>
    <w:uiPriority w:val="0"/>
    <w:rPr>
      <w:rFonts w:hint="default" w:ascii="Calibri" w:hAnsi="Calibri" w:cs="Calibri"/>
      <w:b/>
      <w:bCs/>
    </w:rPr>
  </w:style>
  <w:style w:type="paragraph" w:styleId="22">
    <w:name w:val="List Paragraph"/>
    <w:basedOn w:val="1"/>
    <w:qFormat/>
    <w:uiPriority w:val="34"/>
    <w:pPr>
      <w:ind w:left="720"/>
      <w:contextualSpacing/>
    </w:pPr>
  </w:style>
  <w:style w:type="table" w:customStyle="1" w:styleId="23">
    <w:name w:val="Table Normal"/>
    <w:semiHidden/>
    <w:unhideWhenUsed/>
    <w:qFormat/>
    <w:uiPriority w:val="0"/>
    <w:tblPr>
      <w:tblCellMar>
        <w:top w:w="0" w:type="dxa"/>
        <w:left w:w="0" w:type="dxa"/>
        <w:bottom w:w="0" w:type="dxa"/>
        <w:right w:w="0" w:type="dxa"/>
      </w:tblCellMar>
    </w:tblPr>
  </w:style>
  <w:style w:type="paragraph" w:customStyle="1" w:styleId="24">
    <w:name w:val="表格正文内容"/>
    <w:basedOn w:val="1"/>
    <w:next w:val="1"/>
    <w:autoRedefine/>
    <w:qFormat/>
    <w:uiPriority w:val="0"/>
    <w:pPr>
      <w:widowControl/>
      <w:spacing w:line="360" w:lineRule="exact"/>
      <w:jc w:val="left"/>
    </w:pPr>
    <w:rPr>
      <w:rFonts w:ascii="方正楷体_GB2312" w:hAnsi="方正小标宋简体" w:eastAsia="方正仿宋_GB2312" w:cs="仿宋"/>
      <w:sz w:val="24"/>
      <w:szCs w:val="32"/>
    </w:rPr>
  </w:style>
  <w:style w:type="paragraph" w:customStyle="1" w:styleId="25">
    <w:name w:val="列出段落2"/>
    <w:basedOn w:val="1"/>
    <w:qFormat/>
    <w:uiPriority w:val="0"/>
    <w:pPr>
      <w:ind w:firstLine="420" w:firstLineChars="200"/>
    </w:pPr>
    <w:rPr>
      <w:rFonts w:ascii="Times New Roman" w:hAnsi="Times New Roman" w:eastAsia="宋体" w:cs="Times New Roman"/>
      <w:szCs w:val="21"/>
    </w:rPr>
  </w:style>
  <w:style w:type="paragraph" w:customStyle="1" w:styleId="26">
    <w:name w:val="列出段落1"/>
    <w:basedOn w:val="1"/>
    <w:qFormat/>
    <w:uiPriority w:val="34"/>
    <w:pPr>
      <w:suppressAutoHyphens/>
      <w:ind w:firstLine="420"/>
    </w:pPr>
    <w:rPr>
      <w:rFonts w:ascii="Times New Roman" w:hAnsi="Times New Roman" w:eastAsia="宋体" w:cs="Times New Roman"/>
      <w:kern w:val="1"/>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7379e5ec-5050-4b0a-b977-9372c18957da</errorID>
      <errorWord>期间</errorWord>
      <group>L1_Word</group>
      <groupName>字词问题</groupName>
      <ability>L2_Typo</ability>
      <abilityName>字词错误</abilityName>
      <candidateList>
        <item>其间</item>
      </candidateList>
      <explain/>
      <paraID>57294392</paraID>
      <start>20</start>
      <end>22</end>
      <status>unmodified</status>
      <modifiedWord/>
      <trackRevisions>false</trackRevisions>
    </reviewItem>
    <reviewItem>
      <errorID>3106f341-3b4c-4c94-8bdc-a82487047c97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58FFC7E6</paraID>
      <start>0</start>
      <end>2</end>
      <status>unmodified</status>
      <modifiedWord/>
      <trackRevisions>false</trackRevisions>
    </reviewItem>
    <reviewItem>
      <errorID>14ac8f91-e25d-405e-b530-a2109d8bca35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67A4B0EC</paraID>
      <start>0</start>
      <end>2</end>
      <status>unmodified</status>
      <modifiedWord/>
      <trackRevisions>false</trackRevisions>
    </reviewItem>
    <reviewItem>
      <errorID>623d82ee-b02d-4ad1-89ac-63ae8c85ccab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34243CEE</paraID>
      <start>0</start>
      <end>2</end>
      <status>unmodified</status>
      <modifiedWord/>
      <trackRevisions>false</trackRevisions>
    </reviewItem>
    <reviewItem>
      <errorID>e064e09c-a27c-400a-95e5-b3afeb2f0e76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5FE8A0DA</paraID>
      <start>45</start>
      <end>46</end>
      <status>unmodified</status>
      <modifiedWord/>
      <trackRevisions>false</trackRevisions>
    </reviewItem>
    <reviewItem>
      <errorID>f8052aff-942b-40b6-8566-e959c4d03be5</errorID>
      <errorWord>,</errorWord>
      <group>L1_Format</group>
      <groupName>格式问题</groupName>
      <ability>L2_HalfPunc_CN</ability>
      <abilityName>全半角问题</abilityName>
      <candidateList>
        <item>，</item>
      </candidateList>
      <explain>文本全半角错误。</explain>
      <paraID> F3B427B</paraID>
      <start>56</start>
      <end>57</end>
      <status>modified</status>
      <modifiedWord>，</modifiedWord>
      <trackRevisions>false</trackRevisions>
    </reviewItem>
    <reviewItem>
      <errorID>dcac28fe-ac96-4f12-9c45-4e4c4198d611</errorID>
      <errorWord>，</errorWord>
      <group>L1_Word</group>
      <groupName>字词问题</groupName>
      <ability>L2_Typo</ability>
      <abilityName>字词错误</abilityName>
      <candidateList>
        <item>，在</item>
      </candidateList>
      <explain/>
      <paraID>7E1A0BCA</paraID>
      <start>26</start>
      <end>28</end>
      <status>modified</status>
      <modifiedWord>，在</modifiedWord>
      <trackRevisions>false</trackRevisions>
    </reviewItem>
    <reviewItem>
      <errorID>78d294d9-9cd3-415a-98cc-2b9de7bce661</errorID>
      <errorWord>;</errorWord>
      <group>L1_Format</group>
      <groupName>格式问题</groupName>
      <ability>L2_HalfPunc_CN</ability>
      <abilityName>全半角问题</abilityName>
      <candidateList>
        <item>；</item>
      </candidateList>
      <explain>文本全半角错误。</explain>
      <paraID>4967BD9C</paraID>
      <start>16</start>
      <end>17</end>
      <status>modified</status>
      <modifiedWord>；</modifiedWord>
      <trackRevisions>false</trackRevisions>
    </reviewItem>
    <reviewItem>
      <errorID>a43f3c69-8699-4b75-b6aa-7549d39bfc01</errorID>
      <errorWord>;</errorWord>
      <group>L1_Format</group>
      <groupName>格式问题</groupName>
      <ability>L2_HalfPunc_CN</ability>
      <abilityName>全半角问题</abilityName>
      <candidateList>
        <item>；</item>
      </candidateList>
      <explain>文本全半角错误。</explain>
      <paraID>5E88B5F8</paraID>
      <start>14</start>
      <end>15</end>
      <status>modified</status>
      <modifiedWord>；</modifiedWord>
      <trackRevisions>false</trackRevisions>
    </reviewItem>
    <reviewItem>
      <errorID>77b2be72-3b8f-4e17-9c39-33c5d8f8be33</errorID>
      <errorWord>;</errorWord>
      <group>L1_Format</group>
      <groupName>格式问题</groupName>
      <ability>L2_HalfPunc_CN</ability>
      <abilityName>全半角问题</abilityName>
      <candidateList>
        <item>；</item>
      </candidateList>
      <explain>文本全半角错误。</explain>
      <paraID>1F4252C3</paraID>
      <start>24</start>
      <end>25</end>
      <status>modified</status>
      <modifiedWord>；</modifiedWord>
      <trackRevisions>false</trackRevisions>
    </reviewItem>
    <reviewItem>
      <errorID>4ea46d3b-43bf-495b-995c-0e1d64c7aa39</errorID>
      <errorWord>件</errorWord>
      <group>L1_Word</group>
      <groupName>字词问题</groupName>
      <ability>L2_Typo</ability>
      <abilityName>字词错误</abilityName>
      <candidateList>
        <item>件通</item>
      </candidateList>
      <explain/>
      <paraID>65771598</paraID>
      <start>3</start>
      <end>5</end>
      <status>modified</status>
      <modifiedWord>件通</modifiedWord>
      <trackRevisions>false</trackRevisions>
    </reviewItem>
    <reviewItem>
      <errorID>8ec8580a-ed78-4445-92f4-21bc65fe8bde</errorID>
      <errorWord>按按</errorWord>
      <group>L1_Word</group>
      <groupName>字词问题</groupName>
      <ability>L2_Typo</ability>
      <abilityName>字词错误</abilityName>
      <candidateList>
        <item>按</item>
      </candidateList>
      <explain/>
      <paraID>65771598</paraID>
      <start>14</start>
      <end>15</end>
      <status>modified</status>
      <modifiedWord>按</modifiedWord>
      <trackRevisions>false</trackRevisions>
    </reviewItem>
    <reviewItem>
      <errorID>7d19d16a-b7bc-4b3e-bf4b-0002c2f988c6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673FFF60</paraID>
      <start>0</start>
      <end>2</end>
      <status>unmodified</status>
      <modifiedWord/>
      <trackRevisions>false</trackRevisions>
    </reviewItem>
    <reviewItem>
      <errorID>41b45887-5447-4502-8e7c-a63bb29528a6</errorID>
      <errorWord>等</errorWord>
      <group>L1_Word</group>
      <groupName>字词问题</groupName>
      <ability>L2_Typo</ability>
      <abilityName>字词错误</abilityName>
      <candidateList>
        <item>的</item>
      </candidateList>
      <explain/>
      <paraID> 53ACC0F</paraID>
      <start>13</start>
      <end>14</end>
      <status>unmodified</status>
      <modifiedWord/>
      <trackRevisions>false</trackRevisions>
    </reviewItem>
    <reviewItem>
      <errorID>58dd21ff-fe3c-446c-abc6-7b9e20caf88f</errorID>
      <errorWord>:</errorWord>
      <group>L1_Format</group>
      <groupName>格式问题</groupName>
      <ability>L2_HalfPunc_CN</ability>
      <abilityName>全半角问题</abilityName>
      <candidateList>
        <item>：</item>
      </candidateList>
      <explain>文本全半角错误。</explain>
      <paraID>28C0DCFE</paraID>
      <start>2</start>
      <end>3</end>
      <status>modified</status>
      <modifiedWord>：</modifiedWord>
      <trackRevisions>false</trackRevisions>
    </reviewItem>
    <reviewItem>
      <errorID>490a7667-5f87-4bcf-9907-54256519b6f9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554618DC</paraID>
      <start>0</start>
      <end>2</end>
      <status>unmodified</status>
      <modifiedWord/>
      <trackRevisions>false</trackRevisions>
    </reviewItem>
    <reviewItem>
      <errorID>d71fe1ca-9237-4434-a3a2-a132a070a4d6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7D349A8B</paraID>
      <start>0</start>
      <end>2</end>
      <status>unmodified</status>
      <modifiedWord/>
      <trackRevisions>false</trackRevisions>
    </reviewItem>
    <reviewItem>
      <errorID>c607f9c2-6cb5-4e94-8364-91cffa7cd7b2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6619B28A</paraID>
      <start>0</start>
      <end>2</end>
      <status>unmodified</status>
      <modifiedWord/>
      <trackRevisions>false</trackRevisions>
    </reviewItem>
    <reviewItem>
      <errorID>6e104655-2e3f-470b-bb95-8c18bb0882b1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43482A45</paraID>
      <start>0</start>
      <end>2</end>
      <status>unmodified</status>
      <modifiedWord/>
      <trackRevisions>false</trackRevisions>
    </reviewItem>
    <reviewItem>
      <errorID>93af94f6-5e19-4ad2-92ff-af9bbabcfecc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428A839D</paraID>
      <start>0</start>
      <end>2</end>
      <status>unmodified</status>
      <modifiedWord/>
      <trackRevisions>false</trackRevisions>
    </reviewItem>
    <reviewItem>
      <errorID>49e513c9-04cb-4732-883c-895d41be857f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56E8031D</paraID>
      <start>0</start>
      <end>2</end>
      <status>unmodified</status>
      <modifiedWord/>
      <trackRevisions>false</trackRevisions>
    </reviewItem>
    <reviewItem>
      <errorID>8d2fbccb-2529-4887-8c53-bfa145cd7ddb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1DCC4AA6</paraID>
      <start>0</start>
      <end>2</end>
      <status>unmodified</status>
      <modifiedWord/>
      <trackRevisions>false</trackRevisions>
    </reviewItem>
    <reviewItem>
      <errorID>fa173632-0cd7-4e3c-9fd2-d365865c87c4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41589759</paraID>
      <start>0</start>
      <end>2</end>
      <status>unmodified</status>
      <modifiedWord/>
      <trackRevisions>false</trackRevisions>
    </reviewItem>
    <reviewItem>
      <errorID>9da68d2b-9053-4316-9a6a-3371ea11e8a7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7EB31163</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9fffd5-cb92-4fb2-aeb4-ab5846387a85}">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17</Pages>
  <Words>5135</Words>
  <Characters>6251</Characters>
  <Lines>133</Lines>
  <Paragraphs>161</Paragraphs>
  <TotalTime>34</TotalTime>
  <ScaleCrop>false</ScaleCrop>
  <LinksUpToDate>false</LinksUpToDate>
  <CharactersWithSpaces>6370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2026-02-05T02:57:00Z</dcterms:created>
  <dc:creator>HP</dc:creator>
  <cp:lastModifiedBy>仲杰</cp:lastModifiedBy>
  <dcterms:modified xsi:type="dcterms:W3CDTF">2026-08-03T03:44:21Z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eyJoZGlkIjoiMjQzMjJjYTEzYzEzMjVjOGIxYWQwMTc0ZTUwZGE2YjIiLCJ1c2VySWQiOiIyOTgyOTgyOTEifQ==</vt:lpwstr>
  </property>
  <property fmtid="{D5CDD505-2E9C-101B-9397-08002B2CF9AE}" pid="4" name="ICV">
    <vt:lpwstr>2BFD31D5F3FB4B709DBC969892577809_12</vt:lpwstr>
  </property>
</Properties>
</file>