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6A561">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05F143FD">
      <w:pPr>
        <w:jc w:val="center"/>
        <w:rPr>
          <w:rFonts w:hint="eastAsia" w:ascii="方正兰亭黑简体" w:hAnsi="方正兰亭黑简体" w:eastAsia="方正兰亭黑简体" w:cs="方正兰亭黑简体"/>
          <w:b/>
          <w:bCs/>
          <w:color w:val="auto"/>
          <w:sz w:val="28"/>
          <w:szCs w:val="36"/>
          <w:highlight w:val="none"/>
          <w:lang w:val="en-US" w:eastAsia="zh-CN"/>
        </w:rPr>
      </w:pPr>
      <w:bookmarkStart w:id="4" w:name="_GoBack"/>
      <w:bookmarkEnd w:id="4"/>
    </w:p>
    <w:p w14:paraId="7C29A4C3">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5D3CC17">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关键海域航道区域国家人文历史及政策多语种语料库建设项目</w:t>
      </w:r>
    </w:p>
    <w:p w14:paraId="3A6F3C59">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比选文件</w:t>
      </w:r>
    </w:p>
    <w:p w14:paraId="746E0DD5">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7F5B1C2D">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0B84232F">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项目编号：</w:t>
      </w:r>
      <w:r>
        <w:rPr>
          <w:rFonts w:hint="eastAsia" w:ascii="方正兰亭黑简体" w:hAnsi="方正兰亭黑简体" w:eastAsia="方正兰亭黑简体" w:cs="方正兰亭黑简体"/>
          <w:color w:val="auto"/>
          <w:sz w:val="28"/>
          <w:szCs w:val="28"/>
          <w:highlight w:val="none"/>
          <w:lang w:val="en-US" w:eastAsia="zh-CN"/>
        </w:rPr>
        <w:t>HFBX2026117</w:t>
      </w:r>
    </w:p>
    <w:p w14:paraId="43E1A51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564BAA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CBECD87">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77AEA8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AFBFE6C">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8A2CE08">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9F671C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0E2559B5">
      <w:pPr>
        <w:jc w:val="cente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采购人：上海海事大学</w:t>
      </w:r>
    </w:p>
    <w:p w14:paraId="64BB9721">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二〇二六年</w:t>
      </w:r>
      <w:r>
        <w:rPr>
          <w:rFonts w:hint="eastAsia" w:ascii="方正兰亭黑简体" w:hAnsi="方正兰亭黑简体" w:eastAsia="方正兰亭黑简体" w:cs="方正兰亭黑简体"/>
          <w:b/>
          <w:bCs/>
          <w:color w:val="auto"/>
          <w:sz w:val="24"/>
          <w:szCs w:val="32"/>
          <w:highlight w:val="none"/>
          <w:lang w:val="en-US" w:eastAsia="zh-CN"/>
        </w:rPr>
        <w:t>十一</w:t>
      </w:r>
      <w:r>
        <w:rPr>
          <w:rFonts w:hint="eastAsia" w:ascii="方正兰亭黑简体" w:hAnsi="方正兰亭黑简体" w:eastAsia="方正兰亭黑简体" w:cs="方正兰亭黑简体"/>
          <w:b/>
          <w:bCs/>
          <w:color w:val="auto"/>
          <w:sz w:val="24"/>
          <w:szCs w:val="32"/>
          <w:highlight w:val="none"/>
          <w:lang w:val="en-US" w:eastAsia="zh-CN"/>
        </w:rPr>
        <w:t>月</w:t>
      </w:r>
    </w:p>
    <w:p w14:paraId="4258C5C0">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5637B82A">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第一章 比选公告</w:t>
      </w:r>
    </w:p>
    <w:p w14:paraId="54E46ED1">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5694D68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6ED9240D">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val="en-US" w:eastAsia="zh-CN"/>
        </w:rPr>
        <w:t>HFBX2026117</w:t>
      </w:r>
      <w:r>
        <w:rPr>
          <w:rFonts w:hint="eastAsia" w:ascii="方正兰亭黑简体" w:hAnsi="方正兰亭黑简体" w:eastAsia="方正兰亭黑简体" w:cs="方正兰亭黑简体"/>
          <w:color w:val="auto"/>
          <w:sz w:val="22"/>
          <w:szCs w:val="28"/>
          <w:highlight w:val="none"/>
          <w:lang w:val="en-US" w:eastAsia="zh-CN"/>
        </w:rPr>
        <w:t>；</w:t>
      </w:r>
    </w:p>
    <w:p w14:paraId="40680CD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val="en-US" w:eastAsia="zh-CN"/>
        </w:rPr>
        <w:t>关键海域航道区域国家人文历史及政策多语种语料库建设项目</w:t>
      </w:r>
      <w:r>
        <w:rPr>
          <w:rFonts w:hint="eastAsia" w:ascii="方正兰亭黑简体" w:hAnsi="方正兰亭黑简体" w:eastAsia="方正兰亭黑简体" w:cs="方正兰亭黑简体"/>
          <w:color w:val="auto"/>
          <w:sz w:val="22"/>
          <w:szCs w:val="28"/>
          <w:highlight w:val="none"/>
          <w:lang w:val="en-US" w:eastAsia="zh-CN"/>
        </w:rPr>
        <w:t>；</w:t>
      </w:r>
    </w:p>
    <w:p w14:paraId="49D3EF92">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lang w:val="en-US" w:eastAsia="zh-CN"/>
        </w:rPr>
        <w:t>学校</w:t>
      </w:r>
      <w:r>
        <w:rPr>
          <w:rFonts w:hint="eastAsia" w:ascii="方正兰亭黑简体" w:hAnsi="方正兰亭黑简体" w:eastAsia="方正兰亭黑简体" w:cs="方正兰亭黑简体"/>
          <w:color w:val="auto"/>
          <w:sz w:val="22"/>
          <w:szCs w:val="28"/>
          <w:highlight w:val="none"/>
        </w:rPr>
        <w:t>比选</w:t>
      </w:r>
      <w:r>
        <w:rPr>
          <w:rFonts w:hint="eastAsia" w:ascii="方正兰亭黑简体" w:hAnsi="方正兰亭黑简体" w:eastAsia="方正兰亭黑简体" w:cs="方正兰亭黑简体"/>
          <w:color w:val="auto"/>
          <w:sz w:val="22"/>
          <w:szCs w:val="28"/>
          <w:highlight w:val="none"/>
          <w:lang w:eastAsia="zh-CN"/>
        </w:rPr>
        <w:t>；</w:t>
      </w:r>
    </w:p>
    <w:p w14:paraId="11D14FF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20</w:t>
      </w:r>
      <w:r>
        <w:rPr>
          <w:rFonts w:hint="eastAsia" w:ascii="方正兰亭黑简体" w:hAnsi="方正兰亭黑简体" w:eastAsia="方正兰亭黑简体" w:cs="方正兰亭黑简体"/>
          <w:color w:val="auto"/>
          <w:sz w:val="22"/>
          <w:szCs w:val="28"/>
          <w:highlight w:val="none"/>
        </w:rPr>
        <w:t>万元</w:t>
      </w:r>
      <w:r>
        <w:rPr>
          <w:rFonts w:hint="eastAsia" w:ascii="方正兰亭黑简体" w:hAnsi="方正兰亭黑简体" w:eastAsia="方正兰亭黑简体" w:cs="方正兰亭黑简体"/>
          <w:color w:val="auto"/>
          <w:sz w:val="22"/>
          <w:szCs w:val="28"/>
          <w:highlight w:val="none"/>
          <w:lang w:eastAsia="zh-CN"/>
        </w:rPr>
        <w:t>；</w:t>
      </w:r>
    </w:p>
    <w:p w14:paraId="192657F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rPr>
        <w:t>本项目需</w:t>
      </w:r>
      <w:r>
        <w:rPr>
          <w:rFonts w:hint="eastAsia" w:ascii="方正兰亭黑简体" w:hAnsi="方正兰亭黑简体" w:eastAsia="方正兰亭黑简体" w:cs="方正兰亭黑简体"/>
          <w:color w:val="auto"/>
          <w:sz w:val="22"/>
          <w:szCs w:val="28"/>
          <w:highlight w:val="none"/>
          <w:lang w:val="en-US" w:eastAsia="zh-CN"/>
        </w:rPr>
        <w:t>拟委托一家合格供应商完成学校关键海域航道区域国家人文历史及政策多语种语料库建设任务。</w:t>
      </w:r>
      <w:r>
        <w:rPr>
          <w:rFonts w:hint="eastAsia" w:ascii="方正兰亭黑简体" w:hAnsi="方正兰亭黑简体" w:eastAsia="方正兰亭黑简体" w:cs="方正兰亭黑简体"/>
          <w:color w:val="auto"/>
          <w:sz w:val="22"/>
          <w:szCs w:val="28"/>
          <w:highlight w:val="none"/>
          <w:lang w:val="en-US" w:eastAsia="zh-CN"/>
        </w:rPr>
        <w:t>（具体</w:t>
      </w:r>
      <w:r>
        <w:rPr>
          <w:rFonts w:hint="eastAsia" w:ascii="方正兰亭黑简体" w:hAnsi="方正兰亭黑简体" w:eastAsia="方正兰亭黑简体" w:cs="方正兰亭黑简体"/>
          <w:color w:val="auto"/>
          <w:sz w:val="22"/>
          <w:szCs w:val="28"/>
          <w:highlight w:val="none"/>
        </w:rPr>
        <w:t>要求详见比选文件—第二</w:t>
      </w:r>
      <w:r>
        <w:rPr>
          <w:rFonts w:hint="eastAsia" w:ascii="方正兰亭黑简体" w:hAnsi="方正兰亭黑简体" w:eastAsia="方正兰亭黑简体" w:cs="方正兰亭黑简体"/>
          <w:color w:val="auto"/>
          <w:sz w:val="22"/>
          <w:szCs w:val="28"/>
          <w:highlight w:val="none"/>
          <w:lang w:val="en-US" w:eastAsia="zh-CN"/>
        </w:rPr>
        <w:t>章节</w:t>
      </w:r>
      <w:r>
        <w:rPr>
          <w:rFonts w:hint="eastAsia" w:ascii="方正兰亭黑简体" w:hAnsi="方正兰亭黑简体" w:eastAsia="方正兰亭黑简体" w:cs="方正兰亭黑简体"/>
          <w:color w:val="auto"/>
          <w:sz w:val="22"/>
          <w:szCs w:val="28"/>
          <w:highlight w:val="none"/>
        </w:rPr>
        <w:t>采购需求）</w:t>
      </w:r>
    </w:p>
    <w:p w14:paraId="101D2053">
      <w:pPr>
        <w:jc w:val="left"/>
        <w:rPr>
          <w:rFonts w:ascii="微软雅黑" w:hAnsi="微软雅黑" w:eastAsia="微软雅黑" w:cs="方正兰亭黑简体"/>
          <w:color w:val="auto"/>
          <w:sz w:val="22"/>
          <w:szCs w:val="28"/>
          <w:highlight w:val="none"/>
        </w:rPr>
      </w:pPr>
      <w:r>
        <w:rPr>
          <w:rFonts w:hint="eastAsia" w:ascii="微软雅黑" w:hAnsi="微软雅黑" w:eastAsia="微软雅黑" w:cs="方正兰亭黑简体"/>
          <w:color w:val="auto"/>
          <w:sz w:val="22"/>
          <w:szCs w:val="28"/>
          <w:highlight w:val="none"/>
        </w:rPr>
        <w:t>交付地址：</w:t>
      </w:r>
      <w:r>
        <w:rPr>
          <w:rFonts w:hint="eastAsia" w:ascii="微软雅黑" w:hAnsi="微软雅黑" w:eastAsia="微软雅黑" w:cs="方正兰亭黑简体"/>
          <w:color w:val="auto"/>
          <w:sz w:val="22"/>
          <w:szCs w:val="28"/>
          <w:highlight w:val="none"/>
        </w:rPr>
        <w:t>上海海事大学</w:t>
      </w:r>
      <w:r>
        <w:rPr>
          <w:rFonts w:hint="eastAsia" w:ascii="微软雅黑" w:hAnsi="微软雅黑" w:eastAsia="微软雅黑" w:cs="方正兰亭黑简体"/>
          <w:color w:val="auto"/>
          <w:sz w:val="22"/>
          <w:szCs w:val="28"/>
          <w:highlight w:val="none"/>
          <w:lang w:val="en-US" w:eastAsia="zh-CN"/>
        </w:rPr>
        <w:t>临港校区</w:t>
      </w:r>
      <w:r>
        <w:rPr>
          <w:rFonts w:hint="eastAsia" w:ascii="微软雅黑" w:hAnsi="微软雅黑" w:eastAsia="微软雅黑" w:cs="方正兰亭黑简体"/>
          <w:color w:val="auto"/>
          <w:sz w:val="22"/>
          <w:szCs w:val="28"/>
          <w:highlight w:val="none"/>
        </w:rPr>
        <w:t>。</w:t>
      </w:r>
    </w:p>
    <w:p w14:paraId="78B9ABFF">
      <w:pPr>
        <w:jc w:val="left"/>
        <w:rPr>
          <w:rFonts w:hint="eastAsia" w:ascii="微软雅黑" w:hAnsi="微软雅黑" w:eastAsia="微软雅黑" w:cs="方正兰亭黑简体"/>
          <w:color w:val="auto"/>
          <w:sz w:val="22"/>
          <w:szCs w:val="28"/>
          <w:highlight w:val="none"/>
        </w:rPr>
      </w:pPr>
      <w:r>
        <w:rPr>
          <w:rFonts w:hint="eastAsia" w:ascii="微软雅黑" w:hAnsi="微软雅黑" w:eastAsia="微软雅黑" w:cs="方正兰亭黑简体"/>
          <w:color w:val="auto"/>
          <w:sz w:val="22"/>
          <w:szCs w:val="28"/>
          <w:highlight w:val="none"/>
        </w:rPr>
        <w:t>交付</w:t>
      </w:r>
      <w:r>
        <w:rPr>
          <w:rFonts w:hint="eastAsia" w:ascii="微软雅黑" w:hAnsi="微软雅黑" w:eastAsia="微软雅黑" w:cs="方正兰亭黑简体"/>
          <w:color w:val="auto"/>
          <w:sz w:val="22"/>
          <w:szCs w:val="28"/>
          <w:highlight w:val="none"/>
          <w:lang w:val="en-US" w:eastAsia="zh-CN"/>
        </w:rPr>
        <w:t>期限</w:t>
      </w:r>
      <w:r>
        <w:rPr>
          <w:rFonts w:hint="eastAsia" w:ascii="微软雅黑" w:hAnsi="微软雅黑" w:eastAsia="微软雅黑" w:cs="方正兰亭黑简体"/>
          <w:color w:val="auto"/>
          <w:sz w:val="22"/>
          <w:szCs w:val="28"/>
          <w:highlight w:val="none"/>
        </w:rPr>
        <w:t>：</w:t>
      </w:r>
      <w:r>
        <w:rPr>
          <w:rFonts w:hint="eastAsia" w:ascii="微软雅黑" w:hAnsi="微软雅黑" w:eastAsia="微软雅黑" w:cs="方正兰亭黑简体"/>
          <w:color w:val="auto"/>
          <w:sz w:val="22"/>
          <w:szCs w:val="28"/>
          <w:highlight w:val="none"/>
        </w:rPr>
        <w:t>本项目建设周期为合同签订之日起至2027年9月30日止，分两期实施，一期验收通过后方可启动二期实施</w:t>
      </w:r>
      <w:r>
        <w:rPr>
          <w:rFonts w:hint="eastAsia" w:ascii="微软雅黑" w:hAnsi="微软雅黑" w:eastAsia="微软雅黑" w:cs="方正兰亭黑简体"/>
          <w:color w:val="auto"/>
          <w:sz w:val="22"/>
          <w:szCs w:val="28"/>
          <w:highlight w:val="none"/>
          <w:lang w:eastAsia="zh-CN"/>
        </w:rPr>
        <w:t>，</w:t>
      </w:r>
      <w:r>
        <w:rPr>
          <w:rFonts w:hint="eastAsia" w:ascii="微软雅黑" w:hAnsi="微软雅黑" w:eastAsia="微软雅黑" w:cs="方正兰亭黑简体"/>
          <w:color w:val="auto"/>
          <w:sz w:val="22"/>
          <w:szCs w:val="28"/>
          <w:highlight w:val="none"/>
        </w:rPr>
        <w:t>各期时限如下：</w:t>
      </w:r>
    </w:p>
    <w:p w14:paraId="1FBC8DE6">
      <w:pPr>
        <w:jc w:val="left"/>
        <w:rPr>
          <w:rFonts w:hint="eastAsia" w:ascii="微软雅黑" w:hAnsi="微软雅黑" w:eastAsia="微软雅黑" w:cs="方正兰亭黑简体"/>
          <w:color w:val="auto"/>
          <w:sz w:val="22"/>
          <w:szCs w:val="28"/>
          <w:highlight w:val="none"/>
        </w:rPr>
      </w:pPr>
      <w:r>
        <w:rPr>
          <w:rFonts w:hint="eastAsia" w:ascii="微软雅黑" w:hAnsi="微软雅黑" w:eastAsia="微软雅黑" w:cs="方正兰亭黑简体"/>
          <w:color w:val="auto"/>
          <w:sz w:val="22"/>
          <w:szCs w:val="28"/>
          <w:highlight w:val="none"/>
        </w:rPr>
        <w:t>一期（核心基础落地阶段）合同签订之日起至2027年3月30日止，完成一期全部建设内容并通过验收；</w:t>
      </w:r>
    </w:p>
    <w:p w14:paraId="596E9AF0">
      <w:pPr>
        <w:jc w:val="left"/>
        <w:rPr>
          <w:rFonts w:hint="eastAsia" w:ascii="微软雅黑" w:hAnsi="微软雅黑" w:eastAsia="微软雅黑" w:cs="方正兰亭黑简体"/>
          <w:color w:val="auto"/>
          <w:sz w:val="22"/>
          <w:szCs w:val="28"/>
          <w:highlight w:val="none"/>
        </w:rPr>
      </w:pPr>
      <w:r>
        <w:rPr>
          <w:rFonts w:hint="eastAsia" w:ascii="微软雅黑" w:hAnsi="微软雅黑" w:eastAsia="微软雅黑" w:cs="方正兰亭黑简体"/>
          <w:color w:val="auto"/>
          <w:sz w:val="22"/>
          <w:szCs w:val="28"/>
          <w:highlight w:val="none"/>
        </w:rPr>
        <w:t>二期（优化扩容升级阶段）：自2027年4月1日起至2027年9月30日止（约6个月），完成二期全部建设内容并通过整体验收；</w:t>
      </w:r>
    </w:p>
    <w:p w14:paraId="0B645593">
      <w:pPr>
        <w:jc w:val="left"/>
        <w:rPr>
          <w:rFonts w:hint="eastAsia" w:ascii="微软雅黑" w:hAnsi="微软雅黑" w:eastAsia="微软雅黑" w:cs="方正兰亭黑简体"/>
          <w:color w:val="auto"/>
          <w:sz w:val="22"/>
          <w:szCs w:val="28"/>
          <w:highlight w:val="none"/>
        </w:rPr>
      </w:pPr>
      <w:r>
        <w:rPr>
          <w:rFonts w:hint="eastAsia" w:ascii="微软雅黑" w:hAnsi="微软雅黑" w:eastAsia="微软雅黑" w:cs="方正兰亭黑简体"/>
          <w:color w:val="auto"/>
          <w:sz w:val="22"/>
          <w:szCs w:val="28"/>
          <w:highlight w:val="none"/>
        </w:rPr>
        <w:t>质保期限：</w:t>
      </w:r>
      <w:r>
        <w:rPr>
          <w:rFonts w:hint="eastAsia" w:ascii="微软雅黑" w:hAnsi="微软雅黑" w:eastAsia="微软雅黑" w:cs="方正兰亭黑简体"/>
          <w:color w:val="auto"/>
          <w:sz w:val="22"/>
          <w:szCs w:val="28"/>
          <w:highlight w:val="none"/>
        </w:rPr>
        <w:t>提供3年质保服务，自项目整体验收合格之日起算。质保期内免费提供技术支持、缺陷修复与系统维护。</w:t>
      </w:r>
    </w:p>
    <w:p w14:paraId="64E0D948">
      <w:pPr>
        <w:rPr>
          <w:rFonts w:hint="eastAsia" w:ascii="微软雅黑" w:hAnsi="微软雅黑" w:eastAsia="微软雅黑" w:cs="方正兰亭黑简体"/>
          <w:color w:val="auto"/>
          <w:sz w:val="22"/>
          <w:szCs w:val="28"/>
          <w:highlight w:val="none"/>
        </w:rPr>
      </w:pPr>
      <w:r>
        <w:rPr>
          <w:rFonts w:hint="eastAsia" w:ascii="微软雅黑" w:hAnsi="微软雅黑" w:eastAsia="微软雅黑" w:cs="方正兰亭黑简体"/>
          <w:color w:val="auto"/>
          <w:sz w:val="22"/>
          <w:szCs w:val="28"/>
          <w:highlight w:val="none"/>
        </w:rPr>
        <w:t>付款方式：</w:t>
      </w:r>
      <w:r>
        <w:rPr>
          <w:rFonts w:hint="eastAsia" w:ascii="微软雅黑" w:hAnsi="微软雅黑" w:eastAsia="微软雅黑" w:cs="方正兰亭黑简体"/>
          <w:color w:val="auto"/>
          <w:sz w:val="22"/>
          <w:szCs w:val="28"/>
          <w:highlight w:val="none"/>
        </w:rPr>
        <w:t>合同签订后</w:t>
      </w:r>
      <w:r>
        <w:rPr>
          <w:rFonts w:hint="eastAsia" w:ascii="微软雅黑" w:hAnsi="微软雅黑" w:eastAsia="微软雅黑" w:cs="方正兰亭黑简体"/>
          <w:color w:val="auto"/>
          <w:sz w:val="22"/>
          <w:szCs w:val="28"/>
          <w:highlight w:val="none"/>
          <w:lang w:val="en-US" w:eastAsia="zh-CN"/>
        </w:rPr>
        <w:t>的</w:t>
      </w:r>
      <w:r>
        <w:rPr>
          <w:rFonts w:hint="eastAsia" w:ascii="微软雅黑" w:hAnsi="微软雅黑" w:eastAsia="微软雅黑" w:cs="方正兰亭黑简体"/>
          <w:color w:val="auto"/>
          <w:sz w:val="22"/>
          <w:szCs w:val="28"/>
          <w:highlight w:val="none"/>
        </w:rPr>
        <w:t>15个工作日内</w:t>
      </w:r>
      <w:r>
        <w:rPr>
          <w:rFonts w:hint="eastAsia" w:ascii="微软雅黑" w:hAnsi="微软雅黑" w:eastAsia="微软雅黑" w:cs="方正兰亭黑简体"/>
          <w:color w:val="auto"/>
          <w:sz w:val="22"/>
          <w:szCs w:val="28"/>
          <w:highlight w:val="none"/>
          <w:lang w:eastAsia="zh-CN"/>
        </w:rPr>
        <w:t>，</w:t>
      </w:r>
      <w:r>
        <w:rPr>
          <w:rFonts w:hint="eastAsia" w:ascii="微软雅黑" w:hAnsi="微软雅黑" w:eastAsia="微软雅黑" w:cs="方正兰亭黑简体"/>
          <w:color w:val="auto"/>
          <w:sz w:val="22"/>
          <w:szCs w:val="28"/>
          <w:highlight w:val="none"/>
          <w:lang w:val="en-US" w:eastAsia="zh-CN"/>
        </w:rPr>
        <w:t>甲方向乙方</w:t>
      </w:r>
      <w:r>
        <w:rPr>
          <w:rFonts w:hint="eastAsia" w:ascii="微软雅黑" w:hAnsi="微软雅黑" w:eastAsia="微软雅黑" w:cs="方正兰亭黑简体"/>
          <w:color w:val="auto"/>
          <w:sz w:val="22"/>
          <w:szCs w:val="28"/>
          <w:highlight w:val="none"/>
        </w:rPr>
        <w:t>支付</w:t>
      </w:r>
      <w:r>
        <w:rPr>
          <w:rFonts w:hint="eastAsia" w:ascii="微软雅黑" w:hAnsi="微软雅黑" w:eastAsia="微软雅黑" w:cs="方正兰亭黑简体"/>
          <w:color w:val="auto"/>
          <w:sz w:val="22"/>
          <w:szCs w:val="28"/>
          <w:highlight w:val="none"/>
          <w:lang w:val="en-US" w:eastAsia="zh-CN"/>
        </w:rPr>
        <w:t>合同总金额的50%作为预付款</w:t>
      </w:r>
      <w:r>
        <w:rPr>
          <w:rFonts w:hint="eastAsia" w:ascii="微软雅黑" w:hAnsi="微软雅黑" w:eastAsia="微软雅黑" w:cs="方正兰亭黑简体"/>
          <w:color w:val="auto"/>
          <w:sz w:val="22"/>
          <w:szCs w:val="28"/>
          <w:highlight w:val="none"/>
        </w:rPr>
        <w:t>；项目整体验收完成后15个工作日内</w:t>
      </w:r>
      <w:r>
        <w:rPr>
          <w:rFonts w:hint="eastAsia" w:ascii="微软雅黑" w:hAnsi="微软雅黑" w:eastAsia="微软雅黑" w:cs="方正兰亭黑简体"/>
          <w:color w:val="auto"/>
          <w:sz w:val="22"/>
          <w:szCs w:val="28"/>
          <w:highlight w:val="none"/>
          <w:lang w:eastAsia="zh-CN"/>
        </w:rPr>
        <w:t>，</w:t>
      </w:r>
      <w:r>
        <w:rPr>
          <w:rFonts w:hint="eastAsia" w:ascii="微软雅黑" w:hAnsi="微软雅黑" w:eastAsia="微软雅黑" w:cs="方正兰亭黑简体"/>
          <w:color w:val="auto"/>
          <w:sz w:val="22"/>
          <w:szCs w:val="28"/>
          <w:highlight w:val="none"/>
          <w:lang w:val="en-US" w:eastAsia="zh-CN"/>
        </w:rPr>
        <w:t>甲方向乙方</w:t>
      </w:r>
      <w:r>
        <w:rPr>
          <w:rFonts w:hint="eastAsia" w:ascii="微软雅黑" w:hAnsi="微软雅黑" w:eastAsia="微软雅黑" w:cs="方正兰亭黑简体"/>
          <w:color w:val="auto"/>
          <w:sz w:val="22"/>
          <w:szCs w:val="28"/>
          <w:highlight w:val="none"/>
        </w:rPr>
        <w:t>支付剩余合同款。合同内全部款项均以“银行转账”方式予以支付。</w:t>
      </w:r>
    </w:p>
    <w:p w14:paraId="41BEA8D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w:t>
      </w:r>
      <w:r>
        <w:rPr>
          <w:rFonts w:hint="eastAsia" w:ascii="方正兰亭黑简体" w:hAnsi="方正兰亭黑简体" w:eastAsia="方正兰亭黑简体" w:cs="方正兰亭黑简体"/>
          <w:b/>
          <w:bCs/>
          <w:color w:val="auto"/>
          <w:sz w:val="22"/>
          <w:szCs w:val="28"/>
          <w:highlight w:val="none"/>
          <w:lang w:val="en-US" w:eastAsia="zh-CN"/>
        </w:rPr>
        <w:t>报价</w:t>
      </w:r>
      <w:r>
        <w:rPr>
          <w:rFonts w:hint="eastAsia" w:ascii="方正兰亭黑简体" w:hAnsi="方正兰亭黑简体" w:eastAsia="方正兰亭黑简体" w:cs="方正兰亭黑简体"/>
          <w:b/>
          <w:bCs/>
          <w:color w:val="auto"/>
          <w:sz w:val="22"/>
          <w:szCs w:val="28"/>
          <w:highlight w:val="none"/>
        </w:rPr>
        <w:t>人的资格要求</w:t>
      </w:r>
    </w:p>
    <w:p w14:paraId="022E876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中华人民共和国</w:t>
      </w:r>
      <w:r>
        <w:rPr>
          <w:rFonts w:hint="eastAsia" w:ascii="方正兰亭黑简体" w:hAnsi="方正兰亭黑简体" w:eastAsia="方正兰亭黑简体" w:cs="方正兰亭黑简体"/>
          <w:color w:val="auto"/>
          <w:sz w:val="22"/>
          <w:szCs w:val="28"/>
          <w:highlight w:val="none"/>
        </w:rPr>
        <w:t>政府采购法</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第二十二条之供应商资格规定。</w:t>
      </w:r>
    </w:p>
    <w:p w14:paraId="6441606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2、供应商未被列入“信用中国”网站（www.creditchina.gov.cn）失信执行人名单、重大税收违法案件当事人名单和中国政府采购网（www.ccgp.gov.cn）政府严重违法失信行为记录名单的供应商。</w:t>
      </w:r>
    </w:p>
    <w:p w14:paraId="3A3BF07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经营范围及拟投标货物（服务）符合本次比选要求，具有与本次投标货物（服务）相应的经营、代理（经销）资质，能全程参与并完成本项目，且具有较强的服务能力，以及畅通的问题响应机制和渠道等；</w:t>
      </w:r>
    </w:p>
    <w:p w14:paraId="3710B34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rPr>
        <w:t>三、报名</w:t>
      </w:r>
      <w:r>
        <w:rPr>
          <w:rFonts w:hint="eastAsia" w:ascii="方正兰亭黑简体" w:hAnsi="方正兰亭黑简体" w:eastAsia="方正兰亭黑简体" w:cs="方正兰亭黑简体"/>
          <w:b/>
          <w:bCs/>
          <w:color w:val="auto"/>
          <w:sz w:val="22"/>
          <w:szCs w:val="28"/>
          <w:highlight w:val="none"/>
          <w:lang w:val="en-US" w:eastAsia="zh-CN"/>
        </w:rPr>
        <w:t>要求</w:t>
      </w:r>
    </w:p>
    <w:p w14:paraId="0491728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24CD6CD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5050A6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w:t>
      </w:r>
      <w:r>
        <w:rPr>
          <w:rFonts w:hint="eastAsia" w:ascii="方正兰亭黑简体" w:hAnsi="方正兰亭黑简体" w:eastAsia="方正兰亭黑简体" w:cs="方正兰亭黑简体"/>
          <w:color w:val="auto"/>
          <w:sz w:val="22"/>
          <w:szCs w:val="28"/>
          <w:highlight w:val="none"/>
          <w:lang w:val="en-US" w:eastAsia="zh-CN"/>
        </w:rPr>
        <w:t>下方自行</w:t>
      </w:r>
      <w:r>
        <w:rPr>
          <w:rFonts w:hint="eastAsia" w:ascii="方正兰亭黑简体" w:hAnsi="方正兰亭黑简体" w:eastAsia="方正兰亭黑简体" w:cs="方正兰亭黑简体"/>
          <w:color w:val="auto"/>
          <w:sz w:val="22"/>
          <w:szCs w:val="28"/>
          <w:highlight w:val="none"/>
        </w:rPr>
        <w:t>下载</w:t>
      </w:r>
    </w:p>
    <w:p w14:paraId="4D745344">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2C26225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213C813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六</w:t>
      </w:r>
      <w:r>
        <w:rPr>
          <w:rFonts w:hint="eastAsia" w:ascii="方正兰亭黑简体" w:hAnsi="方正兰亭黑简体" w:eastAsia="方正兰亭黑简体" w:cs="方正兰亭黑简体"/>
          <w:b/>
          <w:bCs/>
          <w:color w:val="auto"/>
          <w:sz w:val="22"/>
          <w:szCs w:val="28"/>
          <w:highlight w:val="none"/>
        </w:rPr>
        <w:t>、响应文件提交</w:t>
      </w:r>
    </w:p>
    <w:p w14:paraId="231DF229">
      <w:pPr>
        <w:jc w:val="left"/>
        <w:rPr>
          <w:rFonts w:hint="eastAsia" w:ascii="方正兰亭黑简体" w:hAnsi="方正兰亭黑简体" w:eastAsia="方正兰亭黑简体" w:cs="方正兰亭黑简体"/>
          <w:color w:val="auto"/>
          <w:sz w:val="22"/>
          <w:szCs w:val="28"/>
          <w:highlight w:val="none"/>
          <w:lang w:eastAsia="zh-CN"/>
        </w:rPr>
      </w:pPr>
      <w:bookmarkStart w:id="1" w:name="_Toc35393795"/>
      <w:bookmarkEnd w:id="1"/>
      <w:bookmarkStart w:id="2" w:name="_Toc35393626"/>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w:t>
      </w:r>
      <w:r>
        <w:rPr>
          <w:rFonts w:hint="eastAsia" w:ascii="方正兰亭黑简体" w:hAnsi="方正兰亭黑简体" w:eastAsia="方正兰亭黑简体" w:cs="方正兰亭黑简体"/>
          <w:color w:val="auto"/>
          <w:sz w:val="22"/>
          <w:szCs w:val="28"/>
          <w:highlight w:val="none"/>
          <w:lang w:val="en-US" w:eastAsia="zh-CN"/>
        </w:rPr>
        <w:t>6</w:t>
      </w:r>
      <w:r>
        <w:rPr>
          <w:rFonts w:hint="eastAsia" w:ascii="方正兰亭黑简体" w:hAnsi="方正兰亭黑简体" w:eastAsia="方正兰亭黑简体" w:cs="方正兰亭黑简体"/>
          <w:color w:val="auto"/>
          <w:sz w:val="22"/>
          <w:szCs w:val="28"/>
          <w:highlight w:val="none"/>
        </w:rPr>
        <w:t>年</w:t>
      </w:r>
      <w:r>
        <w:rPr>
          <w:rFonts w:hint="eastAsia" w:ascii="方正兰亭黑简体" w:hAnsi="方正兰亭黑简体" w:eastAsia="方正兰亭黑简体" w:cs="方正兰亭黑简体"/>
          <w:color w:val="auto"/>
          <w:sz w:val="22"/>
          <w:szCs w:val="28"/>
          <w:highlight w:val="none"/>
          <w:lang w:val="en-US" w:eastAsia="zh-CN"/>
        </w:rPr>
        <w:t>11</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9</w:t>
      </w:r>
      <w:r>
        <w:rPr>
          <w:rFonts w:hint="eastAsia" w:ascii="方正兰亭黑简体" w:hAnsi="方正兰亭黑简体" w:eastAsia="方正兰亭黑简体" w:cs="方正兰亭黑简体"/>
          <w:color w:val="auto"/>
          <w:sz w:val="22"/>
          <w:szCs w:val="28"/>
          <w:highlight w:val="none"/>
        </w:rPr>
        <w:t>日</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周一</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上午11</w:t>
      </w:r>
      <w:r>
        <w:rPr>
          <w:rFonts w:hint="eastAsia" w:ascii="方正兰亭黑简体" w:hAnsi="方正兰亭黑简体" w:eastAsia="方正兰亭黑简体" w:cs="方正兰亭黑简体"/>
          <w:color w:val="auto"/>
          <w:sz w:val="22"/>
          <w:szCs w:val="28"/>
          <w:highlight w:val="none"/>
        </w:rPr>
        <w:t>时</w:t>
      </w:r>
      <w:r>
        <w:rPr>
          <w:rFonts w:hint="eastAsia" w:ascii="方正兰亭黑简体" w:hAnsi="方正兰亭黑简体" w:eastAsia="方正兰亭黑简体" w:cs="方正兰亭黑简体"/>
          <w:color w:val="auto"/>
          <w:sz w:val="22"/>
          <w:szCs w:val="28"/>
          <w:highlight w:val="none"/>
          <w:lang w:val="en-US" w:eastAsia="zh-CN"/>
        </w:rPr>
        <w:t>00</w:t>
      </w:r>
      <w:r>
        <w:rPr>
          <w:rFonts w:hint="eastAsia" w:ascii="方正兰亭黑简体" w:hAnsi="方正兰亭黑简体" w:eastAsia="方正兰亭黑简体" w:cs="方正兰亭黑简体"/>
          <w:color w:val="auto"/>
          <w:sz w:val="22"/>
          <w:szCs w:val="28"/>
          <w:highlight w:val="none"/>
        </w:rPr>
        <w:t>分</w:t>
      </w:r>
    </w:p>
    <w:p w14:paraId="52EA2719">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提交方式：发送盖章扫描版</w:t>
      </w:r>
      <w:r>
        <w:rPr>
          <w:rFonts w:hint="eastAsia" w:ascii="方正兰亭黑简体" w:hAnsi="方正兰亭黑简体" w:eastAsia="方正兰亭黑简体" w:cs="方正兰亭黑简体"/>
          <w:color w:val="auto"/>
          <w:sz w:val="22"/>
          <w:szCs w:val="28"/>
          <w:highlight w:val="none"/>
          <w:lang w:val="en-US" w:eastAsia="zh-CN"/>
        </w:rPr>
        <w:t>PDF</w:t>
      </w:r>
      <w:r>
        <w:rPr>
          <w:rFonts w:hint="eastAsia" w:ascii="方正兰亭黑简体" w:hAnsi="方正兰亭黑简体" w:eastAsia="方正兰亭黑简体" w:cs="方正兰亭黑简体"/>
          <w:color w:val="auto"/>
          <w:sz w:val="22"/>
          <w:szCs w:val="28"/>
          <w:highlight w:val="none"/>
        </w:rPr>
        <w:t>到指定邮箱</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邮件名称：项目编号+公司名称</w:t>
      </w:r>
    </w:p>
    <w:p w14:paraId="45738F2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w:t>
      </w:r>
      <w:r>
        <w:rPr>
          <w:rFonts w:hint="eastAsia" w:ascii="方正兰亭黑简体" w:hAnsi="方正兰亭黑简体" w:eastAsia="方正兰亭黑简体" w:cs="方正兰亭黑简体"/>
          <w:color w:val="auto"/>
          <w:sz w:val="22"/>
          <w:szCs w:val="28"/>
          <w:highlight w:val="none"/>
          <w:u w:val="none"/>
        </w:rPr>
        <w:t>quotation@shmtu.edu.cn</w:t>
      </w:r>
    </w:p>
    <w:p w14:paraId="7C16205B">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七</w:t>
      </w:r>
      <w:r>
        <w:rPr>
          <w:rFonts w:hint="eastAsia" w:ascii="方正兰亭黑简体" w:hAnsi="方正兰亭黑简体" w:eastAsia="方正兰亭黑简体" w:cs="方正兰亭黑简体"/>
          <w:b/>
          <w:bCs/>
          <w:color w:val="auto"/>
          <w:sz w:val="22"/>
          <w:szCs w:val="28"/>
          <w:highlight w:val="none"/>
        </w:rPr>
        <w:t>、其他补充事宜</w:t>
      </w:r>
    </w:p>
    <w:p w14:paraId="3C9CF2D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w:t>
      </w:r>
      <w:r>
        <w:rPr>
          <w:rFonts w:hint="eastAsia" w:ascii="方正兰亭黑简体" w:hAnsi="方正兰亭黑简体" w:eastAsia="方正兰亭黑简体" w:cs="方正兰亭黑简体"/>
          <w:color w:val="auto"/>
          <w:sz w:val="22"/>
          <w:szCs w:val="28"/>
          <w:highlight w:val="none"/>
          <w:lang w:val="en-US" w:eastAsia="zh-CN"/>
        </w:rPr>
        <w:t>为1个工作日</w:t>
      </w:r>
      <w:r>
        <w:rPr>
          <w:rFonts w:hint="eastAsia" w:ascii="方正兰亭黑简体" w:hAnsi="方正兰亭黑简体" w:eastAsia="方正兰亭黑简体" w:cs="方正兰亭黑简体"/>
          <w:color w:val="auto"/>
          <w:sz w:val="22"/>
          <w:szCs w:val="28"/>
          <w:highlight w:val="none"/>
        </w:rPr>
        <w:t>，公示期内如对中标结果有异议可向校方提出书面质疑。</w:t>
      </w:r>
      <w:bookmarkStart w:id="3" w:name="_Toc35393627"/>
    </w:p>
    <w:p w14:paraId="17FB2B9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2.</w:t>
      </w:r>
      <w:bookmarkEnd w:id="3"/>
      <w:r>
        <w:rPr>
          <w:rFonts w:hint="eastAsia" w:ascii="方正兰亭黑简体" w:hAnsi="方正兰亭黑简体" w:eastAsia="方正兰亭黑简体" w:cs="方正兰亭黑简体"/>
          <w:color w:val="auto"/>
          <w:sz w:val="22"/>
          <w:szCs w:val="28"/>
          <w:highlight w:val="none"/>
        </w:rPr>
        <w:t>凡对本次采购提出询问，请按以下方式联系</w:t>
      </w:r>
      <w:r>
        <w:rPr>
          <w:rFonts w:hint="eastAsia" w:ascii="方正兰亭黑简体" w:hAnsi="方正兰亭黑简体" w:eastAsia="方正兰亭黑简体" w:cs="方正兰亭黑简体"/>
          <w:color w:val="auto"/>
          <w:sz w:val="22"/>
          <w:szCs w:val="28"/>
          <w:highlight w:val="none"/>
          <w:lang w:eastAsia="zh-CN"/>
        </w:rPr>
        <w:t>：</w:t>
      </w:r>
    </w:p>
    <w:p w14:paraId="53930B0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w:t>
      </w:r>
      <w:r>
        <w:rPr>
          <w:rFonts w:hint="eastAsia" w:ascii="方正兰亭黑简体" w:hAnsi="方正兰亭黑简体" w:eastAsia="方正兰亭黑简体" w:cs="方正兰亭黑简体"/>
          <w:color w:val="auto"/>
          <w:sz w:val="22"/>
          <w:szCs w:val="28"/>
          <w:highlight w:val="none"/>
          <w:lang w:val="en-US" w:eastAsia="zh-CN"/>
        </w:rPr>
        <w:t>仲</w:t>
      </w:r>
      <w:r>
        <w:rPr>
          <w:rFonts w:hint="eastAsia" w:ascii="方正兰亭黑简体" w:hAnsi="方正兰亭黑简体" w:eastAsia="方正兰亭黑简体" w:cs="方正兰亭黑简体"/>
          <w:color w:val="auto"/>
          <w:sz w:val="22"/>
          <w:szCs w:val="28"/>
          <w:highlight w:val="none"/>
        </w:rPr>
        <w:t>老师021-3828470</w:t>
      </w:r>
      <w:r>
        <w:rPr>
          <w:rFonts w:hint="eastAsia" w:ascii="方正兰亭黑简体" w:hAnsi="方正兰亭黑简体" w:eastAsia="方正兰亭黑简体" w:cs="方正兰亭黑简体"/>
          <w:color w:val="auto"/>
          <w:sz w:val="22"/>
          <w:szCs w:val="28"/>
          <w:highlight w:val="none"/>
          <w:lang w:val="en-US" w:eastAsia="zh-CN"/>
        </w:rPr>
        <w:t>7</w:t>
      </w:r>
    </w:p>
    <w:p w14:paraId="1CEF1F38">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赵老师021-38282777</w:t>
      </w:r>
    </w:p>
    <w:p w14:paraId="52A47FAD">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4B9C0EF3">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第二章 采购需求</w:t>
      </w:r>
    </w:p>
    <w:p w14:paraId="08F37435">
      <w:p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一、项目概况</w:t>
      </w:r>
    </w:p>
    <w:p w14:paraId="7CF0CB94">
      <w:pPr>
        <w:widowControl/>
        <w:shd w:val="clear" w:color="auto" w:fill="FFFFFF"/>
        <w:spacing w:line="360" w:lineRule="auto"/>
        <w:ind w:firstLine="440" w:firstLineChars="20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本项目围绕 "关键海域航道区域国家人文历史及政策多语种语料库" 建设，聚焦马六甲海峡、霍尔木兹海峡、苏伊士运河—曼德海峡走廊、巴拿马运河等关键海域航道及其比较圈层，系统覆盖相关区域国家的人文历史、海洋政策、海事法律、安全通告、航运实务等多语种文本；明确语料的来源渠道、采集标准、加工规范、质量控制与更新机制，提出语料库在采集清洗、元数据管理、标注体系、检索服务、权限安全、接口对接和可持续运维等方面的技术指标；划分需求调研与标准设计、语料采集与清洗、标注建库与功能开发、测试验收与试运行等阶段任务；并对多语种、海事专业、数据标注和技术运维复合型人才培养及团队分工提出要求。</w:t>
      </w:r>
    </w:p>
    <w:p w14:paraId="42D31393">
      <w:pPr>
        <w:spacing w:line="360" w:lineRule="auto"/>
        <w:rPr>
          <w:rFonts w:hint="default" w:ascii="Times New Roman" w:hAnsi="Times New Roman" w:eastAsia="方正兰亭黑简体" w:cs="Times New Roman"/>
          <w:b/>
          <w:bCs/>
          <w:color w:val="auto"/>
          <w:sz w:val="22"/>
          <w:szCs w:val="22"/>
          <w:highlight w:val="none"/>
        </w:rPr>
      </w:pPr>
    </w:p>
    <w:p w14:paraId="158CB794">
      <w:pPr>
        <w:spacing w:line="360" w:lineRule="auto"/>
        <w:rPr>
          <w:rFonts w:hint="default" w:ascii="Times New Roman" w:hAnsi="Times New Roman" w:eastAsia="方正兰亭黑简体" w:cs="Times New Roman"/>
          <w:b/>
          <w:bCs/>
          <w:color w:val="auto"/>
          <w:sz w:val="22"/>
          <w:szCs w:val="22"/>
          <w:highlight w:val="none"/>
        </w:rPr>
      </w:pPr>
      <w:r>
        <w:rPr>
          <w:rFonts w:hint="eastAsia" w:ascii="Times New Roman" w:hAnsi="Times New Roman" w:eastAsia="方正兰亭黑简体" w:cs="Times New Roman"/>
          <w:b/>
          <w:bCs/>
          <w:color w:val="auto"/>
          <w:sz w:val="22"/>
          <w:szCs w:val="22"/>
          <w:highlight w:val="none"/>
          <w:lang w:val="en-US" w:eastAsia="zh-CN"/>
        </w:rPr>
        <w:t>二</w:t>
      </w:r>
      <w:r>
        <w:rPr>
          <w:rFonts w:hint="default" w:ascii="Times New Roman" w:hAnsi="Times New Roman" w:eastAsia="方正兰亭黑简体" w:cs="Times New Roman"/>
          <w:b/>
          <w:bCs/>
          <w:color w:val="auto"/>
          <w:sz w:val="22"/>
          <w:szCs w:val="22"/>
          <w:highlight w:val="none"/>
        </w:rPr>
        <w:t>、货物清单及规格参数</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2880"/>
        <w:gridCol w:w="660"/>
        <w:gridCol w:w="680"/>
        <w:gridCol w:w="5036"/>
      </w:tblGrid>
      <w:tr w14:paraId="3F88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06" w:type="dxa"/>
            <w:vAlign w:val="center"/>
          </w:tcPr>
          <w:p w14:paraId="7D900C02">
            <w:pPr>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序号</w:t>
            </w:r>
          </w:p>
        </w:tc>
        <w:tc>
          <w:tcPr>
            <w:tcW w:w="2880" w:type="dxa"/>
            <w:vAlign w:val="center"/>
          </w:tcPr>
          <w:p w14:paraId="3E4654E1">
            <w:pPr>
              <w:widowControl/>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名称</w:t>
            </w:r>
          </w:p>
        </w:tc>
        <w:tc>
          <w:tcPr>
            <w:tcW w:w="660" w:type="dxa"/>
            <w:vAlign w:val="center"/>
          </w:tcPr>
          <w:p w14:paraId="18C0592B">
            <w:pPr>
              <w:widowControl/>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单位</w:t>
            </w:r>
          </w:p>
        </w:tc>
        <w:tc>
          <w:tcPr>
            <w:tcW w:w="680" w:type="dxa"/>
            <w:vAlign w:val="center"/>
          </w:tcPr>
          <w:p w14:paraId="14DCCB81">
            <w:pPr>
              <w:widowControl/>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数量</w:t>
            </w:r>
          </w:p>
        </w:tc>
        <w:tc>
          <w:tcPr>
            <w:tcW w:w="5036" w:type="dxa"/>
            <w:vAlign w:val="center"/>
          </w:tcPr>
          <w:p w14:paraId="5375C4DA">
            <w:pPr>
              <w:widowControl/>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主要规格</w:t>
            </w:r>
          </w:p>
        </w:tc>
      </w:tr>
      <w:tr w14:paraId="49DA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06" w:type="dxa"/>
            <w:vAlign w:val="center"/>
          </w:tcPr>
          <w:p w14:paraId="7DEF8C0B">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2880" w:type="dxa"/>
            <w:vAlign w:val="center"/>
          </w:tcPr>
          <w:p w14:paraId="27DFD86A">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shd w:val="clear" w:color="auto" w:fill="FFFFFF"/>
              </w:rPr>
              <w:t>关键海域航道区域国家人文历史及政策多语种语料库</w:t>
            </w:r>
          </w:p>
        </w:tc>
        <w:tc>
          <w:tcPr>
            <w:tcW w:w="660" w:type="dxa"/>
            <w:vAlign w:val="center"/>
          </w:tcPr>
          <w:p w14:paraId="5A208F7B">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项</w:t>
            </w:r>
          </w:p>
        </w:tc>
        <w:tc>
          <w:tcPr>
            <w:tcW w:w="680" w:type="dxa"/>
            <w:vAlign w:val="center"/>
          </w:tcPr>
          <w:p w14:paraId="59847C04">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5036" w:type="dxa"/>
            <w:vAlign w:val="center"/>
          </w:tcPr>
          <w:p w14:paraId="653ED931">
            <w:pPr>
              <w:widowControl/>
              <w:spacing w:line="360" w:lineRule="auto"/>
              <w:jc w:val="left"/>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 xml:space="preserve">语料采集（中/英/日/法等）、基础清洗、格式标准化、元数据标注；建成 </w:t>
            </w:r>
            <w:r>
              <w:rPr>
                <w:rStyle w:val="17"/>
                <w:rFonts w:hint="default" w:ascii="Times New Roman" w:hAnsi="Times New Roman" w:eastAsia="方正兰亭黑简体" w:cs="Times New Roman"/>
                <w:color w:val="auto"/>
                <w:sz w:val="21"/>
                <w:szCs w:val="21"/>
                <w:highlight w:val="none"/>
              </w:rPr>
              <w:t>500 万字</w:t>
            </w:r>
            <w:r>
              <w:rPr>
                <w:rFonts w:hint="default" w:ascii="Times New Roman" w:hAnsi="Times New Roman" w:eastAsia="方正兰亭黑简体" w:cs="Times New Roman"/>
                <w:color w:val="auto"/>
                <w:sz w:val="21"/>
                <w:szCs w:val="21"/>
                <w:highlight w:val="none"/>
              </w:rPr>
              <w:t>基础语料库，聚焦关键海域航道沿线国别人文、历史、海事政策文献</w:t>
            </w:r>
          </w:p>
        </w:tc>
      </w:tr>
    </w:tbl>
    <w:p w14:paraId="50D1ABB1">
      <w:pPr>
        <w:spacing w:line="360" w:lineRule="auto"/>
        <w:rPr>
          <w:rFonts w:hint="default" w:ascii="Times New Roman" w:hAnsi="Times New Roman" w:eastAsia="方正兰亭黑简体" w:cs="Times New Roman"/>
          <w:b/>
          <w:bCs/>
          <w:color w:val="auto"/>
          <w:sz w:val="22"/>
          <w:szCs w:val="22"/>
          <w:highlight w:val="none"/>
        </w:rPr>
      </w:pPr>
    </w:p>
    <w:p w14:paraId="058B0CCD">
      <w:pPr>
        <w:spacing w:line="360" w:lineRule="auto"/>
        <w:rPr>
          <w:rFonts w:hint="default" w:ascii="Times New Roman" w:hAnsi="Times New Roman" w:eastAsia="方正兰亭黑简体" w:cs="Times New Roman"/>
          <w:b/>
          <w:bCs/>
          <w:color w:val="auto"/>
          <w:sz w:val="22"/>
          <w:szCs w:val="22"/>
          <w:highlight w:val="none"/>
        </w:rPr>
      </w:pPr>
      <w:r>
        <w:rPr>
          <w:rFonts w:hint="eastAsia" w:ascii="Times New Roman" w:hAnsi="Times New Roman" w:eastAsia="方正兰亭黑简体" w:cs="Times New Roman"/>
          <w:b/>
          <w:bCs/>
          <w:color w:val="auto"/>
          <w:sz w:val="22"/>
          <w:szCs w:val="22"/>
          <w:highlight w:val="none"/>
          <w:lang w:val="en-US" w:eastAsia="zh-CN"/>
        </w:rPr>
        <w:t>三</w:t>
      </w:r>
      <w:r>
        <w:rPr>
          <w:rFonts w:hint="default" w:ascii="Times New Roman" w:hAnsi="Times New Roman" w:eastAsia="方正兰亭黑简体" w:cs="Times New Roman"/>
          <w:b/>
          <w:bCs/>
          <w:color w:val="auto"/>
          <w:sz w:val="22"/>
          <w:szCs w:val="22"/>
          <w:highlight w:val="none"/>
        </w:rPr>
        <w:t>、技术要求</w:t>
      </w:r>
    </w:p>
    <w:p w14:paraId="24AC0278">
      <w:pPr>
        <w:spacing w:line="360" w:lineRule="auto"/>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sz w:val="22"/>
          <w:szCs w:val="22"/>
          <w:highlight w:val="none"/>
          <w:lang w:val="en-US" w:eastAsia="zh-CN"/>
        </w:rPr>
        <w:t>1.</w:t>
      </w:r>
      <w:r>
        <w:rPr>
          <w:rFonts w:hint="default" w:ascii="Times New Roman" w:hAnsi="Times New Roman" w:eastAsia="方正兰亭黑简体" w:cs="Times New Roman"/>
          <w:color w:val="auto"/>
          <w:sz w:val="22"/>
          <w:szCs w:val="22"/>
          <w:highlight w:val="none"/>
        </w:rPr>
        <w:t>功能要求</w:t>
      </w:r>
    </w:p>
    <w:p w14:paraId="1D291BD5">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本项目分两期实施，各期建设内容与功能为：</w:t>
      </w:r>
    </w:p>
    <w:p w14:paraId="619DB636">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（1）项目一期</w:t>
      </w:r>
    </w:p>
    <w:p w14:paraId="2B598229">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完成中英文核心语料库落地。初步完成多语种语料采集（中文、英语、日语、法语等）、基础清洗与格式标准化处理；建成500万字容量基础语料库，素材聚焦关键海域航道沿线国别人文、历史、海事政策等多语种文献；完成基础元数据分类标注。开展基础文献素材搜集、资料整理、源文本获取；开展首轮技术指导，对教师和项目学生开展基础语料处理培训，输出操作文档。</w:t>
      </w:r>
    </w:p>
    <w:p w14:paraId="23E31BBD">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实现以下功能需求：</w:t>
      </w:r>
    </w:p>
    <w:p w14:paraId="5AABE804">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1）语料入库管理：支持批量导入TXT/DOCX等格式，完成基础清洗与格式标准化处理；</w:t>
      </w:r>
    </w:p>
    <w:p w14:paraId="0469D6D6">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2）基础检索：支持按照国别、主题、语种等维度检索文本；</w:t>
      </w:r>
    </w:p>
    <w:p w14:paraId="6B636F96">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3）实现500万字多语种语料落地存储；</w:t>
      </w:r>
    </w:p>
    <w:p w14:paraId="60BCAEE6">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4）交付技术指导文档、一期使用手册；</w:t>
      </w:r>
    </w:p>
    <w:p w14:paraId="418E8C7D">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5）组织首轮培训，保障学院师生掌握基础语料收集、导入全流程。</w:t>
      </w:r>
    </w:p>
    <w:p w14:paraId="64AAF449">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（2）项目二期</w:t>
      </w:r>
    </w:p>
    <w:p w14:paraId="6FB08019">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依托一期500万字基础语料库迭代，做好多语种资源扩充、精细化校对、系统功能迭代、航运应用场景优化，深化人才培养实践。批量扩充关键海域航道沿线国家外文文献、中文史料；完成语种对齐、语义纠错、内容去重、格式标准化；实现政策类文献主题归类；对存量500万语料开展第二轮质量校对；优化多语种检索、多语种对照阅读能力；适配高端航运服务研究场景；完善元数据体系；升级数据统计、导出功能；修复一期系统问题，提升系统稳定性。</w:t>
      </w:r>
    </w:p>
    <w:p w14:paraId="6DA4F4B1">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实现以下功能需求：</w:t>
      </w:r>
    </w:p>
    <w:p w14:paraId="6C4C1A17">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1）多语种文本支撑，支持多语种对照浏览与检索；</w:t>
      </w:r>
    </w:p>
    <w:p w14:paraId="3E91E4DC">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2）高级检索：支持关键词、国别、时间、政策类型多条件组合筛选；</w:t>
      </w:r>
    </w:p>
    <w:p w14:paraId="7E05932D">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3）语料质量管控：支持错误文本标记、校对留痕；</w:t>
      </w:r>
    </w:p>
    <w:p w14:paraId="36EC1B96">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4）适配高端航运服务场景，构建海事主题专题数据集；</w:t>
      </w:r>
    </w:p>
    <w:p w14:paraId="1AEB153F">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5）数据统计看板：语料规模、国别分布、语种分布统计等。</w:t>
      </w:r>
    </w:p>
    <w:p w14:paraId="479ADDDD">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6）完善操作手册，开展进阶技术培训；</w:t>
      </w:r>
    </w:p>
    <w:p w14:paraId="202D7858">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7）配合学院组织学生小组开展标注校对实践，提供技术辅导，支撑团队建设。</w:t>
      </w:r>
    </w:p>
    <w:p w14:paraId="1C0A35C8">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2.应遵循的相关国家标准、行业标准、地方标准等标准、规范</w:t>
      </w:r>
    </w:p>
    <w:p w14:paraId="4383DDC2">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本项目实施过程中，应遵循国家和地方现行有效的法律法规（《中华人民共和国网络安全法》《中华人民共和国数据安全法》《中华人民共和国著作权法》等）。</w:t>
      </w:r>
    </w:p>
    <w:p w14:paraId="16AF458E">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3.后续运营维护、升级更新、备品备件等要求</w:t>
      </w:r>
    </w:p>
    <w:p w14:paraId="05CEDBDD">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质保期：供应商应提供自整体验收合格之日起3年的质保服务，质保期内免费提供技术支持、缺陷修复与系统维护。</w:t>
      </w:r>
    </w:p>
    <w:p w14:paraId="28EEA280">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系统运维服务：质保期内提供系统日常巡检、性能监控、故障诊断与修复；故障响应时间≤2小时（工作日）、≤24小时（非工作日），重大故障48小时内解决。</w:t>
      </w:r>
    </w:p>
    <w:p w14:paraId="745FFB24">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升级更新：语料数据动态扩充与更新（政策文献、国别资料定期补充）；系统功能迭代升级（检索、统计、导出等功能优化）；提供升级后的操作说明与必要培训。</w:t>
      </w:r>
    </w:p>
    <w:p w14:paraId="7A31D532">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数据安全与备份：提供数据定期备份方案与恢复机制，保障语料数据完整性、可用性、保密性；涉及的数据遵循信息安全等级保护要求。</w:t>
      </w:r>
    </w:p>
    <w:p w14:paraId="079A9C54">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备品备件：提供软件相关授权许可、功能模块、升级版本等持续供给。</w:t>
      </w:r>
    </w:p>
    <w:p w14:paraId="41DFED5C">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培训与复训：质保期内根据学院需要提供复训，确保师生团队具备自主更新、维护语料库能力。</w:t>
      </w:r>
    </w:p>
    <w:p w14:paraId="5B9C5B25">
      <w:pPr>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4.各项指标要求</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1"/>
        <w:gridCol w:w="1263"/>
        <w:gridCol w:w="6942"/>
        <w:gridCol w:w="1226"/>
      </w:tblGrid>
      <w:tr w14:paraId="0A5C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jc w:val="center"/>
        </w:trPr>
        <w:tc>
          <w:tcPr>
            <w:tcW w:w="0" w:type="auto"/>
            <w:vAlign w:val="center"/>
          </w:tcPr>
          <w:p w14:paraId="4D172C69">
            <w:pPr>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序号</w:t>
            </w:r>
          </w:p>
        </w:tc>
        <w:tc>
          <w:tcPr>
            <w:tcW w:w="0" w:type="auto"/>
            <w:vAlign w:val="center"/>
          </w:tcPr>
          <w:p w14:paraId="4D4125BB">
            <w:pPr>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指标名称</w:t>
            </w:r>
          </w:p>
        </w:tc>
        <w:tc>
          <w:tcPr>
            <w:tcW w:w="6942" w:type="dxa"/>
            <w:vAlign w:val="center"/>
          </w:tcPr>
          <w:p w14:paraId="09E1FA1B">
            <w:pPr>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指标要求</w:t>
            </w:r>
          </w:p>
        </w:tc>
        <w:tc>
          <w:tcPr>
            <w:tcW w:w="1226" w:type="dxa"/>
            <w:vAlign w:val="center"/>
          </w:tcPr>
          <w:p w14:paraId="4C055152">
            <w:pPr>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是否需要</w:t>
            </w:r>
          </w:p>
          <w:p w14:paraId="0B11E6BB">
            <w:pPr>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证明材料</w:t>
            </w:r>
          </w:p>
        </w:tc>
      </w:tr>
      <w:tr w14:paraId="4CE6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0" w:type="auto"/>
            <w:vAlign w:val="center"/>
          </w:tcPr>
          <w:p w14:paraId="2447FCA3">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0" w:type="auto"/>
            <w:vAlign w:val="center"/>
          </w:tcPr>
          <w:p w14:paraId="20D166AB">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总体工作方案</w:t>
            </w:r>
          </w:p>
        </w:tc>
        <w:tc>
          <w:tcPr>
            <w:tcW w:w="6942" w:type="dxa"/>
            <w:vAlign w:val="center"/>
          </w:tcPr>
          <w:p w14:paraId="34A4A9AF">
            <w:pPr>
              <w:spacing w:line="360" w:lineRule="auto"/>
              <w:jc w:val="left"/>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投标人须提供项目总体工作方案，清晰阐述项目总体建设思路、分阶段建设实施路径，明确保障本项目核心建设总目标落地的实施举措。</w:t>
            </w:r>
          </w:p>
        </w:tc>
        <w:tc>
          <w:tcPr>
            <w:tcW w:w="1226" w:type="dxa"/>
            <w:vAlign w:val="center"/>
          </w:tcPr>
          <w:p w14:paraId="2D05E101">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是</w:t>
            </w:r>
          </w:p>
        </w:tc>
      </w:tr>
      <w:tr w14:paraId="3A26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0" w:type="auto"/>
            <w:vAlign w:val="center"/>
          </w:tcPr>
          <w:p w14:paraId="20428B89">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w:t>
            </w:r>
          </w:p>
        </w:tc>
        <w:tc>
          <w:tcPr>
            <w:tcW w:w="0" w:type="auto"/>
            <w:vAlign w:val="center"/>
          </w:tcPr>
          <w:p w14:paraId="4D212B59">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语料处理技术方案</w:t>
            </w:r>
          </w:p>
        </w:tc>
        <w:tc>
          <w:tcPr>
            <w:tcW w:w="6942" w:type="dxa"/>
            <w:vAlign w:val="center"/>
          </w:tcPr>
          <w:p w14:paraId="060F7019">
            <w:pPr>
              <w:spacing w:line="360" w:lineRule="auto"/>
              <w:jc w:val="left"/>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投标人须提供语料处理专项技术方案，说明语料导入、检索、数据统计、文本预处理、多语种对照浏览、标准化文本导出等全部功能模块的技术实现路线。</w:t>
            </w:r>
          </w:p>
        </w:tc>
        <w:tc>
          <w:tcPr>
            <w:tcW w:w="1226" w:type="dxa"/>
            <w:vAlign w:val="center"/>
          </w:tcPr>
          <w:p w14:paraId="0067E4EE">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是</w:t>
            </w:r>
          </w:p>
        </w:tc>
      </w:tr>
      <w:tr w14:paraId="634B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0" w:type="auto"/>
            <w:vAlign w:val="center"/>
          </w:tcPr>
          <w:p w14:paraId="1F70F2B9">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3</w:t>
            </w:r>
          </w:p>
        </w:tc>
        <w:tc>
          <w:tcPr>
            <w:tcW w:w="0" w:type="auto"/>
            <w:shd w:val="clear" w:color="auto" w:fill="auto"/>
            <w:vAlign w:val="center"/>
          </w:tcPr>
          <w:p w14:paraId="697DC5AE">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技术指导与培训方案</w:t>
            </w:r>
          </w:p>
        </w:tc>
        <w:tc>
          <w:tcPr>
            <w:tcW w:w="6942" w:type="dxa"/>
            <w:vAlign w:val="center"/>
          </w:tcPr>
          <w:p w14:paraId="111C3798">
            <w:pPr>
              <w:spacing w:line="360" w:lineRule="auto"/>
              <w:jc w:val="left"/>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投标人须提供全周期技术指导与培训方案，覆盖项目全生命周期技术支持、语料文本处理全流程指导、现场实操培训，并承诺交付配套操作手册。</w:t>
            </w:r>
          </w:p>
        </w:tc>
        <w:tc>
          <w:tcPr>
            <w:tcW w:w="1226" w:type="dxa"/>
            <w:vAlign w:val="center"/>
          </w:tcPr>
          <w:p w14:paraId="72E4528A">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是</w:t>
            </w:r>
          </w:p>
        </w:tc>
      </w:tr>
      <w:tr w14:paraId="689C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0" w:type="auto"/>
            <w:vAlign w:val="center"/>
          </w:tcPr>
          <w:p w14:paraId="34ECAA92">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4</w:t>
            </w:r>
          </w:p>
        </w:tc>
        <w:tc>
          <w:tcPr>
            <w:tcW w:w="0" w:type="auto"/>
            <w:vAlign w:val="center"/>
          </w:tcPr>
          <w:p w14:paraId="3EF7A01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项目团队配置</w:t>
            </w:r>
          </w:p>
        </w:tc>
        <w:tc>
          <w:tcPr>
            <w:tcW w:w="6942" w:type="dxa"/>
            <w:vAlign w:val="center"/>
          </w:tcPr>
          <w:p w14:paraId="54032C2C">
            <w:pPr>
              <w:spacing w:line="360" w:lineRule="auto"/>
              <w:jc w:val="left"/>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投标人须配置稳定项目团队，包含项目经理、语料库技术专家、多语种处理工程师、培训讲师，明确各岗位职责与分工安排。</w:t>
            </w:r>
          </w:p>
        </w:tc>
        <w:tc>
          <w:tcPr>
            <w:tcW w:w="1226" w:type="dxa"/>
            <w:vAlign w:val="center"/>
          </w:tcPr>
          <w:p w14:paraId="61131E0C">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是</w:t>
            </w:r>
          </w:p>
        </w:tc>
      </w:tr>
    </w:tbl>
    <w:p w14:paraId="5D664661">
      <w:pPr>
        <w:widowControl/>
        <w:shd w:val="clear" w:color="auto" w:fill="FFFFFF"/>
        <w:spacing w:line="360" w:lineRule="auto"/>
        <w:jc w:val="left"/>
        <w:rPr>
          <w:rFonts w:hint="default" w:ascii="Times New Roman" w:hAnsi="Times New Roman" w:eastAsia="方正兰亭黑简体" w:cs="Times New Roman"/>
          <w:b/>
          <w:bCs/>
          <w:color w:val="auto"/>
          <w:kern w:val="0"/>
          <w:sz w:val="22"/>
          <w:szCs w:val="22"/>
          <w:highlight w:val="none"/>
        </w:rPr>
      </w:pPr>
    </w:p>
    <w:p w14:paraId="4F2CCEFD">
      <w:pPr>
        <w:widowControl/>
        <w:shd w:val="clear" w:color="auto" w:fill="FFFFFF"/>
        <w:spacing w:line="360" w:lineRule="auto"/>
        <w:jc w:val="left"/>
        <w:rPr>
          <w:rFonts w:hint="default"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b/>
          <w:bCs/>
          <w:color w:val="auto"/>
          <w:kern w:val="0"/>
          <w:sz w:val="22"/>
          <w:szCs w:val="22"/>
          <w:highlight w:val="none"/>
          <w:lang w:val="en-US" w:eastAsia="zh-CN"/>
        </w:rPr>
        <w:t>四</w:t>
      </w:r>
      <w:r>
        <w:rPr>
          <w:rFonts w:hint="default" w:ascii="Times New Roman" w:hAnsi="Times New Roman" w:eastAsia="方正兰亭黑简体" w:cs="Times New Roman"/>
          <w:b/>
          <w:bCs/>
          <w:color w:val="auto"/>
          <w:kern w:val="0"/>
          <w:sz w:val="22"/>
          <w:szCs w:val="22"/>
          <w:highlight w:val="none"/>
        </w:rPr>
        <w:t>、其他要求</w:t>
      </w:r>
    </w:p>
    <w:p w14:paraId="14D855AD">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lang w:val="zh-CN" w:eastAsia="zh-CN"/>
        </w:rPr>
      </w:pPr>
      <w:r>
        <w:rPr>
          <w:rFonts w:hint="default" w:ascii="Times New Roman" w:hAnsi="Times New Roman" w:eastAsia="方正兰亭黑简体" w:cs="Times New Roman"/>
          <w:color w:val="auto"/>
          <w:sz w:val="22"/>
          <w:szCs w:val="22"/>
          <w:highlight w:val="none"/>
          <w:lang w:val="en-US" w:eastAsia="zh-CN"/>
        </w:rPr>
        <w:t>1、</w:t>
      </w:r>
      <w:r>
        <w:rPr>
          <w:rFonts w:hint="eastAsia" w:ascii="Times New Roman" w:hAnsi="Times New Roman" w:eastAsia="方正兰亭黑简体" w:cs="Times New Roman"/>
          <w:color w:val="auto"/>
          <w:sz w:val="22"/>
          <w:szCs w:val="22"/>
          <w:highlight w:val="none"/>
          <w:lang w:val="en-US" w:eastAsia="zh-CN"/>
        </w:rPr>
        <w:t>本项目以软件系统、语料数据及文档资料交付为主，不涉及大型硬件设备包装运输。</w:t>
      </w:r>
    </w:p>
    <w:p w14:paraId="645712E5">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lang w:val="en-US" w:eastAsia="zh-CN"/>
        </w:rPr>
      </w:pPr>
      <w:r>
        <w:rPr>
          <w:rFonts w:hint="default" w:ascii="Times New Roman" w:hAnsi="Times New Roman" w:eastAsia="方正兰亭黑简体" w:cs="Times New Roman"/>
          <w:color w:val="auto"/>
          <w:sz w:val="22"/>
          <w:szCs w:val="22"/>
          <w:highlight w:val="none"/>
          <w:lang w:val="en-US" w:eastAsia="zh-CN"/>
        </w:rPr>
        <w:t>2、</w:t>
      </w:r>
      <w:r>
        <w:rPr>
          <w:rFonts w:hint="eastAsia" w:ascii="Times New Roman" w:hAnsi="Times New Roman" w:eastAsia="方正兰亭黑简体" w:cs="Times New Roman"/>
          <w:color w:val="auto"/>
          <w:sz w:val="22"/>
          <w:szCs w:val="22"/>
          <w:highlight w:val="none"/>
          <w:lang w:val="en-US" w:eastAsia="zh-CN"/>
        </w:rPr>
        <w:t>质保服务要求</w:t>
      </w:r>
      <w:r>
        <w:rPr>
          <w:rFonts w:hint="default" w:ascii="Times New Roman" w:hAnsi="Times New Roman" w:eastAsia="方正兰亭黑简体" w:cs="Times New Roman"/>
          <w:color w:val="auto"/>
          <w:sz w:val="22"/>
          <w:szCs w:val="22"/>
          <w:highlight w:val="none"/>
          <w:lang w:val="en-US" w:eastAsia="zh-CN"/>
        </w:rPr>
        <w:t>：</w:t>
      </w:r>
    </w:p>
    <w:p w14:paraId="7F3CEFE8">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1）质保期内免费提供软件系统维护、缺陷修复与语料数据更新支持；</w:t>
      </w:r>
    </w:p>
    <w:p w14:paraId="6D789400">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val="zh-CN" w:eastAsia="zh-CN"/>
        </w:rPr>
      </w:pPr>
      <w:r>
        <w:rPr>
          <w:rFonts w:hint="eastAsia" w:ascii="Times New Roman" w:hAnsi="Times New Roman" w:eastAsia="方正兰亭黑简体" w:cs="Times New Roman"/>
          <w:color w:val="auto"/>
          <w:sz w:val="22"/>
          <w:szCs w:val="22"/>
          <w:highlight w:val="none"/>
          <w:lang w:val="en-US" w:eastAsia="zh-CN"/>
        </w:rPr>
        <w:t>2）质保期内故障响应：工作日2小时内响应，一般故障24小时内解决，重大故障48小时内解决；</w:t>
      </w:r>
    </w:p>
    <w:p w14:paraId="4D0466D9">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val="zh-CN" w:eastAsia="zh-CN"/>
        </w:rPr>
      </w:pPr>
      <w:r>
        <w:rPr>
          <w:rFonts w:hint="eastAsia" w:ascii="Times New Roman" w:hAnsi="Times New Roman" w:eastAsia="方正兰亭黑简体" w:cs="Times New Roman"/>
          <w:color w:val="auto"/>
          <w:sz w:val="22"/>
          <w:szCs w:val="22"/>
          <w:highlight w:val="none"/>
          <w:lang w:val="en-US" w:eastAsia="zh-CN"/>
        </w:rPr>
        <w:t>3）质保期内提供语料数据定期备份与恢复支持，保障数据完整性、可用性、保密性；</w:t>
      </w:r>
    </w:p>
    <w:p w14:paraId="1CBE9AD7">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4）质保期内免费提供系统使用培训与复训，解答技术问题。</w:t>
      </w:r>
    </w:p>
    <w:p w14:paraId="7A8D532A">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5）质保期满后，可继续提供技术支持、运维升级等增值服务（按需另行协商）</w:t>
      </w:r>
    </w:p>
    <w:p w14:paraId="50AA719A">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3.培训要求：基础+进阶培训，覆盖语料采集、清洗、加工、标注、检索与系统维护；对象为学院教师及学生骨干；现场实操+手册教学，留存培训材料与记录作验收依据</w:t>
      </w:r>
    </w:p>
    <w:p w14:paraId="15D0F345">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4.履约验收：</w:t>
      </w:r>
    </w:p>
    <w:p w14:paraId="2DC47487">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1）验收主体：采购人组织成立验收组（含专家与用户代表）；</w:t>
      </w:r>
    </w:p>
    <w:p w14:paraId="30FE849A">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2）验收时间：分两期（一期至2027-3-30、二期至2027-9-30）建设完成后分别组织；</w:t>
      </w:r>
    </w:p>
    <w:p w14:paraId="6146808B">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3）验收方式：现场查验、功能测试、资料审查相结合；</w:t>
      </w:r>
    </w:p>
    <w:p w14:paraId="54F5FEE0">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4）验收程序：中标人提交验收申请及全套交付材料→验收组开展资料审查与功能测试→出具验收意见；</w:t>
      </w:r>
    </w:p>
    <w:p w14:paraId="3133CB87">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5）验收内容：核查语料库规模与质量、系统功能完整性、交付文档齐全性。</w:t>
      </w:r>
    </w:p>
    <w:p w14:paraId="3277D662">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6）验收标准：全部约定内容交付完毕、功能满足要求、文档齐全。</w:t>
      </w:r>
    </w:p>
    <w:p w14:paraId="6F08D747">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第三章 评审办法</w:t>
      </w:r>
    </w:p>
    <w:p w14:paraId="69EFEE19">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w:t>
      </w:r>
      <w:r>
        <w:rPr>
          <w:rFonts w:hint="eastAsia" w:ascii="方正兰亭黑简体" w:hAnsi="方正兰亭黑简体" w:eastAsia="方正兰亭黑简体" w:cs="方正兰亭黑简体"/>
          <w:color w:val="auto"/>
          <w:sz w:val="22"/>
          <w:szCs w:val="28"/>
          <w:highlight w:val="none"/>
          <w:lang w:eastAsia="zh-CN"/>
        </w:rPr>
        <w:t>中标</w:t>
      </w:r>
      <w:r>
        <w:rPr>
          <w:rFonts w:hint="eastAsia" w:ascii="方正兰亭黑简体" w:hAnsi="方正兰亭黑简体" w:eastAsia="方正兰亭黑简体" w:cs="方正兰亭黑简体"/>
          <w:color w:val="auto"/>
          <w:sz w:val="22"/>
          <w:szCs w:val="28"/>
          <w:highlight w:val="none"/>
        </w:rPr>
        <w:t>人的依据。</w:t>
      </w:r>
    </w:p>
    <w:p w14:paraId="117C45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1、成立比选评审小组</w:t>
      </w:r>
    </w:p>
    <w:p w14:paraId="49C58FD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w:t>
      </w:r>
      <w:r>
        <w:rPr>
          <w:rFonts w:hint="eastAsia" w:ascii="方正兰亭黑简体" w:hAnsi="方正兰亭黑简体" w:eastAsia="方正兰亭黑简体" w:cs="方正兰亭黑简体"/>
          <w:color w:val="auto"/>
          <w:sz w:val="22"/>
          <w:szCs w:val="28"/>
          <w:highlight w:val="none"/>
          <w:lang w:val="en-US" w:eastAsia="zh-CN"/>
        </w:rPr>
        <w:t>货物与服务</w:t>
      </w:r>
      <w:r>
        <w:rPr>
          <w:rFonts w:hint="eastAsia" w:ascii="方正兰亭黑简体" w:hAnsi="方正兰亭黑简体" w:eastAsia="方正兰亭黑简体" w:cs="方正兰亭黑简体"/>
          <w:color w:val="auto"/>
          <w:sz w:val="22"/>
          <w:szCs w:val="28"/>
          <w:highlight w:val="none"/>
        </w:rPr>
        <w:t>的特点，依</w:t>
      </w:r>
      <w:r>
        <w:rPr>
          <w:rFonts w:hint="eastAsia" w:ascii="方正兰亭黑简体" w:hAnsi="方正兰亭黑简体" w:eastAsia="方正兰亭黑简体" w:cs="方正兰亭黑简体"/>
          <w:color w:val="auto"/>
          <w:sz w:val="22"/>
          <w:szCs w:val="28"/>
          <w:highlight w:val="none"/>
          <w:lang w:val="en-US" w:eastAsia="zh-CN"/>
        </w:rPr>
        <w:t>规</w:t>
      </w:r>
      <w:r>
        <w:rPr>
          <w:rFonts w:hint="eastAsia" w:ascii="方正兰亭黑简体" w:hAnsi="方正兰亭黑简体" w:eastAsia="方正兰亭黑简体" w:cs="方正兰亭黑简体"/>
          <w:color w:val="auto"/>
          <w:sz w:val="22"/>
          <w:szCs w:val="28"/>
          <w:highlight w:val="none"/>
        </w:rPr>
        <w:t>组建比选小组，比选小组由3人或以上的单数组成。</w:t>
      </w:r>
    </w:p>
    <w:p w14:paraId="123C9161">
      <w:pPr>
        <w:numPr>
          <w:ilvl w:val="0"/>
          <w:numId w:val="0"/>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3"/>
        <w:gridCol w:w="1734"/>
        <w:gridCol w:w="713"/>
        <w:gridCol w:w="6830"/>
      </w:tblGrid>
      <w:tr w14:paraId="64002D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742FB554">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873" w:type="pct"/>
            <w:noWrap w:val="0"/>
            <w:vAlign w:val="center"/>
          </w:tcPr>
          <w:p w14:paraId="5F54B63A">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59" w:type="pct"/>
            <w:noWrap w:val="0"/>
            <w:vAlign w:val="center"/>
          </w:tcPr>
          <w:p w14:paraId="25FE165D">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436" w:type="pct"/>
            <w:noWrap w:val="0"/>
            <w:vAlign w:val="center"/>
          </w:tcPr>
          <w:p w14:paraId="1A737473">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41C4C7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3FFFCA77">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7E29D1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53" w:type="dxa"/>
            <w:noWrap w:val="0"/>
            <w:vAlign w:val="center"/>
          </w:tcPr>
          <w:p w14:paraId="10CE2961">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1734" w:type="dxa"/>
            <w:noWrap w:val="0"/>
            <w:vAlign w:val="center"/>
          </w:tcPr>
          <w:p w14:paraId="49152766">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6507D150">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（客观分）</w:t>
            </w:r>
          </w:p>
        </w:tc>
        <w:tc>
          <w:tcPr>
            <w:tcW w:w="713" w:type="dxa"/>
            <w:noWrap w:val="0"/>
            <w:vAlign w:val="center"/>
          </w:tcPr>
          <w:p w14:paraId="4CB6FE5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6830" w:type="dxa"/>
            <w:noWrap w:val="0"/>
            <w:vAlign w:val="center"/>
          </w:tcPr>
          <w:p w14:paraId="69B1D60A">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采用低价优先法计算，即满足比选文件要求且最低的报价为基准价，其价格分为满分30分。其他报价单位的报价得分计算公式如下：</w:t>
            </w:r>
          </w:p>
          <w:p w14:paraId="4F84537A">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1CE67C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930" w:type="dxa"/>
            <w:gridSpan w:val="4"/>
            <w:noWrap w:val="0"/>
            <w:vAlign w:val="center"/>
          </w:tcPr>
          <w:p w14:paraId="14AC1211">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二、商务、技术部分</w:t>
            </w:r>
          </w:p>
        </w:tc>
      </w:tr>
      <w:tr w14:paraId="603C3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53" w:type="dxa"/>
            <w:noWrap w:val="0"/>
            <w:vAlign w:val="center"/>
          </w:tcPr>
          <w:p w14:paraId="69B4451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2</w:t>
            </w:r>
          </w:p>
        </w:tc>
        <w:tc>
          <w:tcPr>
            <w:tcW w:w="1734" w:type="dxa"/>
            <w:noWrap w:val="0"/>
            <w:vAlign w:val="center"/>
          </w:tcPr>
          <w:p w14:paraId="6B64C1A7">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p>
          <w:p w14:paraId="305879F5">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（客观分）</w:t>
            </w:r>
          </w:p>
        </w:tc>
        <w:tc>
          <w:tcPr>
            <w:tcW w:w="713" w:type="dxa"/>
            <w:noWrap w:val="0"/>
            <w:vAlign w:val="center"/>
          </w:tcPr>
          <w:p w14:paraId="7C2DAE4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15</w:t>
            </w:r>
          </w:p>
        </w:tc>
        <w:tc>
          <w:tcPr>
            <w:tcW w:w="6830" w:type="dxa"/>
            <w:noWrap w:val="0"/>
            <w:vAlign w:val="center"/>
          </w:tcPr>
          <w:p w14:paraId="4A5A3383">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提供近3年（合同签订日期自2023年1</w:t>
            </w:r>
            <w:r>
              <w:rPr>
                <w:rFonts w:hint="eastAsia" w:ascii="方正兰亭黑简体" w:hAnsi="方正兰亭黑简体" w:eastAsia="方正兰亭黑简体" w:cs="方正兰亭黑简体"/>
                <w:color w:val="auto"/>
                <w:sz w:val="20"/>
                <w:szCs w:val="20"/>
                <w:highlight w:val="none"/>
                <w:lang w:val="en-US" w:eastAsia="zh-CN"/>
              </w:rPr>
              <w:t>1</w:t>
            </w:r>
            <w:r>
              <w:rPr>
                <w:rFonts w:hint="eastAsia" w:ascii="方正兰亭黑简体" w:hAnsi="方正兰亭黑简体" w:eastAsia="方正兰亭黑简体" w:cs="方正兰亭黑简体"/>
                <w:color w:val="auto"/>
                <w:sz w:val="20"/>
                <w:szCs w:val="20"/>
                <w:highlight w:val="none"/>
              </w:rPr>
              <w:t>月起至今）业绩案例。（每提供1个得5分；最高得15分）注：需提供相关业绩的合同复印件，否则将不予认可。</w:t>
            </w:r>
          </w:p>
        </w:tc>
      </w:tr>
      <w:tr w14:paraId="4674DA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53" w:type="dxa"/>
            <w:noWrap w:val="0"/>
            <w:vAlign w:val="center"/>
          </w:tcPr>
          <w:p w14:paraId="147D3766">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3</w:t>
            </w:r>
          </w:p>
        </w:tc>
        <w:tc>
          <w:tcPr>
            <w:tcW w:w="1734" w:type="dxa"/>
            <w:noWrap w:val="0"/>
            <w:vAlign w:val="center"/>
          </w:tcPr>
          <w:p w14:paraId="56D7DEF6">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技术响应程度</w:t>
            </w:r>
          </w:p>
          <w:p w14:paraId="0BE15140">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（客观分）</w:t>
            </w:r>
          </w:p>
        </w:tc>
        <w:tc>
          <w:tcPr>
            <w:tcW w:w="713" w:type="dxa"/>
            <w:noWrap w:val="0"/>
            <w:vAlign w:val="center"/>
          </w:tcPr>
          <w:p w14:paraId="70332D36">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6830" w:type="dxa"/>
            <w:shd w:val="clear" w:color="auto" w:fill="auto"/>
            <w:noWrap w:val="0"/>
            <w:vAlign w:val="center"/>
          </w:tcPr>
          <w:p w14:paraId="7461B042">
            <w:pPr>
              <w:spacing w:line="360" w:lineRule="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针对第二章中的采购需求：不满足技术条款的，每项扣5分；扣完为止。</w:t>
            </w:r>
          </w:p>
        </w:tc>
      </w:tr>
      <w:tr w14:paraId="321557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53" w:type="dxa"/>
            <w:noWrap w:val="0"/>
            <w:vAlign w:val="center"/>
          </w:tcPr>
          <w:p w14:paraId="67884245">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4</w:t>
            </w:r>
          </w:p>
        </w:tc>
        <w:tc>
          <w:tcPr>
            <w:tcW w:w="1734" w:type="dxa"/>
            <w:tcBorders>
              <w:top w:val="single" w:color="auto" w:sz="6" w:space="0"/>
              <w:left w:val="single" w:color="auto" w:sz="6" w:space="0"/>
              <w:bottom w:val="single" w:color="auto" w:sz="6" w:space="0"/>
              <w:right w:val="single" w:color="auto" w:sz="6" w:space="0"/>
            </w:tcBorders>
            <w:noWrap w:val="0"/>
            <w:vAlign w:val="center"/>
          </w:tcPr>
          <w:p w14:paraId="5F0110A1">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产品性能介绍</w:t>
            </w:r>
          </w:p>
          <w:p w14:paraId="41F169B7">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（主观分）</w:t>
            </w:r>
          </w:p>
        </w:tc>
        <w:tc>
          <w:tcPr>
            <w:tcW w:w="713" w:type="dxa"/>
            <w:noWrap w:val="0"/>
            <w:vAlign w:val="center"/>
          </w:tcPr>
          <w:p w14:paraId="3662F0A0">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10</w:t>
            </w:r>
          </w:p>
        </w:tc>
        <w:tc>
          <w:tcPr>
            <w:tcW w:w="6830" w:type="dxa"/>
            <w:noWrap w:val="0"/>
            <w:vAlign w:val="center"/>
          </w:tcPr>
          <w:p w14:paraId="112459C1">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优秀（8～10分）：详细介绍了产品的各项性能参数。</w:t>
            </w:r>
          </w:p>
          <w:p w14:paraId="2809CABC">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良好（5～7分）：较全面地介绍了产品的性能参数。</w:t>
            </w:r>
          </w:p>
          <w:p w14:paraId="66F1684D">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一般（2～4分）：介绍了部分性能参数，但不够全面或详细。</w:t>
            </w:r>
          </w:p>
          <w:p w14:paraId="46A55A3F">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较差（0～1分）：性能参数介绍不完整或存在明显错误。</w:t>
            </w:r>
          </w:p>
        </w:tc>
      </w:tr>
      <w:tr w14:paraId="261A6E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53" w:type="dxa"/>
            <w:noWrap w:val="0"/>
            <w:vAlign w:val="center"/>
          </w:tcPr>
          <w:p w14:paraId="063649C8">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5</w:t>
            </w:r>
          </w:p>
        </w:tc>
        <w:tc>
          <w:tcPr>
            <w:tcW w:w="1734" w:type="dxa"/>
            <w:noWrap w:val="0"/>
            <w:vAlign w:val="center"/>
          </w:tcPr>
          <w:p w14:paraId="70C56E15">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技术支持与售后服务</w:t>
            </w:r>
          </w:p>
          <w:p w14:paraId="5CAA969C">
            <w:pPr>
              <w:pStyle w:val="13"/>
              <w:spacing w:line="360" w:lineRule="auto"/>
              <w:ind w:firstLine="200" w:firstLineChars="100"/>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（主观分）</w:t>
            </w:r>
          </w:p>
        </w:tc>
        <w:tc>
          <w:tcPr>
            <w:tcW w:w="713" w:type="dxa"/>
            <w:noWrap w:val="0"/>
            <w:vAlign w:val="center"/>
          </w:tcPr>
          <w:p w14:paraId="7D753253">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15</w:t>
            </w:r>
          </w:p>
        </w:tc>
        <w:tc>
          <w:tcPr>
            <w:tcW w:w="6830" w:type="dxa"/>
            <w:noWrap w:val="0"/>
            <w:vAlign w:val="center"/>
          </w:tcPr>
          <w:p w14:paraId="6BD80E25">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优秀（12～15分）：提供了详尽的技术支持方案以及售后服务方案，包括快速响应机制、服务承诺等。</w:t>
            </w:r>
          </w:p>
          <w:p w14:paraId="2CA28C3C">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良好（8～11分）：提供了较为全面的技术支持方案和售后服务方案，但计划不够详细。</w:t>
            </w:r>
          </w:p>
          <w:p w14:paraId="46CCC717">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一般（4～7分）：方案较为简单，缺乏具体的计划。</w:t>
            </w:r>
          </w:p>
          <w:p w14:paraId="1AC626DF">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较差（0～3分）：未提供技术支持方案或售后服务承诺。</w:t>
            </w:r>
          </w:p>
        </w:tc>
      </w:tr>
    </w:tbl>
    <w:p w14:paraId="66421DAA">
      <w:pPr>
        <w:jc w:val="center"/>
        <w:rPr>
          <w:rFonts w:hint="eastAsia" w:ascii="方正兰亭黑简体" w:hAnsi="方正兰亭黑简体" w:eastAsia="方正兰亭黑简体" w:cs="方正兰亭黑简体"/>
          <w:b/>
          <w:bCs/>
          <w:color w:val="auto"/>
          <w:sz w:val="24"/>
          <w:szCs w:val="32"/>
          <w:highlight w:val="none"/>
          <w:lang w:val="en-US" w:eastAsia="zh-CN"/>
        </w:rPr>
        <w:sectPr>
          <w:footerReference r:id="rId3" w:type="default"/>
          <w:type w:val="continuous"/>
          <w:pgSz w:w="11906" w:h="16838"/>
          <w:pgMar w:top="1440" w:right="1080" w:bottom="1440" w:left="1080" w:header="851" w:footer="992" w:gutter="0"/>
          <w:pgNumType w:fmt="decimal"/>
          <w:cols w:space="425" w:num="1"/>
          <w:docGrid w:type="lines" w:linePitch="312" w:charSpace="0"/>
        </w:sectPr>
      </w:pPr>
    </w:p>
    <w:p w14:paraId="3E74C2BD">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第四章 格式附件</w:t>
      </w:r>
    </w:p>
    <w:p w14:paraId="636BB61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附件1：报价单</w:t>
      </w:r>
    </w:p>
    <w:p w14:paraId="52D9A168">
      <w:pPr>
        <w:spacing w:line="440" w:lineRule="exact"/>
        <w:jc w:val="center"/>
        <w:rPr>
          <w:rFonts w:hint="default" w:ascii="宋体" w:hAnsi="宋体" w:eastAsia="宋体"/>
          <w:color w:val="auto"/>
          <w:sz w:val="24"/>
          <w:highlight w:val="none"/>
          <w:lang w:val="en-US" w:eastAsia="zh-CN"/>
        </w:rPr>
      </w:pPr>
      <w:r>
        <w:rPr>
          <w:rFonts w:hint="eastAsia" w:ascii="黑体" w:hAnsi="华文楷体" w:eastAsia="黑体"/>
          <w:b/>
          <w:color w:val="auto"/>
          <w:sz w:val="36"/>
          <w:szCs w:val="36"/>
          <w:highlight w:val="none"/>
        </w:rPr>
        <w:t>报   价   单</w:t>
      </w:r>
    </w:p>
    <w:p w14:paraId="50E6B72B">
      <w:pPr>
        <w:spacing w:line="440" w:lineRule="exact"/>
        <w:jc w:val="left"/>
        <w:rPr>
          <w:rFonts w:hint="default" w:ascii="黑体" w:hAnsi="华文楷体" w:eastAsia="黑体"/>
          <w:color w:val="auto"/>
          <w:sz w:val="24"/>
          <w:highlight w:val="none"/>
          <w:lang w:val="en-US" w:eastAsia="zh-CN"/>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上海海事大学 </w:t>
      </w:r>
      <w:r>
        <w:rPr>
          <w:rFonts w:hint="eastAsia" w:ascii="黑体" w:hAnsi="华文楷体" w:eastAsia="黑体"/>
          <w:color w:val="auto"/>
          <w:sz w:val="24"/>
          <w:highlight w:val="none"/>
          <w:lang w:val="en-US" w:eastAsia="zh-CN"/>
        </w:rPr>
        <w:t>采购与招投标管理中心</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r>
        <w:rPr>
          <w:rFonts w:hint="eastAsia" w:ascii="黑体" w:hAnsi="华文楷体" w:eastAsia="黑体"/>
          <w:color w:val="auto"/>
          <w:sz w:val="24"/>
          <w:highlight w:val="none"/>
          <w:lang w:val="en-US" w:eastAsia="zh-CN"/>
        </w:rPr>
        <w:t>项目编号：HFBX2026117</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p>
    <w:p w14:paraId="192C9FAF">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rFonts w:ascii="黑体" w:hAnsi="华文楷体" w:eastAsia="黑体"/>
          <w:b/>
          <w:color w:val="auto"/>
          <w:sz w:val="24"/>
          <w:highlight w:val="none"/>
        </w:rPr>
        <w:fldChar w:fldCharType="begin"/>
      </w:r>
      <w:r>
        <w:rPr>
          <w:rFonts w:ascii="黑体" w:hAnsi="华文楷体" w:eastAsia="黑体"/>
          <w:b/>
          <w:color w:val="auto"/>
          <w:sz w:val="24"/>
          <w:highlight w:val="none"/>
        </w:rPr>
        <w:instrText xml:space="preserve"> HYPERLINK "mailto:quotation@shmtu.edu.cn" </w:instrText>
      </w:r>
      <w:r>
        <w:rPr>
          <w:rFonts w:ascii="黑体" w:hAnsi="华文楷体" w:eastAsia="黑体"/>
          <w:b/>
          <w:color w:val="auto"/>
          <w:sz w:val="24"/>
          <w:highlight w:val="none"/>
        </w:rPr>
        <w:fldChar w:fldCharType="separate"/>
      </w:r>
      <w:r>
        <w:rPr>
          <w:rStyle w:val="18"/>
          <w:rFonts w:ascii="黑体" w:hAnsi="华文楷体" w:eastAsia="黑体"/>
          <w:b/>
          <w:color w:val="auto"/>
          <w:sz w:val="24"/>
          <w:highlight w:val="none"/>
        </w:rPr>
        <w:t>quotation@shmtu.edu.cn</w:t>
      </w:r>
      <w:r>
        <w:rPr>
          <w:rFonts w:ascii="黑体" w:hAnsi="华文楷体" w:eastAsia="黑体"/>
          <w:b/>
          <w:color w:val="auto"/>
          <w:sz w:val="24"/>
          <w:highlight w:val="none"/>
        </w:rPr>
        <w:fldChar w:fldCharType="end"/>
      </w:r>
    </w:p>
    <w:p w14:paraId="1D25A65B">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0416696A">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096E10B9">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35F2988C">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062"/>
        <w:gridCol w:w="971"/>
        <w:gridCol w:w="1463"/>
        <w:gridCol w:w="581"/>
        <w:gridCol w:w="876"/>
        <w:gridCol w:w="876"/>
        <w:gridCol w:w="1230"/>
        <w:gridCol w:w="1397"/>
      </w:tblGrid>
      <w:tr w14:paraId="4814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noWrap w:val="0"/>
            <w:vAlign w:val="center"/>
          </w:tcPr>
          <w:p w14:paraId="67E9217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noWrap w:val="0"/>
            <w:vAlign w:val="center"/>
          </w:tcPr>
          <w:p w14:paraId="5FFC86E8">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noWrap w:val="0"/>
            <w:vAlign w:val="center"/>
          </w:tcPr>
          <w:p w14:paraId="5F8969C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noWrap w:val="0"/>
            <w:vAlign w:val="center"/>
          </w:tcPr>
          <w:p w14:paraId="16AB36D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noWrap w:val="0"/>
            <w:vAlign w:val="center"/>
          </w:tcPr>
          <w:p w14:paraId="7A41A9B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noWrap w:val="0"/>
            <w:vAlign w:val="center"/>
          </w:tcPr>
          <w:p w14:paraId="22044959">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noWrap w:val="0"/>
            <w:vAlign w:val="center"/>
          </w:tcPr>
          <w:p w14:paraId="61A1F83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noWrap w:val="0"/>
            <w:vAlign w:val="center"/>
          </w:tcPr>
          <w:p w14:paraId="2F9A1E62">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noWrap w:val="0"/>
            <w:vAlign w:val="center"/>
          </w:tcPr>
          <w:p w14:paraId="09E42E8D">
            <w:pPr>
              <w:spacing w:line="440" w:lineRule="exact"/>
              <w:jc w:val="center"/>
              <w:rPr>
                <w:rFonts w:hint="eastAsia" w:ascii="黑体" w:hAnsi="华文楷体" w:eastAsia="黑体"/>
                <w:color w:val="auto"/>
                <w:kern w:val="0"/>
                <w:sz w:val="24"/>
                <w:highlight w:val="none"/>
                <w:lang w:eastAsia="zh-CN"/>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lang w:val="en-US" w:eastAsia="zh-CN"/>
              </w:rPr>
              <w:t>时间</w:t>
            </w:r>
          </w:p>
        </w:tc>
      </w:tr>
      <w:tr w14:paraId="6076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noWrap w:val="0"/>
            <w:vAlign w:val="top"/>
          </w:tcPr>
          <w:p w14:paraId="6904F50E">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noWrap w:val="0"/>
            <w:vAlign w:val="center"/>
          </w:tcPr>
          <w:p w14:paraId="2716FB82">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noWrap w:val="0"/>
            <w:vAlign w:val="top"/>
          </w:tcPr>
          <w:p w14:paraId="68C63CC3">
            <w:pPr>
              <w:spacing w:line="440" w:lineRule="exact"/>
              <w:jc w:val="center"/>
              <w:rPr>
                <w:rFonts w:ascii="方正仿宋_GB2312" w:hAnsi="华文楷体" w:eastAsia="方正仿宋_GB2312"/>
                <w:color w:val="auto"/>
                <w:kern w:val="0"/>
                <w:sz w:val="24"/>
                <w:highlight w:val="none"/>
              </w:rPr>
            </w:pPr>
          </w:p>
        </w:tc>
        <w:tc>
          <w:tcPr>
            <w:tcW w:w="733" w:type="pct"/>
            <w:tcBorders>
              <w:top w:val="double" w:color="auto" w:sz="4" w:space="0"/>
            </w:tcBorders>
            <w:noWrap w:val="0"/>
            <w:vAlign w:val="top"/>
          </w:tcPr>
          <w:p w14:paraId="2062DBEC">
            <w:pPr>
              <w:spacing w:line="440" w:lineRule="exact"/>
              <w:jc w:val="center"/>
              <w:rPr>
                <w:rFonts w:ascii="方正仿宋_GB2312" w:hAnsi="华文楷体" w:eastAsia="方正仿宋_GB2312"/>
                <w:color w:val="auto"/>
                <w:kern w:val="0"/>
                <w:sz w:val="24"/>
                <w:highlight w:val="none"/>
              </w:rPr>
            </w:pPr>
          </w:p>
        </w:tc>
        <w:tc>
          <w:tcPr>
            <w:tcW w:w="292" w:type="pct"/>
            <w:tcBorders>
              <w:top w:val="double" w:color="auto" w:sz="4" w:space="0"/>
            </w:tcBorders>
            <w:noWrap w:val="0"/>
            <w:vAlign w:val="top"/>
          </w:tcPr>
          <w:p w14:paraId="5576A539">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3366DAB2">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45D03D7C">
            <w:pPr>
              <w:spacing w:line="440" w:lineRule="exact"/>
              <w:jc w:val="center"/>
              <w:rPr>
                <w:rFonts w:ascii="方正仿宋_GB2312" w:hAnsi="华文楷体" w:eastAsia="方正仿宋_GB2312"/>
                <w:color w:val="auto"/>
                <w:kern w:val="0"/>
                <w:sz w:val="24"/>
                <w:highlight w:val="none"/>
              </w:rPr>
            </w:pPr>
          </w:p>
        </w:tc>
        <w:tc>
          <w:tcPr>
            <w:tcW w:w="618" w:type="pct"/>
            <w:tcBorders>
              <w:top w:val="double" w:color="auto" w:sz="4" w:space="0"/>
            </w:tcBorders>
            <w:noWrap w:val="0"/>
            <w:vAlign w:val="top"/>
          </w:tcPr>
          <w:p w14:paraId="014679F0">
            <w:pPr>
              <w:spacing w:line="440" w:lineRule="exact"/>
              <w:jc w:val="center"/>
              <w:rPr>
                <w:rFonts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noWrap w:val="0"/>
            <w:vAlign w:val="top"/>
          </w:tcPr>
          <w:p w14:paraId="605E89B2">
            <w:pPr>
              <w:spacing w:line="440" w:lineRule="exact"/>
              <w:jc w:val="center"/>
              <w:rPr>
                <w:rFonts w:ascii="方正仿宋_GB2312" w:hAnsi="华文楷体" w:eastAsia="方正仿宋_GB2312"/>
                <w:color w:val="auto"/>
                <w:kern w:val="0"/>
                <w:sz w:val="24"/>
                <w:highlight w:val="none"/>
              </w:rPr>
            </w:pPr>
          </w:p>
        </w:tc>
      </w:tr>
      <w:tr w14:paraId="3238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tcBorders>
            <w:noWrap w:val="0"/>
            <w:vAlign w:val="top"/>
          </w:tcPr>
          <w:p w14:paraId="29977C73">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noWrap w:val="0"/>
            <w:vAlign w:val="center"/>
          </w:tcPr>
          <w:p w14:paraId="2866E2D0">
            <w:pPr>
              <w:ind w:left="-63" w:leftChars="-30" w:right="-63" w:rightChars="-30"/>
              <w:jc w:val="center"/>
              <w:rPr>
                <w:rFonts w:hint="eastAsia" w:ascii="宋体" w:hAnsi="宋体" w:cs="宋体"/>
                <w:color w:val="auto"/>
                <w:sz w:val="18"/>
                <w:szCs w:val="18"/>
                <w:highlight w:val="none"/>
              </w:rPr>
            </w:pPr>
          </w:p>
        </w:tc>
        <w:tc>
          <w:tcPr>
            <w:tcW w:w="488" w:type="pct"/>
            <w:noWrap w:val="0"/>
            <w:vAlign w:val="top"/>
          </w:tcPr>
          <w:p w14:paraId="0669C2FF">
            <w:pPr>
              <w:spacing w:line="440" w:lineRule="exact"/>
              <w:jc w:val="center"/>
              <w:rPr>
                <w:rFonts w:ascii="方正仿宋_GB2312" w:hAnsi="华文楷体" w:eastAsia="方正仿宋_GB2312"/>
                <w:color w:val="auto"/>
                <w:kern w:val="0"/>
                <w:sz w:val="24"/>
                <w:highlight w:val="none"/>
              </w:rPr>
            </w:pPr>
          </w:p>
        </w:tc>
        <w:tc>
          <w:tcPr>
            <w:tcW w:w="733" w:type="pct"/>
            <w:noWrap w:val="0"/>
            <w:vAlign w:val="top"/>
          </w:tcPr>
          <w:p w14:paraId="4D504156">
            <w:pPr>
              <w:spacing w:line="440" w:lineRule="exact"/>
              <w:jc w:val="center"/>
              <w:rPr>
                <w:rFonts w:ascii="方正仿宋_GB2312" w:hAnsi="华文楷体" w:eastAsia="方正仿宋_GB2312"/>
                <w:color w:val="auto"/>
                <w:kern w:val="0"/>
                <w:sz w:val="24"/>
                <w:highlight w:val="none"/>
              </w:rPr>
            </w:pPr>
          </w:p>
        </w:tc>
        <w:tc>
          <w:tcPr>
            <w:tcW w:w="292" w:type="pct"/>
            <w:noWrap w:val="0"/>
            <w:vAlign w:val="top"/>
          </w:tcPr>
          <w:p w14:paraId="74F4D8E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2757136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45E1288F">
            <w:pPr>
              <w:spacing w:line="440" w:lineRule="exact"/>
              <w:jc w:val="center"/>
              <w:rPr>
                <w:rFonts w:ascii="方正仿宋_GB2312" w:hAnsi="华文楷体" w:eastAsia="方正仿宋_GB2312"/>
                <w:color w:val="auto"/>
                <w:kern w:val="0"/>
                <w:sz w:val="24"/>
                <w:highlight w:val="none"/>
              </w:rPr>
            </w:pPr>
          </w:p>
        </w:tc>
        <w:tc>
          <w:tcPr>
            <w:tcW w:w="618" w:type="pct"/>
            <w:noWrap w:val="0"/>
            <w:vAlign w:val="top"/>
          </w:tcPr>
          <w:p w14:paraId="5DDB1CC9">
            <w:pPr>
              <w:spacing w:line="440" w:lineRule="exact"/>
              <w:jc w:val="center"/>
              <w:rPr>
                <w:rFonts w:ascii="方正仿宋_GB2312" w:hAnsi="华文楷体" w:eastAsia="方正仿宋_GB2312"/>
                <w:color w:val="auto"/>
                <w:kern w:val="0"/>
                <w:sz w:val="24"/>
                <w:highlight w:val="none"/>
              </w:rPr>
            </w:pPr>
          </w:p>
        </w:tc>
        <w:tc>
          <w:tcPr>
            <w:tcW w:w="700" w:type="pct"/>
            <w:tcBorders>
              <w:right w:val="single" w:color="auto" w:sz="12" w:space="0"/>
            </w:tcBorders>
            <w:noWrap w:val="0"/>
            <w:vAlign w:val="top"/>
          </w:tcPr>
          <w:p w14:paraId="6BB70514">
            <w:pPr>
              <w:spacing w:line="440" w:lineRule="exact"/>
              <w:jc w:val="center"/>
              <w:rPr>
                <w:rFonts w:ascii="方正仿宋_GB2312" w:hAnsi="华文楷体" w:eastAsia="方正仿宋_GB2312"/>
                <w:color w:val="auto"/>
                <w:kern w:val="0"/>
                <w:sz w:val="24"/>
                <w:highlight w:val="none"/>
              </w:rPr>
            </w:pPr>
          </w:p>
        </w:tc>
      </w:tr>
      <w:tr w14:paraId="6692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5E49ACAD">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noWrap w:val="0"/>
            <w:vAlign w:val="center"/>
          </w:tcPr>
          <w:p w14:paraId="2D958EE1">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noWrap w:val="0"/>
            <w:vAlign w:val="top"/>
          </w:tcPr>
          <w:p w14:paraId="6B0A81D6">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58841A2F">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6802B6E">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ECBBA3C">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47E5F99">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5140F715">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7F3F6EF0">
            <w:pPr>
              <w:spacing w:line="440" w:lineRule="exact"/>
              <w:jc w:val="center"/>
              <w:rPr>
                <w:rFonts w:ascii="方正仿宋_GB2312" w:hAnsi="华文楷体" w:eastAsia="方正仿宋_GB2312"/>
                <w:color w:val="auto"/>
                <w:kern w:val="0"/>
                <w:sz w:val="24"/>
                <w:highlight w:val="none"/>
              </w:rPr>
            </w:pPr>
          </w:p>
        </w:tc>
      </w:tr>
      <w:tr w14:paraId="5A9D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22131CE2">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noWrap w:val="0"/>
            <w:vAlign w:val="top"/>
          </w:tcPr>
          <w:p w14:paraId="6938BE08">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CD1A541">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337FC11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3C03B4F1">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47DA722A">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6A33D3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1F0F09">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0B4D1DA3">
            <w:pPr>
              <w:spacing w:line="440" w:lineRule="exact"/>
              <w:jc w:val="center"/>
              <w:rPr>
                <w:rFonts w:ascii="方正仿宋_GB2312" w:hAnsi="华文楷体" w:eastAsia="方正仿宋_GB2312"/>
                <w:color w:val="auto"/>
                <w:kern w:val="0"/>
                <w:sz w:val="24"/>
                <w:highlight w:val="none"/>
              </w:rPr>
            </w:pPr>
          </w:p>
        </w:tc>
      </w:tr>
      <w:tr w14:paraId="72A1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6A9F333C">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noWrap w:val="0"/>
            <w:vAlign w:val="top"/>
          </w:tcPr>
          <w:p w14:paraId="5ED63A4B">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9A78B8A">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2EEE306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70F8717">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A4C7C00">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6028EA0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30FD9C">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1CF8882E">
            <w:pPr>
              <w:spacing w:line="440" w:lineRule="exact"/>
              <w:jc w:val="center"/>
              <w:rPr>
                <w:rFonts w:ascii="方正仿宋_GB2312" w:hAnsi="华文楷体" w:eastAsia="方正仿宋_GB2312"/>
                <w:color w:val="auto"/>
                <w:kern w:val="0"/>
                <w:sz w:val="24"/>
                <w:highlight w:val="none"/>
              </w:rPr>
            </w:pPr>
          </w:p>
        </w:tc>
      </w:tr>
      <w:tr w14:paraId="512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noWrap w:val="0"/>
            <w:vAlign w:val="top"/>
          </w:tcPr>
          <w:p w14:paraId="57ECA68A">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noWrap w:val="0"/>
            <w:vAlign w:val="top"/>
          </w:tcPr>
          <w:p w14:paraId="5C538379">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655247D5">
      <w:pPr>
        <w:spacing w:line="440" w:lineRule="exact"/>
        <w:rPr>
          <w:rFonts w:hint="eastAsia" w:ascii="黑体" w:hAnsi="华文楷体" w:eastAsia="黑体"/>
          <w:b/>
          <w:color w:val="auto"/>
          <w:sz w:val="24"/>
          <w:highlight w:val="none"/>
        </w:rPr>
      </w:pPr>
    </w:p>
    <w:p w14:paraId="2181F384">
      <w:pPr>
        <w:spacing w:line="440" w:lineRule="exact"/>
        <w:rPr>
          <w:rFonts w:hint="eastAsia" w:ascii="黑体" w:hAnsi="华文楷体" w:eastAsia="黑体"/>
          <w:b/>
          <w:color w:val="auto"/>
          <w:sz w:val="24"/>
          <w:highlight w:val="none"/>
        </w:rPr>
      </w:pPr>
    </w:p>
    <w:p w14:paraId="5E23D6EF">
      <w:pPr>
        <w:pStyle w:val="13"/>
        <w:ind w:left="0" w:leftChars="0" w:firstLine="0" w:firstLineChars="0"/>
        <w:rPr>
          <w:rFonts w:hint="eastAsia"/>
          <w:color w:val="auto"/>
          <w:highlight w:val="none"/>
        </w:rPr>
      </w:pPr>
    </w:p>
    <w:p w14:paraId="296AA70E">
      <w:pPr>
        <w:spacing w:line="440" w:lineRule="exact"/>
        <w:rPr>
          <w:rFonts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345567A0">
      <w:pPr>
        <w:rPr>
          <w:rFonts w:hint="eastAsia" w:ascii="黑体" w:hAnsi="华文楷体" w:eastAsia="黑体"/>
          <w:color w:val="auto"/>
          <w:szCs w:val="21"/>
          <w:highlight w:val="none"/>
        </w:rPr>
      </w:pPr>
    </w:p>
    <w:p w14:paraId="24F3C11F">
      <w:pPr>
        <w:rPr>
          <w:rFonts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6C546935">
      <w:pPr>
        <w:rPr>
          <w:rFonts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2、如属非标配产品，其技术指标（特别是优于我校需求的部分）请另行附页说明。</w:t>
      </w:r>
    </w:p>
    <w:p w14:paraId="360E75B8">
      <w:pPr>
        <w:rPr>
          <w:rFonts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4A21681F">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4403A77C">
      <w:pPr>
        <w:rPr>
          <w:rFonts w:hint="eastAsia" w:ascii="仿宋" w:hAnsi="仿宋" w:eastAsia="仿宋"/>
          <w:b/>
          <w:bCs/>
          <w:color w:val="auto"/>
          <w:kern w:val="0"/>
          <w:sz w:val="36"/>
          <w:szCs w:val="36"/>
          <w:highlight w:val="none"/>
          <w:lang w:val="en-US" w:eastAsia="zh-CN"/>
        </w:rPr>
      </w:pPr>
      <w:r>
        <w:rPr>
          <w:rFonts w:hint="eastAsia" w:ascii="仿宋" w:hAnsi="仿宋" w:eastAsia="仿宋"/>
          <w:b/>
          <w:bCs/>
          <w:color w:val="auto"/>
          <w:kern w:val="0"/>
          <w:sz w:val="36"/>
          <w:szCs w:val="36"/>
          <w:highlight w:val="none"/>
          <w:lang w:val="en-US" w:eastAsia="zh-CN"/>
        </w:rPr>
        <w:br w:type="page"/>
      </w:r>
    </w:p>
    <w:p w14:paraId="0D7FB27B">
      <w:pPr>
        <w:spacing w:after="120" w:afterLines="50" w:line="240" w:lineRule="auto"/>
        <w:ind w:left="0" w:leftChars="0" w:firstLine="0" w:firstLineChars="0"/>
        <w:jc w:val="center"/>
        <w:rPr>
          <w:rFonts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lang w:val="en-US" w:eastAsia="zh-CN"/>
        </w:rPr>
        <w:t>报价</w:t>
      </w:r>
      <w:r>
        <w:rPr>
          <w:rFonts w:hint="eastAsia" w:ascii="仿宋" w:hAnsi="仿宋" w:eastAsia="仿宋"/>
          <w:b/>
          <w:bCs/>
          <w:color w:val="auto"/>
          <w:kern w:val="0"/>
          <w:sz w:val="36"/>
          <w:szCs w:val="36"/>
          <w:highlight w:val="none"/>
        </w:rPr>
        <w:t>承诺函</w:t>
      </w:r>
    </w:p>
    <w:p w14:paraId="154139ED">
      <w:pPr>
        <w:spacing w:after="120" w:afterLines="50" w:line="240" w:lineRule="auto"/>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rPr>
        <w:t>致：</w:t>
      </w:r>
      <w:r>
        <w:rPr>
          <w:rFonts w:hint="eastAsia" w:ascii="仿宋" w:hAnsi="仿宋" w:eastAsia="仿宋" w:cs="宋体"/>
          <w:color w:val="auto"/>
          <w:sz w:val="24"/>
          <w:szCs w:val="24"/>
          <w:highlight w:val="none"/>
          <w:lang w:val="en-US" w:eastAsia="zh-CN"/>
        </w:rPr>
        <w:t>上海海事大学</w:t>
      </w:r>
    </w:p>
    <w:p w14:paraId="37C42137">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t>我</w:t>
      </w:r>
      <w:r>
        <w:rPr>
          <w:rFonts w:ascii="仿宋" w:hAnsi="仿宋" w:eastAsia="仿宋" w:cs="宋体"/>
          <w:color w:val="auto"/>
          <w:sz w:val="24"/>
          <w:szCs w:val="24"/>
          <w:highlight w:val="none"/>
          <w:lang w:val="zh-CN"/>
        </w:rPr>
        <w:t>公司在参加本次</w:t>
      </w:r>
      <w:r>
        <w:rPr>
          <w:rFonts w:hint="eastAsia" w:ascii="仿宋" w:hAnsi="仿宋" w:eastAsia="仿宋" w:cs="宋体"/>
          <w:color w:val="auto"/>
          <w:sz w:val="24"/>
          <w:szCs w:val="24"/>
          <w:highlight w:val="none"/>
          <w:lang w:val="en-US" w:eastAsia="zh-CN"/>
        </w:rPr>
        <w:t>比选采购</w:t>
      </w:r>
      <w:r>
        <w:rPr>
          <w:rFonts w:ascii="仿宋" w:hAnsi="仿宋" w:eastAsia="仿宋" w:cs="宋体"/>
          <w:color w:val="auto"/>
          <w:sz w:val="24"/>
          <w:szCs w:val="24"/>
          <w:highlight w:val="none"/>
          <w:lang w:val="zh-CN"/>
        </w:rPr>
        <w:t>活动中，</w:t>
      </w:r>
      <w:r>
        <w:rPr>
          <w:rFonts w:hint="eastAsia" w:ascii="仿宋" w:hAnsi="仿宋" w:eastAsia="仿宋" w:cs="宋体"/>
          <w:color w:val="auto"/>
          <w:sz w:val="24"/>
          <w:szCs w:val="24"/>
          <w:highlight w:val="none"/>
          <w:lang w:val="zh-CN"/>
        </w:rPr>
        <w:t>作出如下</w:t>
      </w:r>
      <w:r>
        <w:rPr>
          <w:rFonts w:ascii="仿宋" w:hAnsi="仿宋" w:eastAsia="仿宋" w:cs="宋体"/>
          <w:color w:val="auto"/>
          <w:sz w:val="24"/>
          <w:szCs w:val="24"/>
          <w:highlight w:val="none"/>
          <w:lang w:val="zh-CN"/>
        </w:rPr>
        <w:t>承诺：</w:t>
      </w:r>
    </w:p>
    <w:p w14:paraId="46C0BB39">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eastAsia="zh-CN"/>
        </w:rPr>
        <w:t>一、</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具备独立法人资格，能够独立承担民事责任。</w:t>
      </w:r>
    </w:p>
    <w:p w14:paraId="50EE2300">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二、我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财务状况良好，具备履行合同所需资金实力。</w:t>
      </w:r>
    </w:p>
    <w:p w14:paraId="3F8FCAE5">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三、我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拥有履行项目所需的专业技术人员和先进的生产设备。</w:t>
      </w:r>
    </w:p>
    <w:p w14:paraId="45943AA8">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四、我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依法纳税，并按时缴纳社会保险费。</w:t>
      </w:r>
    </w:p>
    <w:p w14:paraId="0F0C6E90">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五、我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在最近三年内无任何违法违规行为，信誉良好。</w:t>
      </w:r>
    </w:p>
    <w:p w14:paraId="3EF4200C">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六、我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完全符合政府采购法及其他相关法律法规的规定。</w:t>
      </w:r>
    </w:p>
    <w:p w14:paraId="072F3ABB">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七</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eastAsia="zh-CN"/>
        </w:rPr>
        <w:t>公司提供的相关文件均真实、有效。</w:t>
      </w:r>
    </w:p>
    <w:p w14:paraId="1E86BCEA">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八、我</w:t>
      </w:r>
      <w:r>
        <w:rPr>
          <w:rFonts w:hint="eastAsia" w:ascii="仿宋" w:hAnsi="仿宋" w:eastAsia="仿宋" w:cs="宋体"/>
          <w:color w:val="auto"/>
          <w:sz w:val="24"/>
          <w:szCs w:val="24"/>
          <w:highlight w:val="none"/>
          <w:lang w:val="zh-CN" w:eastAsia="zh-CN"/>
        </w:rPr>
        <w:t>公司未挂靠、借用资质进行投标等违法违规行为。</w:t>
      </w:r>
    </w:p>
    <w:p w14:paraId="1961C25F">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九、</w:t>
      </w:r>
      <w:r>
        <w:rPr>
          <w:rFonts w:hint="eastAsia" w:ascii="仿宋" w:hAnsi="仿宋" w:eastAsia="仿宋" w:cs="宋体"/>
          <w:color w:val="auto"/>
          <w:sz w:val="24"/>
          <w:szCs w:val="24"/>
          <w:highlight w:val="none"/>
          <w:lang w:val="zh-CN" w:eastAsia="zh-CN"/>
        </w:rPr>
        <w:t>我公司承诺在参加本</w:t>
      </w:r>
      <w:r>
        <w:rPr>
          <w:rFonts w:hint="eastAsia" w:ascii="仿宋" w:hAnsi="仿宋" w:eastAsia="仿宋" w:cs="宋体"/>
          <w:color w:val="auto"/>
          <w:sz w:val="24"/>
          <w:szCs w:val="24"/>
          <w:highlight w:val="none"/>
          <w:lang w:val="en-US" w:eastAsia="zh-CN"/>
        </w:rPr>
        <w:t>次</w:t>
      </w:r>
      <w:r>
        <w:rPr>
          <w:rFonts w:hint="eastAsia" w:ascii="仿宋" w:hAnsi="仿宋" w:eastAsia="仿宋" w:cs="宋体"/>
          <w:color w:val="auto"/>
          <w:sz w:val="24"/>
          <w:szCs w:val="24"/>
          <w:highlight w:val="none"/>
          <w:lang w:val="zh-CN" w:eastAsia="zh-CN"/>
        </w:rPr>
        <w:t>采购活动中，</w:t>
      </w:r>
      <w:r>
        <w:rPr>
          <w:rFonts w:hint="eastAsia" w:ascii="仿宋" w:hAnsi="仿宋" w:eastAsia="仿宋" w:cs="宋体"/>
          <w:color w:val="auto"/>
          <w:sz w:val="24"/>
          <w:szCs w:val="24"/>
          <w:highlight w:val="none"/>
          <w:lang w:val="en-US" w:eastAsia="zh-CN"/>
        </w:rPr>
        <w:t>不存在串标围标行为</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不存在</w:t>
      </w:r>
      <w:r>
        <w:rPr>
          <w:rFonts w:hint="eastAsia" w:ascii="仿宋" w:hAnsi="仿宋" w:eastAsia="仿宋" w:cs="宋体"/>
          <w:color w:val="auto"/>
          <w:sz w:val="24"/>
          <w:szCs w:val="24"/>
          <w:highlight w:val="none"/>
          <w:lang w:val="zh-CN" w:eastAsia="zh-CN"/>
        </w:rPr>
        <w:t>损害</w:t>
      </w:r>
      <w:r>
        <w:rPr>
          <w:rFonts w:hint="eastAsia" w:ascii="仿宋" w:hAnsi="仿宋" w:eastAsia="仿宋" w:cs="宋体"/>
          <w:color w:val="auto"/>
          <w:sz w:val="24"/>
          <w:szCs w:val="24"/>
          <w:highlight w:val="none"/>
          <w:lang w:val="en-US" w:eastAsia="zh-CN"/>
        </w:rPr>
        <w:t>校方</w:t>
      </w:r>
      <w:r>
        <w:rPr>
          <w:rFonts w:hint="eastAsia" w:ascii="仿宋" w:hAnsi="仿宋" w:eastAsia="仿宋" w:cs="宋体"/>
          <w:color w:val="auto"/>
          <w:sz w:val="24"/>
          <w:szCs w:val="24"/>
          <w:highlight w:val="none"/>
          <w:lang w:val="zh-CN" w:eastAsia="zh-CN"/>
        </w:rPr>
        <w:t>或者其他</w:t>
      </w:r>
      <w:r>
        <w:rPr>
          <w:rFonts w:hint="eastAsia" w:ascii="仿宋" w:hAnsi="仿宋" w:eastAsia="仿宋" w:cs="宋体"/>
          <w:color w:val="auto"/>
          <w:sz w:val="24"/>
          <w:szCs w:val="24"/>
          <w:highlight w:val="none"/>
          <w:lang w:val="en-US" w:eastAsia="zh-CN"/>
        </w:rPr>
        <w:t>报价单位</w:t>
      </w:r>
      <w:r>
        <w:rPr>
          <w:rFonts w:hint="eastAsia" w:ascii="仿宋" w:hAnsi="仿宋" w:eastAsia="仿宋" w:cs="宋体"/>
          <w:color w:val="auto"/>
          <w:sz w:val="24"/>
          <w:szCs w:val="24"/>
          <w:highlight w:val="none"/>
          <w:lang w:val="zh-CN" w:eastAsia="zh-CN"/>
        </w:rPr>
        <w:t>利益的行为。</w:t>
      </w:r>
    </w:p>
    <w:p w14:paraId="1B3C8AA7">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十、</w:t>
      </w:r>
      <w:r>
        <w:rPr>
          <w:rFonts w:hint="eastAsia" w:ascii="仿宋" w:hAnsi="仿宋" w:eastAsia="仿宋" w:cs="宋体"/>
          <w:color w:val="auto"/>
          <w:sz w:val="24"/>
          <w:szCs w:val="24"/>
          <w:highlight w:val="none"/>
          <w:lang w:val="zh-CN" w:eastAsia="zh-CN"/>
        </w:rPr>
        <w:t>我</w:t>
      </w:r>
      <w:r>
        <w:rPr>
          <w:rFonts w:hint="eastAsia" w:ascii="仿宋" w:hAnsi="仿宋" w:eastAsia="仿宋" w:cs="宋体"/>
          <w:color w:val="auto"/>
          <w:sz w:val="24"/>
          <w:szCs w:val="24"/>
          <w:highlight w:val="none"/>
          <w:lang w:val="en-US" w:eastAsia="zh-CN"/>
        </w:rPr>
        <w:t>公司管理层中</w:t>
      </w:r>
      <w:r>
        <w:rPr>
          <w:rFonts w:hint="eastAsia" w:ascii="仿宋" w:hAnsi="仿宋" w:eastAsia="仿宋" w:cs="宋体"/>
          <w:color w:val="auto"/>
          <w:sz w:val="24"/>
          <w:szCs w:val="24"/>
          <w:highlight w:val="none"/>
          <w:lang w:val="zh-CN" w:eastAsia="zh-CN"/>
        </w:rPr>
        <w:t>没有从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离职或退休3年以内的人员担任控股股东或实际控股人、董事、监事，也没有聘用从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w:t>
      </w:r>
    </w:p>
    <w:p w14:paraId="3FE2B1FA">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en-US" w:eastAsia="zh-CN"/>
        </w:rPr>
        <w:t>我公司保证上述声明真实无误，如有不实，愿承担相应法律责任。</w:t>
      </w:r>
    </w:p>
    <w:p w14:paraId="2C38F8B9">
      <w:pPr>
        <w:spacing w:after="120" w:afterLines="50" w:line="240" w:lineRule="auto"/>
        <w:ind w:left="0" w:leftChars="0" w:firstLine="0" w:firstLineChars="0"/>
        <w:rPr>
          <w:rFonts w:ascii="仿宋" w:hAnsi="仿宋" w:eastAsia="仿宋" w:cs="宋体"/>
          <w:color w:val="auto"/>
          <w:sz w:val="24"/>
          <w:szCs w:val="24"/>
          <w:highlight w:val="none"/>
          <w:lang w:val="zh-CN"/>
        </w:rPr>
      </w:pPr>
    </w:p>
    <w:p w14:paraId="4A13A388">
      <w:pPr>
        <w:spacing w:after="120" w:afterLines="50" w:line="240" w:lineRule="auto"/>
        <w:ind w:left="0" w:leftChars="0" w:firstLine="0" w:firstLineChars="0"/>
        <w:rPr>
          <w:rFonts w:ascii="黑体" w:hAnsi="华文楷体" w:eastAsia="黑体"/>
          <w:b/>
          <w:bCs/>
          <w:color w:val="auto"/>
          <w:sz w:val="32"/>
          <w:szCs w:val="32"/>
          <w:highlight w:val="none"/>
        </w:rPr>
      </w:pPr>
      <w:r>
        <w:rPr>
          <w:rFonts w:hint="eastAsia" w:ascii="黑体" w:hAnsi="华文楷体" w:eastAsia="黑体"/>
          <w:color w:val="auto"/>
          <w:sz w:val="24"/>
          <w:szCs w:val="24"/>
          <w:highlight w:val="none"/>
        </w:rPr>
        <w:t>公司名称（盖章）：                              委托代理人（签字）：</w:t>
      </w:r>
    </w:p>
    <w:p w14:paraId="476D3484">
      <w:pPr>
        <w:pStyle w:val="7"/>
        <w:rPr>
          <w:rFonts w:hint="default" w:ascii="方正兰亭黑简体" w:hAnsi="方正兰亭黑简体" w:eastAsia="方正兰亭黑简体" w:cs="方正兰亭黑简体"/>
          <w:color w:val="auto"/>
          <w:sz w:val="22"/>
          <w:szCs w:val="28"/>
          <w:highlight w:val="none"/>
          <w:lang w:val="en-US" w:eastAsia="zh-CN"/>
        </w:rPr>
      </w:pPr>
    </w:p>
    <w:p w14:paraId="3F5F1DB4">
      <w:pPr>
        <w:pStyle w:val="7"/>
        <w:rPr>
          <w:rFonts w:hint="default" w:ascii="方正兰亭黑简体" w:hAnsi="方正兰亭黑简体" w:eastAsia="方正兰亭黑简体" w:cs="方正兰亭黑简体"/>
          <w:color w:val="auto"/>
          <w:sz w:val="22"/>
          <w:szCs w:val="28"/>
          <w:highlight w:val="none"/>
          <w:lang w:val="en-US" w:eastAsia="zh-CN"/>
        </w:rPr>
      </w:pPr>
    </w:p>
    <w:p w14:paraId="086B01F9">
      <w:pPr>
        <w:jc w:val="left"/>
        <w:rPr>
          <w:rFonts w:hint="eastAsia" w:ascii="方正兰亭黑简体" w:hAnsi="方正兰亭黑简体" w:eastAsia="方正兰亭黑简体" w:cs="方正兰亭黑简体"/>
          <w:color w:val="auto"/>
          <w:sz w:val="22"/>
          <w:szCs w:val="28"/>
          <w:highlight w:val="none"/>
          <w:lang w:val="en-US" w:eastAsia="zh-CN"/>
        </w:rPr>
        <w:sectPr>
          <w:pgSz w:w="11906" w:h="16838"/>
          <w:pgMar w:top="1440" w:right="1083" w:bottom="1440" w:left="1083" w:header="851" w:footer="992" w:gutter="0"/>
          <w:pgNumType w:fmt="decimal"/>
          <w:cols w:space="0" w:num="1"/>
          <w:rtlGutter w:val="0"/>
          <w:docGrid w:type="lines" w:linePitch="314" w:charSpace="0"/>
        </w:sectPr>
      </w:pPr>
    </w:p>
    <w:p w14:paraId="7CDE4BA2">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附件2：其他材料</w:t>
      </w:r>
    </w:p>
    <w:p w14:paraId="7D103AD2">
      <w:pPr>
        <w:pStyle w:val="6"/>
        <w:ind w:left="0" w:leftChars="0" w:firstLine="0" w:firstLineChars="0"/>
        <w:rPr>
          <w:rFonts w:hint="default"/>
          <w:color w:val="auto"/>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包括但不限于：</w:t>
      </w:r>
    </w:p>
    <w:p w14:paraId="6163A2E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kern w:val="2"/>
          <w:sz w:val="22"/>
          <w:szCs w:val="28"/>
          <w:highlight w:val="none"/>
          <w:lang w:val="en-US" w:eastAsia="zh-CN" w:bidi="ar-SA"/>
        </w:rPr>
        <w:t>1、</w:t>
      </w:r>
      <w:r>
        <w:rPr>
          <w:rFonts w:hint="eastAsia" w:ascii="方正兰亭黑简体" w:hAnsi="方正兰亭黑简体" w:eastAsia="方正兰亭黑简体" w:cs="方正兰亭黑简体"/>
          <w:color w:val="auto"/>
          <w:sz w:val="22"/>
          <w:szCs w:val="28"/>
          <w:highlight w:val="none"/>
          <w:lang w:val="en-US" w:eastAsia="zh-CN"/>
        </w:rPr>
        <w:t>营业执照扫描件</w:t>
      </w:r>
    </w:p>
    <w:p w14:paraId="75BA9CD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lang w:val="en-US" w:eastAsia="zh-CN"/>
        </w:rPr>
        <w:t>产品资料（产品参数及性能）</w:t>
      </w:r>
    </w:p>
    <w:p w14:paraId="1BB2A8EF">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3、</w:t>
      </w:r>
      <w:r>
        <w:rPr>
          <w:rFonts w:hint="eastAsia" w:ascii="方正兰亭黑简体" w:hAnsi="方正兰亭黑简体" w:eastAsia="方正兰亭黑简体" w:cs="方正兰亭黑简体"/>
          <w:color w:val="auto"/>
          <w:sz w:val="22"/>
          <w:szCs w:val="28"/>
          <w:highlight w:val="none"/>
          <w:lang w:val="en-US" w:eastAsia="zh-CN"/>
        </w:rPr>
        <w:t>实施计划</w:t>
      </w:r>
    </w:p>
    <w:p w14:paraId="32423874">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4、</w:t>
      </w:r>
      <w:r>
        <w:rPr>
          <w:rFonts w:hint="eastAsia" w:ascii="方正兰亭黑简体" w:hAnsi="方正兰亭黑简体" w:eastAsia="方正兰亭黑简体" w:cs="方正兰亭黑简体"/>
          <w:color w:val="auto"/>
          <w:sz w:val="22"/>
          <w:szCs w:val="28"/>
          <w:highlight w:val="none"/>
          <w:lang w:val="en-US" w:eastAsia="zh-CN"/>
        </w:rPr>
        <w:t>售后方案</w:t>
      </w:r>
    </w:p>
    <w:p w14:paraId="47143B8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5、</w:t>
      </w:r>
      <w:r>
        <w:rPr>
          <w:rFonts w:hint="eastAsia" w:ascii="方正兰亭黑简体" w:hAnsi="方正兰亭黑简体" w:eastAsia="方正兰亭黑简体" w:cs="方正兰亭黑简体"/>
          <w:color w:val="auto"/>
          <w:sz w:val="22"/>
          <w:szCs w:val="28"/>
          <w:highlight w:val="none"/>
          <w:lang w:val="en-US" w:eastAsia="zh-CN"/>
        </w:rPr>
        <w:t>业绩案例</w:t>
      </w:r>
    </w:p>
    <w:p w14:paraId="3644FF0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6、其他所必需的相关材料</w:t>
      </w:r>
    </w:p>
    <w:sectPr>
      <w:pgSz w:w="11906"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910E6B-626A-4A7A-B971-50E3DE50F1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D8CA55A9-BF77-4D08-9DF8-2651DCA27025}"/>
  </w:font>
  <w:font w:name="微软雅黑">
    <w:panose1 w:val="020B0503020204020204"/>
    <w:charset w:val="86"/>
    <w:family w:val="swiss"/>
    <w:pitch w:val="default"/>
    <w:sig w:usb0="80000287" w:usb1="2ACF3C50" w:usb2="00000016" w:usb3="00000000" w:csb0="0004001F" w:csb1="00000000"/>
    <w:embedRegular r:id="rId3" w:fontKey="{4778890C-BE7B-463A-BA65-831D16D8853C}"/>
  </w:font>
  <w:font w:name="华文楷体">
    <w:panose1 w:val="02010600040101010101"/>
    <w:charset w:val="86"/>
    <w:family w:val="auto"/>
    <w:pitch w:val="default"/>
    <w:sig w:usb0="00000287" w:usb1="080F0000" w:usb2="00000000" w:usb3="00000000" w:csb0="0004009F" w:csb1="DFD70000"/>
    <w:embedRegular r:id="rId4" w:fontKey="{33E3B714-46D4-4DE1-BA36-900712609D54}"/>
  </w:font>
  <w:font w:name="方正仿宋_GB2312">
    <w:panose1 w:val="02000000000000000000"/>
    <w:charset w:val="86"/>
    <w:family w:val="auto"/>
    <w:pitch w:val="default"/>
    <w:sig w:usb0="A00002BF" w:usb1="184F6CFA" w:usb2="00000012" w:usb3="00000000" w:csb0="00040001" w:csb1="00000000"/>
    <w:embedRegular r:id="rId5" w:fontKey="{73F19FBB-4C1F-4B13-A02E-CF95BAAB6908}"/>
  </w:font>
  <w:font w:name="仿宋">
    <w:panose1 w:val="02010609060101010101"/>
    <w:charset w:val="86"/>
    <w:family w:val="modern"/>
    <w:pitch w:val="default"/>
    <w:sig w:usb0="800002BF" w:usb1="38CF7CFA" w:usb2="00000016" w:usb3="00000000" w:csb0="00040001" w:csb1="00000000"/>
    <w:embedRegular r:id="rId6" w:fontKey="{DC1123FC-8277-4FB2-A78B-FE970906FE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492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1">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75436"/>
    <w:rsid w:val="029C08D4"/>
    <w:rsid w:val="035A42B0"/>
    <w:rsid w:val="0875321F"/>
    <w:rsid w:val="09642E33"/>
    <w:rsid w:val="0B7B6E53"/>
    <w:rsid w:val="146C6B60"/>
    <w:rsid w:val="15285D7F"/>
    <w:rsid w:val="157E6317"/>
    <w:rsid w:val="15D04D45"/>
    <w:rsid w:val="1B307278"/>
    <w:rsid w:val="1D2B42FB"/>
    <w:rsid w:val="1DF9272E"/>
    <w:rsid w:val="21B969D7"/>
    <w:rsid w:val="22AA0589"/>
    <w:rsid w:val="24050543"/>
    <w:rsid w:val="26C52776"/>
    <w:rsid w:val="2DAA3F84"/>
    <w:rsid w:val="2E691D1D"/>
    <w:rsid w:val="2FB07FD7"/>
    <w:rsid w:val="3A774F92"/>
    <w:rsid w:val="3CFB52B6"/>
    <w:rsid w:val="3D6469F5"/>
    <w:rsid w:val="3DBA1AA2"/>
    <w:rsid w:val="3E5C4869"/>
    <w:rsid w:val="3FCC680A"/>
    <w:rsid w:val="41007DAA"/>
    <w:rsid w:val="45DB0FAA"/>
    <w:rsid w:val="480A63EB"/>
    <w:rsid w:val="4A2362AE"/>
    <w:rsid w:val="4AFC4A60"/>
    <w:rsid w:val="4C563715"/>
    <w:rsid w:val="4CC21E26"/>
    <w:rsid w:val="4EFD134C"/>
    <w:rsid w:val="50634D36"/>
    <w:rsid w:val="536D1C2C"/>
    <w:rsid w:val="55CF5109"/>
    <w:rsid w:val="57117CB6"/>
    <w:rsid w:val="573107A3"/>
    <w:rsid w:val="5AEA704B"/>
    <w:rsid w:val="5CB31D19"/>
    <w:rsid w:val="5D66061F"/>
    <w:rsid w:val="5E8720EC"/>
    <w:rsid w:val="5EE9209B"/>
    <w:rsid w:val="62DD78C6"/>
    <w:rsid w:val="63DF4A20"/>
    <w:rsid w:val="64C31DBB"/>
    <w:rsid w:val="674C6D30"/>
    <w:rsid w:val="684F045C"/>
    <w:rsid w:val="699E1F48"/>
    <w:rsid w:val="6C3138A4"/>
    <w:rsid w:val="6E3767B2"/>
    <w:rsid w:val="6FC06751"/>
    <w:rsid w:val="72BB2157"/>
    <w:rsid w:val="74FD108C"/>
    <w:rsid w:val="769D2894"/>
    <w:rsid w:val="794117F3"/>
    <w:rsid w:val="7AE7325C"/>
    <w:rsid w:val="7C2C43E3"/>
    <w:rsid w:val="7C360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Chars="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Chars="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firstLine="0" w:firstLineChars="0"/>
      <w:outlineLvl w:val="2"/>
    </w:pPr>
    <w:rPr>
      <w:rFonts w:cs="Times NR MT Pro Medium" w:asciiTheme="majorHAnsi" w:hAnsiTheme="majorHAnsi"/>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5"/>
    <w:qFormat/>
    <w:uiPriority w:val="0"/>
    <w:pPr>
      <w:widowControl/>
      <w:spacing w:after="120"/>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2f7ca856-2137-494a-befd-fe64440449b4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0676cdce-adb8-4705-b3f3-605f21934779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252cc8f5-a4a0-44ec-9a7c-d07e7ee85ba3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ef9ac55e-b7ad-4ec8-9573-2fade8d4586d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47D79F3C</paraID>
      <start>0</start>
      <end>2</end>
      <status>unmodified</status>
      <modifiedWord/>
      <trackRevisions>false</trackRevisions>
    </reviewItem>
    <reviewItem>
      <errorID>b899da17-045f-4181-8443-e5fc8c723936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6E06AEE6</paraID>
      <start>0</start>
      <end>2</end>
      <status>unmodified</status>
      <modifiedWord/>
      <trackRevisions>false</trackRevisions>
    </reviewItem>
    <reviewItem>
      <errorID>200ddae6-e156-4df5-b6d2-b73f39b0107c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356C3AF2</paraID>
      <start>0</start>
      <end>2</end>
      <status>unmodified</status>
      <modifiedWord/>
      <trackRevisions>false</trackRevisions>
    </reviewItem>
    <reviewItem>
      <errorID>be72439d-d40a-4049-98f3-14e2fc4676b3</errorID>
      <errorWord>，</errorWord>
      <group>L1_Format</group>
      <groupName>格式问题</groupName>
      <ability>L2_HalfPunc</ability>
      <abilityName>全半角检查</abilityName>
      <candidateList>
        <item>,</item>
      </candidateList>
      <explain>文本全半角错误。</explain>
      <paraID>6E6BB651</paraID>
      <start>16</start>
      <end>17</end>
      <status>modified</status>
      <modifiedWord>,</modifiedWord>
      <trackRevisions>false</trackRevisions>
    </reviewItem>
    <reviewItem>
      <errorID>1611bd6d-2cc8-4f48-80bc-a9ec35391e07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26B00A6B</paraID>
      <start>0</start>
      <end>2</end>
      <status>unmodified</status>
      <modifiedWord/>
      <trackRevisions>false</trackRevisions>
    </reviewItem>
    <reviewItem>
      <errorID>37c7019b-dafd-4948-ba4b-00bed5630f65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4BC82F22</paraID>
      <start>0</start>
      <end>2</end>
      <status>unmodified</status>
      <modifiedWord/>
      <trackRevisions>false</trackRevisions>
    </reviewItem>
    <reviewItem>
      <errorID>1f0441ab-f030-492a-a2a4-3c2eac614898</errorID>
      <errorWord>按按</errorWord>
      <group>L1_Word</group>
      <groupName>字词问题</groupName>
      <ability>L2_Typo</ability>
      <abilityName>字词错误</abilityName>
      <candidateList>
        <item>按</item>
      </candidateList>
      <explain>（案）àn❶〈书〉考查；核对：有原文可～。❷（编者、作者等）加按语：编者～。</explain>
      <paraID>4BC82F22</paraID>
      <start>83</start>
      <end>84</end>
      <status>modified</status>
      <modifiedWord>按</modifiedWord>
      <trackRevisions>false</trackRevisions>
    </reviewItem>
    <reviewItem>
      <errorID>6d6aee76-3073-4a73-bd6f-fd0098bd70f2</errorID>
      <errorWord>原价的</errorWord>
      <group>L1_Word</group>
      <groupName>字词问题</groupName>
      <ability>L2_Typo</ability>
      <abilityName>字词错误</abilityName>
      <candidateList>
        <item>原价</item>
      </candidateList>
      <explain/>
      <paraID>4BC82F22</paraID>
      <start>84</start>
      <end>86</end>
      <status>modified</status>
      <modifiedWord>原价</modifiedWord>
      <trackRevisions>false</trackRevisions>
    </reviewItem>
    <reviewItem>
      <errorID>b225e2a1-cacd-4761-b788-6b501db4d990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34F0627</paraID>
      <start>0</start>
      <end>2</end>
      <status>unmodified</status>
      <modifiedWord/>
      <trackRevisions>false</trackRevisions>
    </reviewItem>
    <reviewItem>
      <errorID>f0073c79-2da8-4d38-a7d7-a3443f95c5c1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1272F05B</paraID>
      <start>0</start>
      <end>2</end>
      <status>unmodified</status>
      <modifiedWord/>
      <trackRevisions>false</trackRevisions>
    </reviewItem>
    <reviewItem>
      <errorID>296bf2d8-ea89-4516-b345-8cb1ef284ff0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590EB7B8</paraID>
      <start>0</start>
      <end>2</end>
      <status>unmodified</status>
      <modifiedWord/>
      <trackRevisions>false</trackRevisions>
    </reviewItem>
    <reviewItem>
      <errorID>d9fa8657-88f4-44ec-8aeb-be10b72f385b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a36e8997-ace7-41a2-9040-fdc7e675e9dc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351ad31d-6c04-4ead-855a-5480eb51875d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72a91557-d2ec-4f86-89cb-03eac077dc34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61740d0b-bd8a-4f29-a29a-14ea8548e0b7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0bbfcd75-a468-48b4-8874-5094f637264e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63ca67d2-d837-43fb-89f2-4b8f1a7000e4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89d31d61-a0e5-45fa-9f37-771a351957cb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73c8b9-5cac-44c4-b548-7e56506719a2}">
  <ds:schemaRefs/>
</ds:datastoreItem>
</file>

<file path=docProps/app.xml><?xml version="1.0" encoding="utf-8"?>
<Properties xmlns="http://schemas.openxmlformats.org/officeDocument/2006/extended-properties" xmlns:vt="http://schemas.openxmlformats.org/officeDocument/2006/docPropsVTypes">
  <Template>Normal.dotm</Template>
  <Pages>12</Pages>
  <Words>728</Words>
  <Characters>768</Characters>
  <Lines>0</Lines>
  <Paragraphs>0</Paragraphs>
  <TotalTime>1</TotalTime>
  <ScaleCrop>false</ScaleCrop>
  <LinksUpToDate>false</LinksUpToDate>
  <CharactersWithSpaces>769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2025-04-03T05:09:00Z</dcterms:created>
  <dc:creator>HP</dc:creator>
  <cp:lastModifiedBy>仲杰</cp:lastModifiedBy>
  <dcterms:modified xsi:type="dcterms:W3CDTF">2026-11-03T16:56:10Z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eyJoZGlkIjoiZTQ4MzhlZGU2YmZhMGFjMjVlNGJjM2ZlYTdmZDg2NTAiLCJ1c2VySWQiOiIyOTgyOTgyOTEifQ==</vt:lpwstr>
  </property>
  <property fmtid="{D5CDD505-2E9C-101B-9397-08002B2CF9AE}" pid="4" name="ICV">
    <vt:lpwstr>2BFD31D5F3FB4B709DBC969892577809_12</vt:lpwstr>
  </property>
</Properties>
</file>