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工属具检测辅助服务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HFBX2026059</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bookmarkStart w:id="6" w:name="_GoBack"/>
      <w:bookmarkEnd w:id="6"/>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七</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HFBX2026059</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工属具检测辅助服务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19</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为青岛港工属具检测项目部分的实施内容，需委托一家合格供应商配合我方完成整个项目，包括但不限于现场设备吊装、搬运、拉电线、打磨油漆、冲砂、补油漆等检测辅助工作。</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1EF4609A">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服务地点：</w:t>
      </w:r>
      <w:r>
        <w:rPr>
          <w:rFonts w:hint="eastAsia" w:ascii="方正兰亭黑简体" w:hAnsi="方正兰亭黑简体" w:eastAsia="方正兰亭黑简体" w:cs="方正兰亭黑简体"/>
          <w:color w:val="auto"/>
          <w:sz w:val="22"/>
          <w:szCs w:val="28"/>
          <w:highlight w:val="none"/>
          <w:lang w:val="en-US" w:eastAsia="zh-CN"/>
        </w:rPr>
        <w:t>青岛市黄岛区。</w:t>
      </w:r>
    </w:p>
    <w:p w14:paraId="64ECA64C">
      <w:pPr>
        <w:pStyle w:val="19"/>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lang w:val="en-US" w:eastAsia="zh-CN"/>
        </w:rPr>
        <w:t>服务期限：</w:t>
      </w:r>
      <w:r>
        <w:rPr>
          <w:rFonts w:hint="eastAsia" w:ascii="方正兰亭黑简体" w:hAnsi="方正兰亭黑简体" w:eastAsia="方正兰亭黑简体" w:cs="方正兰亭黑简体"/>
          <w:color w:val="auto"/>
          <w:sz w:val="22"/>
          <w:szCs w:val="28"/>
          <w:highlight w:val="none"/>
          <w:lang w:val="en-US" w:eastAsia="zh-CN"/>
        </w:rPr>
        <w:t>项目周期约为1个月。</w:t>
      </w:r>
    </w:p>
    <w:p w14:paraId="627DD869">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kern w:val="2"/>
          <w:sz w:val="22"/>
          <w:szCs w:val="28"/>
          <w:highlight w:val="none"/>
          <w:lang w:val="en-US" w:eastAsia="zh-CN" w:bidi="ar-SA"/>
        </w:rPr>
        <w:t>付款方式：</w:t>
      </w:r>
      <w:r>
        <w:rPr>
          <w:rFonts w:hint="eastAsia" w:ascii="方正兰亭黑简体" w:hAnsi="方正兰亭黑简体" w:eastAsia="方正兰亭黑简体" w:cs="方正兰亭黑简体"/>
          <w:color w:val="auto"/>
          <w:kern w:val="2"/>
          <w:sz w:val="22"/>
          <w:szCs w:val="28"/>
          <w:highlight w:val="none"/>
          <w:lang w:val="en-US" w:eastAsia="zh-CN" w:bidi="ar-SA"/>
        </w:rPr>
        <w:t>项目完成后，经甲方对乙方服务内容验收通过后的30天内，甲方一次性支付合同全款。</w:t>
      </w:r>
      <w:r>
        <w:rPr>
          <w:rFonts w:hint="eastAsia" w:ascii="方正兰亭黑简体" w:hAnsi="方正兰亭黑简体" w:eastAsia="方正兰亭黑简体" w:cs="方正兰亭黑简体"/>
          <w:color w:val="auto"/>
          <w:sz w:val="22"/>
          <w:szCs w:val="28"/>
          <w:highlight w:val="none"/>
        </w:rPr>
        <w:t>合同内全部款项均以“银行转账”方式予以支付。</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刘</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021-38282668</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一</w:t>
      </w:r>
      <w:r>
        <w:rPr>
          <w:rFonts w:hint="default" w:ascii="Times New Roman" w:hAnsi="Times New Roman" w:eastAsia="方正兰亭黑简体" w:cs="Times New Roman"/>
          <w:b/>
          <w:bCs/>
          <w:color w:val="auto"/>
          <w:sz w:val="22"/>
          <w:szCs w:val="22"/>
          <w:highlight w:val="none"/>
        </w:rPr>
        <w:t>、</w:t>
      </w:r>
      <w:r>
        <w:rPr>
          <w:rFonts w:hint="default" w:ascii="Times New Roman" w:hAnsi="Times New Roman" w:eastAsia="方正兰亭黑简体" w:cs="Times New Roman"/>
          <w:b/>
          <w:bCs/>
          <w:color w:val="auto"/>
          <w:sz w:val="22"/>
          <w:szCs w:val="22"/>
          <w:highlight w:val="none"/>
          <w:lang w:val="en-US" w:eastAsia="zh-CN"/>
        </w:rPr>
        <w:t>项目概况</w:t>
      </w:r>
    </w:p>
    <w:p w14:paraId="14F7295A">
      <w:pPr>
        <w:spacing w:line="360" w:lineRule="auto"/>
        <w:ind w:left="0" w:leftChars="0" w:firstLine="440" w:firstLineChars="200"/>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该</w:t>
      </w:r>
      <w:r>
        <w:rPr>
          <w:rFonts w:hint="default" w:ascii="Times New Roman" w:hAnsi="Times New Roman" w:eastAsia="方正兰亭黑简体" w:cs="Times New Roman"/>
          <w:color w:val="auto"/>
          <w:sz w:val="22"/>
          <w:szCs w:val="22"/>
          <w:highlight w:val="none"/>
        </w:rPr>
        <w:t>工程为青岛港工属具检测项目部分的实施内容，供应商需配合上海海事大学项目组完成整个项目，包括但不限于现场设备吊装、搬运、拉电线、打磨油漆、冲砂、补油漆等检测辅助工作，项目周期约为1个月，地点在青岛市黄岛区。</w:t>
      </w:r>
    </w:p>
    <w:p w14:paraId="6D46828C">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p>
    <w:p w14:paraId="79811CBE">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二、服务具体要求</w:t>
      </w:r>
    </w:p>
    <w:p w14:paraId="50084EAE">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该工程为青岛港大型设备钢结构检测现场检测部分的实施内容，用户现场共8台40尺集装箱超高吊架其中4台为RAM品牌使用年限超过20年，另4台为ZPMC品牌使用年限8年，同类产品在其余码头发生吊架开裂引起重大吊装事故，为确保生产作业安全需对这批设备进行整体安全评估，供应商需配合上海海事大学项目组完成该评估项目中涉及到施工和辅助劳务相关部分的内容。主要需求为：</w:t>
      </w:r>
    </w:p>
    <w:p w14:paraId="54AC16C8">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1）．超高架整体拆解；</w:t>
      </w:r>
    </w:p>
    <w:p w14:paraId="5DAA86B7">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拆解后整体冲砂，冲砂时需将内腔、滑轨等部件做可靠密封，防止砂砾或粉尘进入腔体造成设备损伤；不允许在简易冲砂房或户外场地冲砂，需进入专业生产维修单位的生产车间施工，用户在施工现场会安排监理；</w:t>
      </w:r>
    </w:p>
    <w:p w14:paraId="117CE500">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3）．冲砂完成后进行VT和MT探伤，探伤人员须具备MT二级以上专业资质，对发现的缺陷及时告知用户并对修复好的缺陷进行复测；</w:t>
      </w:r>
    </w:p>
    <w:p w14:paraId="564DBC09">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4）．未发现缺陷或用户已修复完缺陷后进行整体组装复原，复原后确保各功能正常；</w:t>
      </w:r>
    </w:p>
    <w:p w14:paraId="70BABD46">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5）．复原后进行整体油漆，要求1道底漆2道中漆2道面漆，漆膜干燥总厚度在 ‌260μm，油漆牌号和原料来源须经用户审核，需保证6年内不出现油漆质量问题；</w:t>
      </w:r>
    </w:p>
    <w:p w14:paraId="097F0126">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6）．吊架LOGO涂覆，冲砂前需对吊架原始LOGO和各警示标识、参数标识等进行拍照及尺寸测量，油漆涂装后需按原始信息进行涂覆恢复。</w:t>
      </w:r>
    </w:p>
    <w:p w14:paraId="79775DEC">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注意事项：</w:t>
      </w:r>
    </w:p>
    <w:p w14:paraId="47D79F3C">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8台设备都在用户现场，需要将设备搬运出厂，因生产需要，每次只能搬运2台，用户可以提供场内吊装设备，供应商需提供运输集卡并办理集卡进出码头的相关手续，因用户管理严格，租用的集卡及司机需证照和保险齐全，车况良好。项目总周期为30天内，因用户生产原因导致的设备无法运出耽误的天数不在总周期内。</w:t>
      </w:r>
    </w:p>
    <w:p w14:paraId="0F41754C">
      <w:pPr>
        <w:spacing w:line="360" w:lineRule="auto"/>
        <w:rPr>
          <w:rFonts w:hint="default" w:ascii="Times New Roman" w:hAnsi="Times New Roman" w:eastAsia="方正兰亭黑简体" w:cs="Times New Roman"/>
          <w:b/>
          <w:bCs/>
          <w:color w:val="auto"/>
          <w:kern w:val="0"/>
          <w:sz w:val="22"/>
          <w:szCs w:val="22"/>
          <w:highlight w:val="none"/>
          <w:lang w:val="en-US" w:eastAsia="zh-CN"/>
        </w:rPr>
      </w:pPr>
    </w:p>
    <w:p w14:paraId="3D0A784E">
      <w:pPr>
        <w:spacing w:line="360" w:lineRule="auto"/>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三、技术规范</w:t>
      </w:r>
    </w:p>
    <w:p w14:paraId="4AF88C2B">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GB/T 8923.1-2011《涂覆涂料前钢材表面处理》</w:t>
      </w:r>
    </w:p>
    <w:p w14:paraId="54837064">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GB 50205-2020《钢结构工程施工质量验收规范》</w:t>
      </w:r>
    </w:p>
    <w:p w14:paraId="50284467">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GB 6067.1 《起重机械安全规程 第1部分 总则 》</w:t>
      </w: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714"/>
        <w:gridCol w:w="1588"/>
        <w:gridCol w:w="5670"/>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trPr>
        <w:tc>
          <w:tcPr>
            <w:tcW w:w="496" w:type="pct"/>
            <w:vAlign w:val="center"/>
          </w:tcPr>
          <w:p w14:paraId="4D172C69">
            <w:pPr>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序号</w:t>
            </w:r>
          </w:p>
        </w:tc>
        <w:tc>
          <w:tcPr>
            <w:tcW w:w="860" w:type="pct"/>
            <w:vAlign w:val="center"/>
          </w:tcPr>
          <w:p w14:paraId="4D4125B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指标名称</w:t>
            </w:r>
          </w:p>
        </w:tc>
        <w:tc>
          <w:tcPr>
            <w:tcW w:w="797" w:type="pct"/>
            <w:vAlign w:val="center"/>
          </w:tcPr>
          <w:p w14:paraId="16E86100">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是否核心指标</w:t>
            </w:r>
          </w:p>
        </w:tc>
        <w:tc>
          <w:tcPr>
            <w:tcW w:w="2845" w:type="pct"/>
            <w:vAlign w:val="center"/>
          </w:tcPr>
          <w:p w14:paraId="09E1FA1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指标要求</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trPr>
        <w:tc>
          <w:tcPr>
            <w:tcW w:w="496" w:type="pct"/>
            <w:vAlign w:val="center"/>
          </w:tcPr>
          <w:p w14:paraId="2447FCA3">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860" w:type="pct"/>
            <w:vAlign w:val="center"/>
          </w:tcPr>
          <w:p w14:paraId="20D166A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冲砂</w:t>
            </w:r>
          </w:p>
        </w:tc>
        <w:tc>
          <w:tcPr>
            <w:tcW w:w="797" w:type="pct"/>
            <w:vAlign w:val="center"/>
          </w:tcPr>
          <w:p w14:paraId="15FEAAEE">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2845" w:type="pct"/>
            <w:vAlign w:val="center"/>
          </w:tcPr>
          <w:p w14:paraId="34A4A9A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需进专业厂冲砂，不允许现场冲砂</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trPr>
        <w:tc>
          <w:tcPr>
            <w:tcW w:w="496" w:type="pct"/>
            <w:vAlign w:val="center"/>
          </w:tcPr>
          <w:p w14:paraId="20428B8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860" w:type="pct"/>
            <w:vAlign w:val="center"/>
          </w:tcPr>
          <w:p w14:paraId="4D212B5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油漆</w:t>
            </w:r>
          </w:p>
        </w:tc>
        <w:tc>
          <w:tcPr>
            <w:tcW w:w="797" w:type="pct"/>
            <w:vAlign w:val="center"/>
          </w:tcPr>
          <w:p w14:paraId="18A4845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2845" w:type="pct"/>
            <w:vAlign w:val="center"/>
          </w:tcPr>
          <w:p w14:paraId="060F701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总漆膜厚度在 260μm以上</w:t>
            </w:r>
          </w:p>
        </w:tc>
      </w:tr>
    </w:tbl>
    <w:p w14:paraId="2D125D4E">
      <w:pPr>
        <w:spacing w:line="360" w:lineRule="auto"/>
        <w:rPr>
          <w:rFonts w:hint="default" w:ascii="Times New Roman" w:hAnsi="Times New Roman" w:eastAsia="方正兰亭黑简体" w:cs="Times New Roman"/>
          <w:b/>
          <w:bCs/>
          <w:color w:val="auto"/>
          <w:kern w:val="0"/>
          <w:sz w:val="22"/>
          <w:szCs w:val="22"/>
          <w:highlight w:val="none"/>
          <w:lang w:val="en-US" w:eastAsia="zh-CN"/>
        </w:rPr>
      </w:pPr>
    </w:p>
    <w:p w14:paraId="6ED13731">
      <w:pPr>
        <w:spacing w:line="360" w:lineRule="auto"/>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四、其他要求</w:t>
      </w:r>
    </w:p>
    <w:p w14:paraId="25FF2758">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zh-CN" w:eastAsia="zh-CN"/>
        </w:rPr>
      </w:pPr>
      <w:r>
        <w:rPr>
          <w:rFonts w:hint="default" w:ascii="Times New Roman" w:hAnsi="Times New Roman" w:eastAsia="方正兰亭黑简体" w:cs="Times New Roman"/>
          <w:color w:val="auto"/>
          <w:sz w:val="22"/>
          <w:szCs w:val="22"/>
          <w:highlight w:val="none"/>
          <w:lang w:val="en-US" w:eastAsia="zh-CN"/>
        </w:rPr>
        <w:t>1.</w:t>
      </w:r>
      <w:r>
        <w:rPr>
          <w:rFonts w:hint="eastAsia" w:ascii="Times New Roman" w:hAnsi="Times New Roman" w:eastAsia="方正兰亭黑简体" w:cs="Times New Roman"/>
          <w:color w:val="auto"/>
          <w:sz w:val="22"/>
          <w:szCs w:val="22"/>
          <w:highlight w:val="none"/>
          <w:lang w:val="en-US" w:eastAsia="zh-CN"/>
        </w:rPr>
        <w:t>质量保证：</w:t>
      </w:r>
      <w:r>
        <w:rPr>
          <w:rFonts w:hint="default" w:ascii="Times New Roman" w:hAnsi="Times New Roman" w:eastAsia="方正兰亭黑简体" w:cs="Times New Roman"/>
          <w:color w:val="auto"/>
          <w:sz w:val="22"/>
          <w:szCs w:val="22"/>
          <w:highlight w:val="none"/>
          <w:lang w:val="en-US" w:eastAsia="zh-CN"/>
        </w:rPr>
        <w:t>供应商需将超高架拖至专业冲砂厂整体冲砂、待甲方进行无损检测后再进行整体涂装，LOGO喷涂，油漆需保证6年内不出现质量问题。</w:t>
      </w:r>
    </w:p>
    <w:p w14:paraId="2FC3B8DC">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w:t>
      </w:r>
      <w:r>
        <w:rPr>
          <w:rFonts w:hint="eastAsia" w:ascii="Times New Roman" w:hAnsi="Times New Roman" w:eastAsia="方正兰亭黑简体" w:cs="Times New Roman"/>
          <w:color w:val="auto"/>
          <w:sz w:val="22"/>
          <w:szCs w:val="22"/>
          <w:highlight w:val="none"/>
          <w:lang w:val="en-US" w:eastAsia="zh-CN"/>
        </w:rPr>
        <w:t>履约验收：</w:t>
      </w:r>
      <w:r>
        <w:rPr>
          <w:rFonts w:hint="default" w:ascii="Times New Roman" w:hAnsi="Times New Roman" w:eastAsia="方正兰亭黑简体" w:cs="Times New Roman"/>
          <w:color w:val="auto"/>
          <w:sz w:val="22"/>
          <w:szCs w:val="22"/>
          <w:highlight w:val="none"/>
          <w:lang w:val="zh-CN" w:eastAsia="zh-CN"/>
        </w:rPr>
        <w:t>供应商提供施工记录证明材料，甲方进行油漆涂层厚度检测，达到漆膜干燥总厚度在 ‌260μm以上为合格。</w:t>
      </w:r>
    </w:p>
    <w:p w14:paraId="6966AFD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spacing w:line="24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25</w:t>
            </w:r>
          </w:p>
        </w:tc>
        <w:tc>
          <w:tcPr>
            <w:tcW w:w="3635" w:type="pct"/>
            <w:vAlign w:val="center"/>
          </w:tcPr>
          <w:p w14:paraId="4C942918">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hint="eastAsia" w:ascii="方正兰亭黑简体" w:hAnsi="方正兰亭黑简体" w:eastAsia="方正兰亭黑简体" w:cs="方正兰亭黑简体"/>
                <w:color w:val="auto"/>
                <w:sz w:val="20"/>
                <w:szCs w:val="20"/>
                <w:highlight w:val="none"/>
                <w:lang w:val="en-US" w:eastAsia="zh-CN"/>
              </w:rPr>
              <w:t>技术要求</w:t>
            </w:r>
            <w:r>
              <w:rPr>
                <w:rFonts w:hint="eastAsia" w:ascii="方正兰亭黑简体" w:hAnsi="方正兰亭黑简体" w:eastAsia="方正兰亭黑简体" w:cs="方正兰亭黑简体"/>
                <w:color w:val="auto"/>
                <w:sz w:val="20"/>
                <w:szCs w:val="20"/>
                <w:highlight w:val="none"/>
              </w:rPr>
              <w:t>的，每项扣</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393C2D9">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优秀（16～20分）：方案整体质量高，方案合理可行性强，响应措施及时高效，项目进度安排紧凑合理。</w:t>
            </w:r>
          </w:p>
          <w:p w14:paraId="36A6F9C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良好（11～15分）：方案整体质量较好，响应措施尚可，方案个别细节有待进一步完善。</w:t>
            </w:r>
          </w:p>
          <w:p w14:paraId="3EC9A56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spacing w:line="240" w:lineRule="auto"/>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HFBX2026059</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1"/>
        <w:gridCol w:w="3542"/>
        <w:gridCol w:w="3550"/>
        <w:gridCol w:w="2068"/>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812"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816" w:type="pct"/>
            <w:tcBorders>
              <w:top w:val="single" w:color="auto" w:sz="12" w:space="0"/>
              <w:bottom w:val="double" w:color="auto" w:sz="4" w:space="0"/>
              <w:right w:val="single" w:color="auto" w:sz="4" w:space="0"/>
            </w:tcBorders>
            <w:vAlign w:val="center"/>
          </w:tcPr>
          <w:p w14:paraId="697F2EE7">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rPr>
              <w:t>项目</w:t>
            </w:r>
            <w:r>
              <w:rPr>
                <w:rFonts w:hint="eastAsia" w:ascii="黑体" w:hAnsi="黑体" w:eastAsia="黑体"/>
                <w:b/>
                <w:color w:val="auto"/>
                <w:sz w:val="24"/>
                <w:highlight w:val="none"/>
                <w:lang w:val="en-US" w:eastAsia="zh-CN"/>
              </w:rPr>
              <w:t>总价</w:t>
            </w:r>
            <w:r>
              <w:rPr>
                <w:rFonts w:hint="eastAsia" w:ascii="黑体" w:hAnsi="黑体" w:eastAsia="黑体"/>
                <w:b/>
                <w:color w:val="auto"/>
                <w:sz w:val="24"/>
                <w:highlight w:val="none"/>
              </w:rPr>
              <w:t>（元）</w:t>
            </w:r>
          </w:p>
        </w:tc>
        <w:tc>
          <w:tcPr>
            <w:tcW w:w="1058"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812"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工属具检测辅助服务</w:t>
            </w:r>
          </w:p>
        </w:tc>
        <w:tc>
          <w:tcPr>
            <w:tcW w:w="1816" w:type="pct"/>
            <w:tcBorders>
              <w:top w:val="double" w:color="auto" w:sz="4" w:space="0"/>
              <w:bottom w:val="double" w:color="auto" w:sz="4" w:space="0"/>
              <w:right w:val="single" w:color="auto" w:sz="4" w:space="0"/>
            </w:tcBorders>
            <w:vAlign w:val="center"/>
          </w:tcPr>
          <w:p w14:paraId="58FFF829">
            <w:pPr>
              <w:tabs>
                <w:tab w:val="left" w:pos="7020"/>
              </w:tabs>
              <w:jc w:val="center"/>
              <w:rPr>
                <w:rFonts w:hint="eastAsia" w:ascii="黑体" w:hAnsi="黑体" w:eastAsia="黑体"/>
                <w:b/>
                <w:color w:val="auto"/>
                <w:sz w:val="24"/>
                <w:highlight w:val="none"/>
                <w:lang w:eastAsia="zh-CN"/>
              </w:rPr>
            </w:pPr>
          </w:p>
        </w:tc>
        <w:tc>
          <w:tcPr>
            <w:tcW w:w="1058" w:type="pct"/>
            <w:tcBorders>
              <w:top w:val="double" w:color="auto" w:sz="4" w:space="0"/>
              <w:left w:val="single" w:color="auto" w:sz="4" w:space="0"/>
              <w:bottom w:val="double" w:color="auto" w:sz="4" w:space="0"/>
              <w:right w:val="single" w:color="auto" w:sz="12" w:space="0"/>
            </w:tcBorders>
            <w:vAlign w:val="center"/>
          </w:tcPr>
          <w:p w14:paraId="3E1EF44A">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125"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874"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D8D392-E10E-40A8-B92B-EBDAB12C6A6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E45C7A0F-DA8C-436F-9689-913EAD1881E4}"/>
  </w:font>
  <w:font w:name="仿宋">
    <w:panose1 w:val="02010609060101010101"/>
    <w:charset w:val="86"/>
    <w:family w:val="modern"/>
    <w:pitch w:val="default"/>
    <w:sig w:usb0="800002BF" w:usb1="38CF7CFA" w:usb2="00000016" w:usb3="00000000" w:csb0="00040001" w:csb1="00000000"/>
    <w:embedRegular r:id="rId3" w:fontKey="{A98BC62E-AE7E-4749-BF9F-36152C345E42}"/>
  </w:font>
  <w:font w:name="方正兰亭黑简体">
    <w:panose1 w:val="02000000000000000000"/>
    <w:charset w:val="86"/>
    <w:family w:val="auto"/>
    <w:pitch w:val="default"/>
    <w:sig w:usb0="A00002BF" w:usb1="184F6CFA" w:usb2="00000012" w:usb3="00000000" w:csb0="00040001" w:csb1="00000000"/>
    <w:embedRegular r:id="rId4" w:fontKey="{E952E686-B185-4FBE-8E0F-3A5E89DADBDE}"/>
  </w:font>
  <w:font w:name="华文楷体">
    <w:panose1 w:val="02010600040101010101"/>
    <w:charset w:val="86"/>
    <w:family w:val="auto"/>
    <w:pitch w:val="default"/>
    <w:sig w:usb0="00000287" w:usb1="080F0000" w:usb2="00000000" w:usb3="00000000" w:csb0="0004009F" w:csb1="DFD70000"/>
    <w:embedRegular r:id="rId5" w:fontKey="{2D8657A9-C644-464F-8B61-F1966C0806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B7D7F96"/>
    <w:rsid w:val="13353790"/>
    <w:rsid w:val="13CA7CE9"/>
    <w:rsid w:val="157E6317"/>
    <w:rsid w:val="19F06820"/>
    <w:rsid w:val="1E596D71"/>
    <w:rsid w:val="24050543"/>
    <w:rsid w:val="26883166"/>
    <w:rsid w:val="269F2B16"/>
    <w:rsid w:val="2FB07FD7"/>
    <w:rsid w:val="317D7420"/>
    <w:rsid w:val="331671BF"/>
    <w:rsid w:val="33B3033B"/>
    <w:rsid w:val="33DD0342"/>
    <w:rsid w:val="34416E25"/>
    <w:rsid w:val="35906085"/>
    <w:rsid w:val="3A9852E0"/>
    <w:rsid w:val="3CFB44C3"/>
    <w:rsid w:val="3D6469F5"/>
    <w:rsid w:val="3EB44731"/>
    <w:rsid w:val="3FCC680A"/>
    <w:rsid w:val="3FDF48A5"/>
    <w:rsid w:val="40115E5B"/>
    <w:rsid w:val="40134FEB"/>
    <w:rsid w:val="41007DAA"/>
    <w:rsid w:val="438704B0"/>
    <w:rsid w:val="44E73D39"/>
    <w:rsid w:val="480A63EB"/>
    <w:rsid w:val="487158D1"/>
    <w:rsid w:val="488E3B06"/>
    <w:rsid w:val="48F25244"/>
    <w:rsid w:val="4CCA439B"/>
    <w:rsid w:val="4D0D4ED5"/>
    <w:rsid w:val="4EFD134C"/>
    <w:rsid w:val="51973FC8"/>
    <w:rsid w:val="53F3317F"/>
    <w:rsid w:val="543D6D6A"/>
    <w:rsid w:val="58C4549A"/>
    <w:rsid w:val="5AEA704B"/>
    <w:rsid w:val="5C376D46"/>
    <w:rsid w:val="5DF2219B"/>
    <w:rsid w:val="5E8720EC"/>
    <w:rsid w:val="5EE9209B"/>
    <w:rsid w:val="5F44384A"/>
    <w:rsid w:val="60BF2A71"/>
    <w:rsid w:val="63887FE1"/>
    <w:rsid w:val="63F161B6"/>
    <w:rsid w:val="654D0F67"/>
    <w:rsid w:val="66E533C4"/>
    <w:rsid w:val="681A51E0"/>
    <w:rsid w:val="695E3370"/>
    <w:rsid w:val="699D5EE7"/>
    <w:rsid w:val="6A660877"/>
    <w:rsid w:val="6B99520C"/>
    <w:rsid w:val="778A5BDE"/>
    <w:rsid w:val="77920B07"/>
    <w:rsid w:val="7A1F0BD5"/>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26053b1e-958e-4b4c-8c47-9d39645c11bc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4aa62ab9-d5f6-40c6-9312-d363a6c29e69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fc3309e7-3ba1-470f-9171-a596c8e66f3b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a5358686-201e-495a-9a7a-de1926357ee6</errorID>
      <errorWord>涉及到</errorWord>
      <group>L1_Grammar</group>
      <groupName>语法问题</groupName>
      <ability>L2_Grammar</ability>
      <abilityName>语法错误</abilityName>
      <candidateList>
        <item>涉及</item>
      </candidateList>
      <explain>该表达中的“涉及到”存在语义重复。【词汇解析】涉及：牵涉到，关联到。包含了“到”的意思。</explain>
      <paraID>50084EAE</paraID>
      <start>153</start>
      <end>156</end>
      <status>unmodified</status>
      <modifiedWord/>
      <trackRevisions>false</trackRevisions>
    </reviewItem>
    <reviewItem>
      <errorID>cd7f64d4-c8de-494a-9ea1-0fe9424e6562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54AC16C8</paraID>
      <start>0</start>
      <end>3</end>
      <status>unmodified</status>
      <modifiedWord/>
      <trackRevisions>false</trackRevisions>
    </reviewItem>
    <reviewItem>
      <errorID>d6fa317c-e4c7-4b19-9d86-d5fb4323ce32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5DAA86B7</paraID>
      <start>0</start>
      <end>3</end>
      <status>unmodified</status>
      <modifiedWord/>
      <trackRevisions>false</trackRevisions>
    </reviewItem>
    <reviewItem>
      <errorID>58d5dc15-47a8-46a2-930d-16c022bd262f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117CE500</paraID>
      <start>0</start>
      <end>3</end>
      <status>unmodified</status>
      <modifiedWord/>
      <trackRevisions>false</trackRevisions>
    </reviewItem>
    <reviewItem>
      <errorID>1c15d0fc-5d6e-4fef-8839-4306ecb31fde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564DBC09</paraID>
      <start>0</start>
      <end>3</end>
      <status>unmodified</status>
      <modifiedWord/>
      <trackRevisions>false</trackRevisions>
    </reviewItem>
    <reviewItem>
      <errorID>0aeff140-04e6-4ba1-b8e6-814c21a16606</errorID>
      <errorWord>各</errorWord>
      <group>L1_Word</group>
      <groupName>字词问题</groupName>
      <ability>L2_Typo</ability>
      <abilityName>字词错误</abilityName>
      <candidateList>
        <item>各项</item>
      </candidateList>
      <explain/>
      <paraID>564DBC09</paraID>
      <start>32</start>
      <end>33</end>
      <status>unmodified</status>
      <modifiedWord/>
      <trackRevisions>false</trackRevisions>
    </reviewItem>
    <reviewItem>
      <errorID>0faf9a4d-a9f0-46c8-b9fb-f517d0b60a77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70BABD46</paraID>
      <start>0</start>
      <end>3</end>
      <status>unmodified</status>
      <modifiedWord/>
      <trackRevisions>false</trackRevisions>
    </reviewItem>
    <reviewItem>
      <errorID>fcf2d583-0448-4a48-88af-6c42348fd139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97F0126</paraID>
      <start>0</start>
      <end>3</end>
      <status>unmodified</status>
      <modifiedWord/>
      <trackRevisions>false</trackRevisions>
    </reviewItem>
    <reviewItem>
      <errorID>146c2cfe-bb33-4a02-91a9-019f92d6ce83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5af5a057-7874-4f1b-8339-a7c8c6a9c872</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1e5f800a-16bd-45f5-86a2-4970b1b9515f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2e851f51-5538-415b-98c6-f8747e71ea40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2c12ee73-439a-45b9-bbc6-e3191aeb01be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c1f49f25-5ef4-4889-b4de-b024b4a8efe5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47de3208-ea85-4122-b797-fca55994b71f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ce112b9c-d6d4-4d8d-9667-f8dbc7e07e35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305989-a68b-49e9-a651-d2cc8294533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2708</Words>
  <Characters>2934</Characters>
  <Lines>133</Lines>
  <Paragraphs>161</Paragraphs>
  <TotalTime>5</TotalTime>
  <ScaleCrop>false</ScaleCrop>
  <LinksUpToDate>false</LinksUpToDate>
  <CharactersWithSpaces>3139</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2026-07-01T15:24:13Z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eyJoZGlkIjoiZTQ4MzhlZGU2YmZhMGFjMjVlNGJjM2ZlYTdmZDg2NTAiLCJ1c2VySWQiOiIyOTgyOTgyOTEifQ==</vt:lpwstr>
  </property>
  <property fmtid="{D5CDD505-2E9C-101B-9397-08002B2CF9AE}" pid="4" name="ICV">
    <vt:lpwstr>2BFD31D5F3FB4B709DBC969892577809_12</vt:lpwstr>
  </property>
</Properties>
</file>