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BC6A561">
      <w:pPr>
        <w:jc w:val="center"/>
        <w:rPr>
          <w:rFonts w:hint="eastAsia" w:ascii="方正兰亭黑简体" w:hAnsi="方正兰亭黑简体" w:eastAsia="方正兰亭黑简体" w:cs="方正兰亭黑简体"/>
          <w:b/>
          <w:bCs/>
          <w:color w:val="auto"/>
          <w:sz w:val="28"/>
          <w:szCs w:val="36"/>
          <w:highlight w:val="none"/>
          <w:lang w:val="en-US" w:eastAsia="zh-CN"/>
        </w:rPr>
      </w:pPr>
    </w:p>
    <w:p w14:paraId="05F143FD">
      <w:pPr>
        <w:jc w:val="center"/>
        <w:rPr>
          <w:rFonts w:hint="eastAsia" w:ascii="方正兰亭黑简体" w:hAnsi="方正兰亭黑简体" w:eastAsia="方正兰亭黑简体" w:cs="方正兰亭黑简体"/>
          <w:b/>
          <w:bCs/>
          <w:color w:val="auto"/>
          <w:sz w:val="28"/>
          <w:szCs w:val="36"/>
          <w:highlight w:val="none"/>
          <w:lang w:val="en-US" w:eastAsia="zh-CN"/>
        </w:rPr>
      </w:pPr>
    </w:p>
    <w:p w14:paraId="7C29A4C3">
      <w:pPr>
        <w:jc w:val="center"/>
        <w:rPr>
          <w:rFonts w:hint="eastAsia" w:ascii="方正兰亭黑简体" w:hAnsi="方正兰亭黑简体" w:eastAsia="方正兰亭黑简体" w:cs="方正兰亭黑简体"/>
          <w:b/>
          <w:bCs/>
          <w:color w:val="auto"/>
          <w:sz w:val="28"/>
          <w:szCs w:val="36"/>
          <w:highlight w:val="none"/>
          <w:lang w:val="en-US" w:eastAsia="zh-CN"/>
        </w:rPr>
      </w:pPr>
    </w:p>
    <w:p w14:paraId="75D3CC17">
      <w:pPr>
        <w:jc w:val="center"/>
        <w:rPr>
          <w:rFonts w:hint="eastAsia" w:ascii="方正兰亭黑简体" w:hAnsi="方正兰亭黑简体" w:eastAsia="方正兰亭黑简体" w:cs="方正兰亭黑简体"/>
          <w:b/>
          <w:bCs/>
          <w:color w:val="auto"/>
          <w:sz w:val="28"/>
          <w:szCs w:val="28"/>
          <w:highlight w:val="none"/>
          <w:lang w:val="en-US" w:eastAsia="zh-CN"/>
        </w:rPr>
      </w:pPr>
      <w:r>
        <w:rPr>
          <w:rFonts w:hint="eastAsia" w:ascii="方正兰亭黑简体" w:hAnsi="方正兰亭黑简体" w:eastAsia="方正兰亭黑简体" w:cs="方正兰亭黑简体"/>
          <w:b/>
          <w:bCs/>
          <w:color w:val="auto"/>
          <w:sz w:val="28"/>
          <w:szCs w:val="28"/>
          <w:highlight w:val="none"/>
          <w:lang w:val="en-US" w:eastAsia="zh-CN"/>
        </w:rPr>
        <w:t>地铁短驳车租赁服务（第二次）</w:t>
      </w:r>
    </w:p>
    <w:p w14:paraId="3A6F3C59">
      <w:pPr>
        <w:jc w:val="center"/>
        <w:rPr>
          <w:rFonts w:hint="default" w:ascii="方正兰亭黑简体" w:hAnsi="方正兰亭黑简体" w:eastAsia="方正兰亭黑简体" w:cs="方正兰亭黑简体"/>
          <w:b/>
          <w:bCs/>
          <w:color w:val="auto"/>
          <w:sz w:val="28"/>
          <w:szCs w:val="28"/>
          <w:highlight w:val="none"/>
          <w:lang w:val="en-US" w:eastAsia="zh-CN"/>
        </w:rPr>
      </w:pPr>
      <w:r>
        <w:rPr>
          <w:rFonts w:hint="eastAsia" w:ascii="方正兰亭黑简体" w:hAnsi="方正兰亭黑简体" w:eastAsia="方正兰亭黑简体" w:cs="方正兰亭黑简体"/>
          <w:b/>
          <w:bCs/>
          <w:color w:val="auto"/>
          <w:sz w:val="28"/>
          <w:szCs w:val="28"/>
          <w:highlight w:val="none"/>
          <w:lang w:val="en-US" w:eastAsia="zh-CN"/>
        </w:rPr>
        <w:t>比选文件</w:t>
      </w:r>
    </w:p>
    <w:p w14:paraId="746E0DD5">
      <w:pPr>
        <w:jc w:val="center"/>
        <w:rPr>
          <w:rFonts w:hint="default" w:ascii="方正兰亭黑简体" w:hAnsi="方正兰亭黑简体" w:eastAsia="方正兰亭黑简体" w:cs="方正兰亭黑简体"/>
          <w:b/>
          <w:bCs/>
          <w:color w:val="auto"/>
          <w:sz w:val="28"/>
          <w:szCs w:val="28"/>
          <w:highlight w:val="none"/>
          <w:lang w:val="en-US" w:eastAsia="zh-CN"/>
        </w:rPr>
      </w:pPr>
    </w:p>
    <w:p w14:paraId="7F5B1C2D">
      <w:pPr>
        <w:jc w:val="center"/>
        <w:rPr>
          <w:rFonts w:hint="default" w:ascii="方正兰亭黑简体" w:hAnsi="方正兰亭黑简体" w:eastAsia="方正兰亭黑简体" w:cs="方正兰亭黑简体"/>
          <w:b/>
          <w:bCs/>
          <w:color w:val="auto"/>
          <w:sz w:val="28"/>
          <w:szCs w:val="28"/>
          <w:highlight w:val="none"/>
          <w:lang w:val="en-US" w:eastAsia="zh-CN"/>
        </w:rPr>
      </w:pPr>
    </w:p>
    <w:p w14:paraId="0B84232F">
      <w:pPr>
        <w:jc w:val="center"/>
        <w:rPr>
          <w:rFonts w:hint="default" w:ascii="方正兰亭黑简体" w:hAnsi="方正兰亭黑简体" w:eastAsia="方正兰亭黑简体" w:cs="方正兰亭黑简体"/>
          <w:b/>
          <w:bCs/>
          <w:color w:val="auto"/>
          <w:sz w:val="28"/>
          <w:szCs w:val="28"/>
          <w:highlight w:val="none"/>
          <w:lang w:val="en-US" w:eastAsia="zh-CN"/>
        </w:rPr>
      </w:pPr>
      <w:r>
        <w:rPr>
          <w:rFonts w:hint="eastAsia" w:ascii="方正兰亭黑简体" w:hAnsi="方正兰亭黑简体" w:eastAsia="方正兰亭黑简体" w:cs="方正兰亭黑简体"/>
          <w:b/>
          <w:bCs/>
          <w:color w:val="auto"/>
          <w:sz w:val="28"/>
          <w:szCs w:val="28"/>
          <w:highlight w:val="none"/>
          <w:lang w:val="en-US" w:eastAsia="zh-CN"/>
        </w:rPr>
        <w:t>项目编号：</w:t>
      </w:r>
      <w:r>
        <w:rPr>
          <w:rFonts w:hint="eastAsia" w:ascii="方正兰亭黑简体" w:hAnsi="方正兰亭黑简体" w:eastAsia="方正兰亭黑简体" w:cs="方正兰亭黑简体"/>
          <w:color w:val="auto"/>
          <w:sz w:val="28"/>
          <w:szCs w:val="28"/>
          <w:highlight w:val="none"/>
          <w:lang w:val="en-US" w:eastAsia="zh-CN"/>
        </w:rPr>
        <w:t>HFBX2026017</w:t>
      </w:r>
    </w:p>
    <w:p w14:paraId="43E1A511">
      <w:pPr>
        <w:jc w:val="center"/>
        <w:rPr>
          <w:rFonts w:hint="default" w:ascii="方正兰亭黑简体" w:hAnsi="方正兰亭黑简体" w:eastAsia="方正兰亭黑简体" w:cs="方正兰亭黑简体"/>
          <w:b/>
          <w:bCs/>
          <w:color w:val="auto"/>
          <w:sz w:val="24"/>
          <w:szCs w:val="32"/>
          <w:highlight w:val="none"/>
          <w:lang w:val="en-US" w:eastAsia="zh-CN"/>
        </w:rPr>
      </w:pPr>
    </w:p>
    <w:p w14:paraId="564BAADD">
      <w:pPr>
        <w:jc w:val="center"/>
        <w:rPr>
          <w:rFonts w:hint="default" w:ascii="方正兰亭黑简体" w:hAnsi="方正兰亭黑简体" w:eastAsia="方正兰亭黑简体" w:cs="方正兰亭黑简体"/>
          <w:b/>
          <w:bCs/>
          <w:color w:val="auto"/>
          <w:sz w:val="24"/>
          <w:szCs w:val="32"/>
          <w:highlight w:val="none"/>
          <w:lang w:val="en-US" w:eastAsia="zh-CN"/>
        </w:rPr>
      </w:pPr>
    </w:p>
    <w:p w14:paraId="1CBECD87">
      <w:pPr>
        <w:jc w:val="center"/>
        <w:rPr>
          <w:rFonts w:hint="default" w:ascii="方正兰亭黑简体" w:hAnsi="方正兰亭黑简体" w:eastAsia="方正兰亭黑简体" w:cs="方正兰亭黑简体"/>
          <w:b/>
          <w:bCs/>
          <w:color w:val="auto"/>
          <w:sz w:val="24"/>
          <w:szCs w:val="32"/>
          <w:highlight w:val="none"/>
          <w:lang w:val="en-US" w:eastAsia="zh-CN"/>
        </w:rPr>
      </w:pPr>
    </w:p>
    <w:p w14:paraId="77AEA8DD">
      <w:pPr>
        <w:jc w:val="center"/>
        <w:rPr>
          <w:rFonts w:hint="default" w:ascii="方正兰亭黑简体" w:hAnsi="方正兰亭黑简体" w:eastAsia="方正兰亭黑简体" w:cs="方正兰亭黑简体"/>
          <w:b/>
          <w:bCs/>
          <w:color w:val="auto"/>
          <w:sz w:val="24"/>
          <w:szCs w:val="32"/>
          <w:highlight w:val="none"/>
          <w:lang w:val="en-US" w:eastAsia="zh-CN"/>
        </w:rPr>
      </w:pPr>
    </w:p>
    <w:p w14:paraId="6AFBFE6C">
      <w:pPr>
        <w:jc w:val="center"/>
        <w:rPr>
          <w:rFonts w:hint="default" w:ascii="方正兰亭黑简体" w:hAnsi="方正兰亭黑简体" w:eastAsia="方正兰亭黑简体" w:cs="方正兰亭黑简体"/>
          <w:b/>
          <w:bCs/>
          <w:color w:val="auto"/>
          <w:sz w:val="24"/>
          <w:szCs w:val="32"/>
          <w:highlight w:val="none"/>
          <w:lang w:val="en-US" w:eastAsia="zh-CN"/>
        </w:rPr>
      </w:pPr>
    </w:p>
    <w:p w14:paraId="18A2CE08">
      <w:pPr>
        <w:jc w:val="center"/>
        <w:rPr>
          <w:rFonts w:hint="default" w:ascii="方正兰亭黑简体" w:hAnsi="方正兰亭黑简体" w:eastAsia="方正兰亭黑简体" w:cs="方正兰亭黑简体"/>
          <w:b/>
          <w:bCs/>
          <w:color w:val="auto"/>
          <w:sz w:val="24"/>
          <w:szCs w:val="32"/>
          <w:highlight w:val="none"/>
          <w:lang w:val="en-US" w:eastAsia="zh-CN"/>
        </w:rPr>
      </w:pPr>
    </w:p>
    <w:p w14:paraId="69F671C1">
      <w:pPr>
        <w:jc w:val="center"/>
        <w:rPr>
          <w:rFonts w:hint="default" w:ascii="方正兰亭黑简体" w:hAnsi="方正兰亭黑简体" w:eastAsia="方正兰亭黑简体" w:cs="方正兰亭黑简体"/>
          <w:b/>
          <w:bCs/>
          <w:color w:val="auto"/>
          <w:sz w:val="24"/>
          <w:szCs w:val="32"/>
          <w:highlight w:val="none"/>
          <w:lang w:val="en-US" w:eastAsia="zh-CN"/>
        </w:rPr>
      </w:pPr>
    </w:p>
    <w:p w14:paraId="0E2559B5">
      <w:pPr>
        <w:jc w:val="center"/>
        <w:rPr>
          <w:rFonts w:hint="eastAsia" w:ascii="方正兰亭黑简体" w:hAnsi="方正兰亭黑简体" w:eastAsia="方正兰亭黑简体" w:cs="方正兰亭黑简体"/>
          <w:b/>
          <w:bCs/>
          <w:color w:val="auto"/>
          <w:sz w:val="24"/>
          <w:szCs w:val="32"/>
          <w:highlight w:val="none"/>
          <w:lang w:val="en-US" w:eastAsia="zh-CN"/>
        </w:rPr>
      </w:pPr>
      <w:r>
        <w:rPr>
          <w:rFonts w:hint="eastAsia" w:ascii="方正兰亭黑简体" w:hAnsi="方正兰亭黑简体" w:eastAsia="方正兰亭黑简体" w:cs="方正兰亭黑简体"/>
          <w:b/>
          <w:bCs/>
          <w:color w:val="auto"/>
          <w:sz w:val="24"/>
          <w:szCs w:val="32"/>
          <w:highlight w:val="none"/>
          <w:lang w:val="en-US" w:eastAsia="zh-CN"/>
        </w:rPr>
        <w:t>采购人：上海海事大学</w:t>
      </w:r>
    </w:p>
    <w:p w14:paraId="64BB9721">
      <w:pPr>
        <w:jc w:val="center"/>
        <w:rPr>
          <w:rFonts w:hint="default" w:ascii="方正兰亭黑简体" w:hAnsi="方正兰亭黑简体" w:eastAsia="方正兰亭黑简体" w:cs="方正兰亭黑简体"/>
          <w:b/>
          <w:bCs/>
          <w:color w:val="auto"/>
          <w:sz w:val="24"/>
          <w:szCs w:val="32"/>
          <w:highlight w:val="none"/>
          <w:lang w:val="en-US" w:eastAsia="zh-CN"/>
        </w:rPr>
      </w:pPr>
      <w:r>
        <w:rPr>
          <w:rFonts w:hint="eastAsia" w:ascii="方正兰亭黑简体" w:hAnsi="方正兰亭黑简体" w:eastAsia="方正兰亭黑简体" w:cs="方正兰亭黑简体"/>
          <w:b/>
          <w:bCs/>
          <w:color w:val="auto"/>
          <w:sz w:val="24"/>
          <w:szCs w:val="32"/>
          <w:highlight w:val="none"/>
          <w:lang w:val="en-US" w:eastAsia="zh-CN"/>
        </w:rPr>
        <w:t>二〇二六年四月</w:t>
      </w:r>
    </w:p>
    <w:p w14:paraId="4258C5C0">
      <w:pPr>
        <w:rPr>
          <w:rFonts w:hint="eastAsia" w:ascii="方正兰亭黑简体" w:hAnsi="方正兰亭黑简体" w:eastAsia="方正兰亭黑简体" w:cs="方正兰亭黑简体"/>
          <w:b/>
          <w:bCs/>
          <w:color w:val="auto"/>
          <w:sz w:val="24"/>
          <w:szCs w:val="32"/>
          <w:highlight w:val="none"/>
          <w:lang w:val="en-US" w:eastAsia="zh-CN"/>
        </w:rPr>
      </w:pPr>
      <w:r>
        <w:rPr>
          <w:rFonts w:hint="eastAsia" w:ascii="方正兰亭黑简体" w:hAnsi="方正兰亭黑简体" w:eastAsia="方正兰亭黑简体" w:cs="方正兰亭黑简体"/>
          <w:b/>
          <w:bCs/>
          <w:color w:val="auto"/>
          <w:sz w:val="24"/>
          <w:szCs w:val="32"/>
          <w:highlight w:val="none"/>
          <w:lang w:val="en-US" w:eastAsia="zh-CN"/>
        </w:rPr>
        <w:br w:type="page"/>
      </w:r>
    </w:p>
    <w:p w14:paraId="5637B82A">
      <w:pPr>
        <w:jc w:val="center"/>
        <w:rPr>
          <w:rFonts w:hint="default" w:ascii="方正兰亭黑简体" w:hAnsi="方正兰亭黑简体" w:eastAsia="方正兰亭黑简体" w:cs="方正兰亭黑简体"/>
          <w:b/>
          <w:bCs/>
          <w:color w:val="auto"/>
          <w:sz w:val="24"/>
          <w:szCs w:val="32"/>
          <w:highlight w:val="none"/>
          <w:lang w:val="en-US" w:eastAsia="zh-CN"/>
        </w:rPr>
      </w:pPr>
      <w:r>
        <w:rPr>
          <w:rFonts w:hint="eastAsia" w:ascii="方正兰亭黑简体" w:hAnsi="方正兰亭黑简体" w:eastAsia="方正兰亭黑简体" w:cs="方正兰亭黑简体"/>
          <w:b/>
          <w:bCs/>
          <w:color w:val="auto"/>
          <w:sz w:val="24"/>
          <w:szCs w:val="32"/>
          <w:highlight w:val="none"/>
          <w:lang w:val="en-US" w:eastAsia="zh-CN"/>
        </w:rPr>
        <w:t>第一章 比选公告</w:t>
      </w:r>
    </w:p>
    <w:p w14:paraId="54E46ED1">
      <w:pPr>
        <w:ind w:firstLine="440" w:firstLineChars="200"/>
        <w:jc w:val="left"/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</w:pP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  <w:t>为公开、公正、公平地做好各项货物与服务的采购工作，进一步提高采购过程的透明度，有利于我校选择性价比更高的产品及更优质的服务，欢迎各供应单位本着务实友好的工作态度，积极参与，并做好成本核算，进行一次性报价。我校将本着公开、公正、公平的工作原则，对各供应单位所提供的资料，进行综合评议，择优选购。为确保本次比选采购项目采购工作的顺利开展，请各报价单位按照下述要求提供报价单等相关资料。具体要求及相关注意事项如下：</w:t>
      </w:r>
    </w:p>
    <w:p w14:paraId="5694D68E">
      <w:pPr>
        <w:jc w:val="left"/>
        <w:rPr>
          <w:rFonts w:hint="eastAsia" w:ascii="方正兰亭黑简体" w:hAnsi="方正兰亭黑简体" w:eastAsia="方正兰亭黑简体" w:cs="方正兰亭黑简体"/>
          <w:b/>
          <w:bCs/>
          <w:color w:val="auto"/>
          <w:sz w:val="22"/>
          <w:szCs w:val="28"/>
          <w:highlight w:val="none"/>
        </w:rPr>
      </w:pPr>
      <w:r>
        <w:rPr>
          <w:rFonts w:hint="eastAsia" w:ascii="方正兰亭黑简体" w:hAnsi="方正兰亭黑简体" w:eastAsia="方正兰亭黑简体" w:cs="方正兰亭黑简体"/>
          <w:b/>
          <w:bCs/>
          <w:color w:val="auto"/>
          <w:sz w:val="22"/>
          <w:szCs w:val="28"/>
          <w:highlight w:val="none"/>
        </w:rPr>
        <w:t>一、项目基本情况</w:t>
      </w:r>
    </w:p>
    <w:p w14:paraId="6ED9240D">
      <w:pPr>
        <w:jc w:val="left"/>
        <w:rPr>
          <w:rFonts w:hint="default" w:ascii="方正兰亭黑简体" w:hAnsi="方正兰亭黑简体" w:eastAsia="方正兰亭黑简体" w:cs="方正兰亭黑简体"/>
          <w:color w:val="auto"/>
          <w:sz w:val="22"/>
          <w:szCs w:val="28"/>
          <w:highlight w:val="none"/>
          <w:lang w:val="en-US" w:eastAsia="zh-CN"/>
        </w:rPr>
      </w:pP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  <w:t>项目编号：</w:t>
      </w: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  <w:lang w:val="en-US" w:eastAsia="zh-CN"/>
        </w:rPr>
        <w:t>HFBX2026017；</w:t>
      </w:r>
    </w:p>
    <w:p w14:paraId="40680CD9">
      <w:pPr>
        <w:jc w:val="left"/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</w:pP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  <w:t>项目名称：</w:t>
      </w: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  <w:lang w:val="en-US" w:eastAsia="zh-CN"/>
        </w:rPr>
        <w:t>地铁短驳车租赁服务；</w:t>
      </w:r>
    </w:p>
    <w:p w14:paraId="49D3EF92">
      <w:pPr>
        <w:jc w:val="left"/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  <w:lang w:eastAsia="zh-CN"/>
        </w:rPr>
      </w:pP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  <w:t>采购方式：</w:t>
      </w: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  <w:lang w:val="en-US" w:eastAsia="zh-CN"/>
        </w:rPr>
        <w:t>学校</w:t>
      </w: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  <w:t>比选</w:t>
      </w: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  <w:lang w:eastAsia="zh-CN"/>
        </w:rPr>
        <w:t>；</w:t>
      </w:r>
    </w:p>
    <w:p w14:paraId="11D14FFE">
      <w:pPr>
        <w:jc w:val="left"/>
        <w:rPr>
          <w:rFonts w:hint="default" w:ascii="方正兰亭黑简体" w:hAnsi="方正兰亭黑简体" w:eastAsia="方正兰亭黑简体" w:cs="方正兰亭黑简体"/>
          <w:color w:val="auto"/>
          <w:sz w:val="22"/>
          <w:szCs w:val="28"/>
          <w:highlight w:val="none"/>
          <w:lang w:val="en-US" w:eastAsia="zh-CN"/>
        </w:rPr>
      </w:pP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  <w:t>预算金额（亦是最高限价）：</w:t>
      </w: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  <w:lang w:val="en-US" w:eastAsia="zh-CN"/>
        </w:rPr>
        <w:t>人民币28.6万元；</w:t>
      </w:r>
    </w:p>
    <w:p w14:paraId="192657F0">
      <w:pPr>
        <w:jc w:val="left"/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</w:pP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  <w:t>采购需求</w:t>
      </w: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  <w:lang w:eastAsia="zh-CN"/>
        </w:rPr>
        <w:t>：</w:t>
      </w: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  <w:lang w:val="en-US" w:eastAsia="zh-CN"/>
        </w:rPr>
        <w:t>上海海事大学引入一家合格供应商，满足教职工上下班出行要求，需要在周边地铁站与上海海事大学（临港校区）之间短驳接送。</w:t>
      </w: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  <w:t>拟采取比选方式实施采购。（具体要求详见比选文件—第二</w:t>
      </w: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  <w:lang w:val="en-US" w:eastAsia="zh-CN"/>
        </w:rPr>
        <w:t>章节</w:t>
      </w: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  <w:t>采购需求）</w:t>
      </w:r>
    </w:p>
    <w:p w14:paraId="1FF0F83C">
      <w:pPr>
        <w:jc w:val="left"/>
        <w:rPr>
          <w:rFonts w:hint="default" w:ascii="方正兰亭黑简体" w:hAnsi="方正兰亭黑简体" w:eastAsia="方正兰亭黑简体" w:cs="方正兰亭黑简体"/>
          <w:color w:val="auto"/>
          <w:sz w:val="22"/>
          <w:szCs w:val="28"/>
          <w:highlight w:val="none"/>
          <w:lang w:val="en-US" w:eastAsia="zh-CN"/>
        </w:rPr>
      </w:pP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  <w:lang w:val="en-US" w:eastAsia="zh-CN"/>
        </w:rPr>
        <w:t>服务期限：本项目一次采购三年有效（2026年—2028年），首年服务期自2026年5月1日至2027年4月30日止。期满后，若我方教职工对服务方短驳班车服务满意（满意率≧85﹪），且价格保持不变，经双方协商，可续签下一年度合同。</w:t>
      </w:r>
    </w:p>
    <w:p w14:paraId="4E505020">
      <w:pPr>
        <w:jc w:val="left"/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  <w:lang w:val="en-US" w:eastAsia="zh-CN"/>
        </w:rPr>
      </w:pP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  <w:lang w:val="en-US" w:eastAsia="zh-CN"/>
        </w:rPr>
        <w:t>付款方式：服务费用按实际发生的班次和单价计算，每月结算一次。</w:t>
      </w:r>
    </w:p>
    <w:p w14:paraId="41BEA8D1">
      <w:pPr>
        <w:jc w:val="left"/>
        <w:rPr>
          <w:rFonts w:hint="eastAsia" w:ascii="方正兰亭黑简体" w:hAnsi="方正兰亭黑简体" w:eastAsia="方正兰亭黑简体" w:cs="方正兰亭黑简体"/>
          <w:b/>
          <w:bCs/>
          <w:color w:val="auto"/>
          <w:sz w:val="22"/>
          <w:szCs w:val="28"/>
          <w:highlight w:val="none"/>
          <w:lang w:val="en-US" w:eastAsia="zh-CN"/>
        </w:rPr>
      </w:pPr>
      <w:r>
        <w:rPr>
          <w:rFonts w:hint="eastAsia" w:ascii="方正兰亭黑简体" w:hAnsi="方正兰亭黑简体" w:eastAsia="方正兰亭黑简体" w:cs="方正兰亭黑简体"/>
          <w:b/>
          <w:bCs/>
          <w:color w:val="auto"/>
          <w:sz w:val="22"/>
          <w:szCs w:val="28"/>
          <w:highlight w:val="none"/>
          <w:lang w:val="en-US" w:eastAsia="zh-CN"/>
        </w:rPr>
        <w:t>二、报价人的资格要求</w:t>
      </w:r>
    </w:p>
    <w:p w14:paraId="022E8766">
      <w:pPr>
        <w:jc w:val="left"/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</w:pP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  <w:t>1、符合</w:t>
      </w: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  <w:lang w:eastAsia="zh-CN"/>
        </w:rPr>
        <w:t>《</w:t>
      </w: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  <w:lang w:val="en-US" w:eastAsia="zh-CN"/>
        </w:rPr>
        <w:t>中华人民共和国</w:t>
      </w: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  <w:t>政府采购法</w:t>
      </w: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  <w:lang w:eastAsia="zh-CN"/>
        </w:rPr>
        <w:t>》</w:t>
      </w: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  <w:t>第二十二条之供应商资格规定。</w:t>
      </w:r>
    </w:p>
    <w:p w14:paraId="6441606B">
      <w:pPr>
        <w:jc w:val="left"/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</w:pP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  <w:t>2、供应商未被列入“信用中国”网站（www.creditchina.gov.cn）失信执行人名单、重大税收违法案件当事人名单，和中国政府采购网（www.ccgp.gov.cn）政府严重违法失信行为记录名单的供应商。</w:t>
      </w:r>
    </w:p>
    <w:p w14:paraId="3A3BF07A">
      <w:pPr>
        <w:jc w:val="left"/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  <w:lang w:eastAsia="zh-CN"/>
        </w:rPr>
      </w:pP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  <w:lang w:val="en-US" w:eastAsia="zh-CN"/>
        </w:rPr>
        <w:t>3、</w:t>
      </w: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  <w:t>经营范围及拟投标货物（服务）符合本次比选要求，具有与本次投标货物（服务）相应的经营、代理（经销）资质，能全程参与并完成本项目，且具有较强的服务能力，以及畅通的问题响应机制和渠道等</w:t>
      </w: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  <w:lang w:eastAsia="zh-CN"/>
        </w:rPr>
        <w:t>。</w:t>
      </w:r>
    </w:p>
    <w:p w14:paraId="3710B34B">
      <w:pPr>
        <w:jc w:val="left"/>
        <w:rPr>
          <w:rFonts w:hint="eastAsia" w:ascii="方正兰亭黑简体" w:hAnsi="方正兰亭黑简体" w:eastAsia="方正兰亭黑简体" w:cs="方正兰亭黑简体"/>
          <w:b/>
          <w:bCs/>
          <w:color w:val="auto"/>
          <w:sz w:val="22"/>
          <w:szCs w:val="28"/>
          <w:highlight w:val="none"/>
          <w:lang w:val="en-US" w:eastAsia="zh-CN"/>
        </w:rPr>
      </w:pPr>
      <w:r>
        <w:rPr>
          <w:rFonts w:hint="eastAsia" w:ascii="方正兰亭黑简体" w:hAnsi="方正兰亭黑简体" w:eastAsia="方正兰亭黑简体" w:cs="方正兰亭黑简体"/>
          <w:b/>
          <w:bCs/>
          <w:color w:val="auto"/>
          <w:sz w:val="22"/>
          <w:szCs w:val="28"/>
          <w:highlight w:val="none"/>
        </w:rPr>
        <w:t>三、报名</w:t>
      </w:r>
      <w:r>
        <w:rPr>
          <w:rFonts w:hint="eastAsia" w:ascii="方正兰亭黑简体" w:hAnsi="方正兰亭黑简体" w:eastAsia="方正兰亭黑简体" w:cs="方正兰亭黑简体"/>
          <w:b/>
          <w:bCs/>
          <w:color w:val="auto"/>
          <w:sz w:val="22"/>
          <w:szCs w:val="28"/>
          <w:highlight w:val="none"/>
          <w:lang w:val="en-US" w:eastAsia="zh-CN"/>
        </w:rPr>
        <w:t>要求</w:t>
      </w:r>
    </w:p>
    <w:p w14:paraId="04917284">
      <w:pPr>
        <w:jc w:val="left"/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</w:pP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  <w:t>报名邮箱、时间：不单独组织报名，意向单位可在截止日期前递交响应文件。</w:t>
      </w:r>
    </w:p>
    <w:p w14:paraId="24CD6CDE">
      <w:pPr>
        <w:jc w:val="left"/>
        <w:rPr>
          <w:rFonts w:hint="eastAsia" w:ascii="方正兰亭黑简体" w:hAnsi="方正兰亭黑简体" w:eastAsia="方正兰亭黑简体" w:cs="方正兰亭黑简体"/>
          <w:b/>
          <w:bCs/>
          <w:color w:val="auto"/>
          <w:sz w:val="22"/>
          <w:szCs w:val="28"/>
          <w:highlight w:val="none"/>
        </w:rPr>
      </w:pPr>
      <w:r>
        <w:rPr>
          <w:rFonts w:hint="eastAsia" w:ascii="方正兰亭黑简体" w:hAnsi="方正兰亭黑简体" w:eastAsia="方正兰亭黑简体" w:cs="方正兰亭黑简体"/>
          <w:b/>
          <w:bCs/>
          <w:color w:val="auto"/>
          <w:sz w:val="22"/>
          <w:szCs w:val="28"/>
          <w:highlight w:val="none"/>
        </w:rPr>
        <w:t>四、获取采购文件</w:t>
      </w:r>
    </w:p>
    <w:p w14:paraId="5050A625">
      <w:pPr>
        <w:jc w:val="left"/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</w:pP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  <w:t>获取方式：公告页面</w:t>
      </w: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  <w:lang w:val="en-US" w:eastAsia="zh-CN"/>
        </w:rPr>
        <w:t>下方自行</w:t>
      </w: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  <w:t>下载</w:t>
      </w:r>
    </w:p>
    <w:p w14:paraId="4D745344">
      <w:pPr>
        <w:jc w:val="left"/>
        <w:rPr>
          <w:rFonts w:hint="eastAsia" w:ascii="方正兰亭黑简体" w:hAnsi="方正兰亭黑简体" w:eastAsia="方正兰亭黑简体" w:cs="方正兰亭黑简体"/>
          <w:b/>
          <w:bCs/>
          <w:color w:val="auto"/>
          <w:sz w:val="22"/>
          <w:szCs w:val="28"/>
          <w:highlight w:val="none"/>
        </w:rPr>
      </w:pPr>
      <w:bookmarkStart w:id="0" w:name="_Toc28359005"/>
      <w:r>
        <w:rPr>
          <w:rFonts w:hint="eastAsia" w:ascii="方正兰亭黑简体" w:hAnsi="方正兰亭黑简体" w:eastAsia="方正兰亭黑简体" w:cs="方正兰亭黑简体"/>
          <w:b/>
          <w:bCs/>
          <w:color w:val="auto"/>
          <w:sz w:val="22"/>
          <w:szCs w:val="28"/>
          <w:highlight w:val="none"/>
        </w:rPr>
        <w:t>五、现场踏勘</w:t>
      </w:r>
      <w:bookmarkEnd w:id="0"/>
    </w:p>
    <w:p w14:paraId="2C262256">
      <w:pPr>
        <w:jc w:val="left"/>
        <w:rPr>
          <w:rFonts w:hint="default" w:ascii="方正兰亭黑简体" w:hAnsi="方正兰亭黑简体" w:eastAsia="方正兰亭黑简体" w:cs="方正兰亭黑简体"/>
          <w:color w:val="auto"/>
          <w:sz w:val="22"/>
          <w:szCs w:val="28"/>
          <w:highlight w:val="none"/>
          <w:lang w:val="en-US"/>
        </w:rPr>
      </w:pP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  <w:lang w:val="en-US" w:eastAsia="zh-CN"/>
        </w:rPr>
        <w:t>不组织</w:t>
      </w:r>
    </w:p>
    <w:p w14:paraId="213C8131">
      <w:pPr>
        <w:jc w:val="left"/>
        <w:rPr>
          <w:rFonts w:hint="eastAsia" w:ascii="方正兰亭黑简体" w:hAnsi="方正兰亭黑简体" w:eastAsia="方正兰亭黑简体" w:cs="方正兰亭黑简体"/>
          <w:b/>
          <w:bCs/>
          <w:color w:val="auto"/>
          <w:sz w:val="22"/>
          <w:szCs w:val="28"/>
          <w:highlight w:val="none"/>
        </w:rPr>
      </w:pPr>
      <w:r>
        <w:rPr>
          <w:rFonts w:hint="eastAsia" w:ascii="方正兰亭黑简体" w:hAnsi="方正兰亭黑简体" w:eastAsia="方正兰亭黑简体" w:cs="方正兰亭黑简体"/>
          <w:b/>
          <w:bCs/>
          <w:color w:val="auto"/>
          <w:sz w:val="22"/>
          <w:szCs w:val="28"/>
          <w:highlight w:val="none"/>
          <w:lang w:val="en-US" w:eastAsia="zh-CN"/>
        </w:rPr>
        <w:t>六</w:t>
      </w:r>
      <w:r>
        <w:rPr>
          <w:rFonts w:hint="eastAsia" w:ascii="方正兰亭黑简体" w:hAnsi="方正兰亭黑简体" w:eastAsia="方正兰亭黑简体" w:cs="方正兰亭黑简体"/>
          <w:b/>
          <w:bCs/>
          <w:color w:val="auto"/>
          <w:sz w:val="22"/>
          <w:szCs w:val="28"/>
          <w:highlight w:val="none"/>
        </w:rPr>
        <w:t>、响应文件提交</w:t>
      </w:r>
    </w:p>
    <w:p w14:paraId="231DF229">
      <w:pPr>
        <w:jc w:val="left"/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  <w:lang w:eastAsia="zh-CN"/>
        </w:rPr>
      </w:pPr>
      <w:bookmarkStart w:id="1" w:name="_Toc35393795"/>
      <w:bookmarkEnd w:id="1"/>
      <w:bookmarkStart w:id="2" w:name="_Toc35393626"/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  <w:t>截止</w:t>
      </w:r>
      <w:bookmarkEnd w:id="2"/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  <w:t>时间：202</w:t>
      </w: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  <w:lang w:val="en-US" w:eastAsia="zh-CN"/>
        </w:rPr>
        <w:t>6</w:t>
      </w: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  <w:t>年</w:t>
      </w: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  <w:lang w:val="en-US" w:eastAsia="zh-CN"/>
        </w:rPr>
        <w:t>4</w:t>
      </w: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  <w:t>月</w:t>
      </w: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  <w:lang w:val="en-US" w:eastAsia="zh-CN"/>
        </w:rPr>
        <w:t>22</w:t>
      </w: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  <w:t>日</w:t>
      </w: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  <w:lang w:eastAsia="zh-CN"/>
        </w:rPr>
        <w:t>（</w:t>
      </w: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  <w:lang w:val="en-US" w:eastAsia="zh-CN"/>
        </w:rPr>
        <w:t>周三</w:t>
      </w: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  <w:lang w:eastAsia="zh-CN"/>
        </w:rPr>
        <w:t>）</w:t>
      </w: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  <w:lang w:val="en-US" w:eastAsia="zh-CN"/>
        </w:rPr>
        <w:t>上午11</w:t>
      </w: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  <w:t>时</w:t>
      </w: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  <w:lang w:val="en-US" w:eastAsia="zh-CN"/>
        </w:rPr>
        <w:t>00</w:t>
      </w: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  <w:t>分</w:t>
      </w:r>
    </w:p>
    <w:p w14:paraId="52EA2719">
      <w:pPr>
        <w:jc w:val="left"/>
        <w:rPr>
          <w:rFonts w:hint="default" w:ascii="方正兰亭黑简体" w:hAnsi="方正兰亭黑简体" w:eastAsia="方正兰亭黑简体" w:cs="方正兰亭黑简体"/>
          <w:color w:val="auto"/>
          <w:sz w:val="22"/>
          <w:szCs w:val="28"/>
          <w:highlight w:val="none"/>
          <w:lang w:val="en-US" w:eastAsia="zh-CN"/>
        </w:rPr>
      </w:pP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  <w:t>提交方式：发送盖章扫描版</w:t>
      </w: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  <w:lang w:val="en-US" w:eastAsia="zh-CN"/>
        </w:rPr>
        <w:t>PDF</w:t>
      </w: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  <w:t>到指定邮箱</w:t>
      </w: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  <w:lang w:eastAsia="zh-CN"/>
        </w:rPr>
        <w:t>，</w:t>
      </w: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  <w:lang w:val="en-US" w:eastAsia="zh-CN"/>
        </w:rPr>
        <w:t>邮件名称：项目编号+公司名称</w:t>
      </w:r>
    </w:p>
    <w:p w14:paraId="45738F2D">
      <w:pPr>
        <w:jc w:val="left"/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</w:pP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  <w:t>邮箱地址：</w:t>
      </w: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  <w:u w:val="none"/>
        </w:rPr>
        <w:t>quotation@shmtu.edu.cn</w:t>
      </w:r>
    </w:p>
    <w:p w14:paraId="7C16205B">
      <w:pPr>
        <w:jc w:val="left"/>
        <w:rPr>
          <w:rFonts w:hint="eastAsia" w:ascii="方正兰亭黑简体" w:hAnsi="方正兰亭黑简体" w:eastAsia="方正兰亭黑简体" w:cs="方正兰亭黑简体"/>
          <w:b/>
          <w:bCs/>
          <w:color w:val="auto"/>
          <w:sz w:val="22"/>
          <w:szCs w:val="28"/>
          <w:highlight w:val="none"/>
        </w:rPr>
      </w:pPr>
      <w:r>
        <w:rPr>
          <w:rFonts w:hint="eastAsia" w:ascii="方正兰亭黑简体" w:hAnsi="方正兰亭黑简体" w:eastAsia="方正兰亭黑简体" w:cs="方正兰亭黑简体"/>
          <w:b/>
          <w:bCs/>
          <w:color w:val="auto"/>
          <w:sz w:val="22"/>
          <w:szCs w:val="28"/>
          <w:highlight w:val="none"/>
          <w:lang w:val="en-US" w:eastAsia="zh-CN"/>
        </w:rPr>
        <w:t>七</w:t>
      </w:r>
      <w:r>
        <w:rPr>
          <w:rFonts w:hint="eastAsia" w:ascii="方正兰亭黑简体" w:hAnsi="方正兰亭黑简体" w:eastAsia="方正兰亭黑简体" w:cs="方正兰亭黑简体"/>
          <w:b/>
          <w:bCs/>
          <w:color w:val="auto"/>
          <w:sz w:val="22"/>
          <w:szCs w:val="28"/>
          <w:highlight w:val="none"/>
        </w:rPr>
        <w:t>、其他补充事宜</w:t>
      </w:r>
    </w:p>
    <w:p w14:paraId="3C9CF2D2">
      <w:pPr>
        <w:jc w:val="left"/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</w:pP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  <w:t>1.中标结果将通过发布比选公告的媒介进行公示，公示期</w:t>
      </w: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  <w:lang w:val="en-US" w:eastAsia="zh-CN"/>
        </w:rPr>
        <w:t>为1个工作日</w:t>
      </w: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  <w:t>，公示期内如对中标结果有异议可向校方提出书面质疑。</w:t>
      </w:r>
      <w:bookmarkStart w:id="3" w:name="_Toc35393627"/>
    </w:p>
    <w:p w14:paraId="17FB2B9E">
      <w:pPr>
        <w:jc w:val="left"/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  <w:lang w:eastAsia="zh-CN"/>
        </w:rPr>
      </w:pP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  <w:t>2.</w:t>
      </w:r>
      <w:bookmarkEnd w:id="3"/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  <w:t>凡对本次采购提出询问，请按以下方式联系</w:t>
      </w: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  <w:lang w:eastAsia="zh-CN"/>
        </w:rPr>
        <w:t>：</w:t>
      </w:r>
    </w:p>
    <w:p w14:paraId="53930B0F">
      <w:pPr>
        <w:jc w:val="left"/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  <w:lang w:val="en-US" w:eastAsia="zh-CN"/>
        </w:rPr>
      </w:pP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  <w:t>商务信息：</w:t>
      </w: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  <w:lang w:val="en-US" w:eastAsia="zh-CN"/>
        </w:rPr>
        <w:t>仲</w:t>
      </w: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  <w:t>老师021-3828470</w:t>
      </w: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  <w:lang w:val="en-US" w:eastAsia="zh-CN"/>
        </w:rPr>
        <w:t>7</w:t>
      </w:r>
    </w:p>
    <w:p w14:paraId="1CEF1F38">
      <w:pPr>
        <w:jc w:val="left"/>
        <w:rPr>
          <w:rFonts w:hint="default" w:ascii="方正兰亭黑简体" w:hAnsi="方正兰亭黑简体" w:eastAsia="方正兰亭黑简体" w:cs="方正兰亭黑简体"/>
          <w:color w:val="auto"/>
          <w:sz w:val="22"/>
          <w:szCs w:val="28"/>
          <w:highlight w:val="none"/>
          <w:lang w:val="en-US" w:eastAsia="zh-CN"/>
        </w:rPr>
      </w:pP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  <w:t>技术信息：</w:t>
      </w: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  <w:lang w:val="en-US" w:eastAsia="zh-CN"/>
        </w:rPr>
        <w:t>陈</w:t>
      </w: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  <w:t>老师021-</w:t>
      </w: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  <w:lang w:val="en-US" w:eastAsia="zh-CN"/>
        </w:rPr>
        <w:t>38283005</w:t>
      </w:r>
    </w:p>
    <w:p w14:paraId="2AA81B60">
      <w:pPr>
        <w:rPr>
          <w:rFonts w:hint="eastAsia" w:ascii="方正兰亭黑简体" w:hAnsi="方正兰亭黑简体" w:eastAsia="方正兰亭黑简体" w:cs="方正兰亭黑简体"/>
          <w:b/>
          <w:bCs/>
          <w:color w:val="auto"/>
          <w:sz w:val="24"/>
          <w:szCs w:val="32"/>
          <w:highlight w:val="none"/>
          <w:lang w:val="en-US" w:eastAsia="zh-CN"/>
        </w:rPr>
      </w:pPr>
      <w:r>
        <w:rPr>
          <w:rFonts w:hint="eastAsia" w:ascii="方正兰亭黑简体" w:hAnsi="方正兰亭黑简体" w:eastAsia="方正兰亭黑简体" w:cs="方正兰亭黑简体"/>
          <w:b/>
          <w:bCs/>
          <w:color w:val="auto"/>
          <w:sz w:val="24"/>
          <w:szCs w:val="32"/>
          <w:highlight w:val="none"/>
          <w:lang w:val="en-US" w:eastAsia="zh-CN"/>
        </w:rPr>
        <w:br w:type="page"/>
      </w:r>
    </w:p>
    <w:p w14:paraId="4B9C0EF3">
      <w:pPr>
        <w:jc w:val="center"/>
        <w:rPr>
          <w:rFonts w:hint="default" w:ascii="方正兰亭黑简体" w:hAnsi="方正兰亭黑简体" w:eastAsia="方正兰亭黑简体" w:cs="方正兰亭黑简体"/>
          <w:b/>
          <w:bCs/>
          <w:color w:val="auto"/>
          <w:sz w:val="24"/>
          <w:szCs w:val="32"/>
          <w:highlight w:val="none"/>
          <w:lang w:val="en-US" w:eastAsia="zh-CN"/>
        </w:rPr>
      </w:pPr>
      <w:r>
        <w:rPr>
          <w:rFonts w:hint="eastAsia" w:ascii="方正兰亭黑简体" w:hAnsi="方正兰亭黑简体" w:eastAsia="方正兰亭黑简体" w:cs="方正兰亭黑简体"/>
          <w:b/>
          <w:bCs/>
          <w:color w:val="auto"/>
          <w:sz w:val="24"/>
          <w:szCs w:val="32"/>
          <w:highlight w:val="none"/>
          <w:lang w:val="en-US" w:eastAsia="zh-CN"/>
        </w:rPr>
        <w:t>第二章 采购需求</w:t>
      </w:r>
    </w:p>
    <w:p w14:paraId="048E6BCB">
      <w:pPr>
        <w:spacing w:line="360" w:lineRule="auto"/>
        <w:rPr>
          <w:rFonts w:hint="default" w:ascii="Times New Roman" w:hAnsi="Times New Roman" w:eastAsia="方正兰亭黑简体" w:cs="Times New Roman"/>
          <w:b/>
          <w:bCs/>
          <w:color w:val="auto"/>
          <w:sz w:val="22"/>
          <w:szCs w:val="22"/>
          <w:highlight w:val="none"/>
          <w:lang w:val="en-US" w:eastAsia="zh-CN"/>
        </w:rPr>
      </w:pPr>
      <w:r>
        <w:rPr>
          <w:rFonts w:hint="default" w:ascii="Times New Roman" w:hAnsi="Times New Roman" w:eastAsia="方正兰亭黑简体" w:cs="Times New Roman"/>
          <w:b/>
          <w:bCs/>
          <w:color w:val="auto"/>
          <w:sz w:val="22"/>
          <w:szCs w:val="22"/>
          <w:highlight w:val="none"/>
          <w:lang w:val="en-US" w:eastAsia="zh-CN"/>
        </w:rPr>
        <w:t>一、</w:t>
      </w:r>
      <w:r>
        <w:rPr>
          <w:rFonts w:hint="eastAsia" w:ascii="Times New Roman" w:hAnsi="Times New Roman" w:eastAsia="方正兰亭黑简体" w:cs="Times New Roman"/>
          <w:b/>
          <w:bCs/>
          <w:color w:val="auto"/>
          <w:sz w:val="22"/>
          <w:szCs w:val="22"/>
          <w:highlight w:val="none"/>
          <w:lang w:val="en-US" w:eastAsia="zh-CN"/>
        </w:rPr>
        <w:t>服务概况</w:t>
      </w:r>
    </w:p>
    <w:p w14:paraId="1DFAA0FB">
      <w:pPr>
        <w:ind w:firstLine="440" w:firstLineChars="200"/>
        <w:jc w:val="left"/>
        <w:rPr>
          <w:rFonts w:hint="default" w:ascii="方正兰亭黑简体" w:hAnsi="方正兰亭黑简体" w:eastAsia="方正兰亭黑简体" w:cs="方正兰亭黑简体"/>
          <w:color w:val="auto"/>
          <w:sz w:val="22"/>
          <w:szCs w:val="28"/>
          <w:highlight w:val="none"/>
          <w:lang w:val="en-US" w:eastAsia="zh-CN"/>
        </w:rPr>
      </w:pP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  <w:t>本项目为上海海事大学临港校区教职工提供地铁短驳接送服务，需实现两条固定线路的定时定点短驳运输功能，满足教职工上下班出行需求；可根据校方实际工作需要调整线路，按乘员人数动态调度增派车辆；优先采用新能源车辆，保障运营期间无续航中断问题；建立完善的运营保障、安全保障及突发应急处置机制，确保短驳服务安全、准时、高效运行；同时满足校方对驾驶员服务规范、行车安全的管理要求，实现服务质量可监督、可追溯。</w:t>
      </w:r>
    </w:p>
    <w:p w14:paraId="2170B963">
      <w:pPr>
        <w:spacing w:line="360" w:lineRule="auto"/>
        <w:rPr>
          <w:rFonts w:hint="default" w:ascii="Times New Roman" w:hAnsi="Times New Roman" w:eastAsia="方正兰亭黑简体" w:cs="Times New Roman"/>
          <w:b/>
          <w:bCs/>
          <w:color w:val="auto"/>
          <w:sz w:val="22"/>
          <w:szCs w:val="22"/>
          <w:highlight w:val="none"/>
          <w:lang w:val="en-US" w:eastAsia="zh-CN"/>
        </w:rPr>
      </w:pPr>
      <w:bookmarkStart w:id="13" w:name="_GoBack"/>
      <w:bookmarkEnd w:id="13"/>
    </w:p>
    <w:p w14:paraId="409FA898">
      <w:pPr>
        <w:spacing w:line="360" w:lineRule="auto"/>
        <w:rPr>
          <w:rFonts w:hint="default" w:ascii="Times New Roman" w:hAnsi="Times New Roman" w:eastAsia="方正兰亭黑简体" w:cs="Times New Roman"/>
          <w:b/>
          <w:bCs/>
          <w:color w:val="auto"/>
          <w:sz w:val="22"/>
          <w:szCs w:val="22"/>
          <w:highlight w:val="none"/>
          <w:lang w:val="en-US" w:eastAsia="zh-CN"/>
        </w:rPr>
      </w:pPr>
      <w:r>
        <w:rPr>
          <w:rFonts w:hint="default" w:ascii="Times New Roman" w:hAnsi="Times New Roman" w:eastAsia="方正兰亭黑简体" w:cs="Times New Roman"/>
          <w:b/>
          <w:bCs/>
          <w:color w:val="auto"/>
          <w:sz w:val="22"/>
          <w:szCs w:val="22"/>
          <w:highlight w:val="none"/>
          <w:lang w:val="en-US" w:eastAsia="zh-CN"/>
        </w:rPr>
        <w:t>二、</w:t>
      </w:r>
      <w:r>
        <w:rPr>
          <w:rFonts w:hint="eastAsia" w:ascii="Times New Roman" w:hAnsi="Times New Roman" w:eastAsia="方正兰亭黑简体" w:cs="Times New Roman"/>
          <w:b/>
          <w:bCs/>
          <w:color w:val="auto"/>
          <w:sz w:val="22"/>
          <w:szCs w:val="22"/>
          <w:highlight w:val="none"/>
          <w:lang w:val="en-US" w:eastAsia="zh-CN"/>
        </w:rPr>
        <w:t>技术要求</w:t>
      </w:r>
    </w:p>
    <w:p w14:paraId="79FDE64D">
      <w:pPr>
        <w:ind w:left="0" w:leftChars="0" w:firstLine="0" w:firstLineChars="0"/>
        <w:jc w:val="left"/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</w:pP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  <w:lang w:val="en-US" w:eastAsia="zh-CN"/>
        </w:rPr>
        <w:t>1、</w:t>
      </w: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  <w:t>应遵循的相关国家标准、行业标准、地方标准等标准、规范</w:t>
      </w:r>
    </w:p>
    <w:p w14:paraId="6E06AEE6">
      <w:pPr>
        <w:ind w:left="0" w:leftChars="0" w:firstLine="0" w:firstLineChars="0"/>
        <w:jc w:val="left"/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  <w:lang w:eastAsia="zh-CN"/>
        </w:rPr>
      </w:pP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  <w:t>《中华人民共和国道路交通安全法》</w:t>
      </w:r>
    </w:p>
    <w:p w14:paraId="1E996F52">
      <w:pPr>
        <w:ind w:left="0" w:leftChars="0" w:firstLine="0" w:firstLineChars="0"/>
        <w:jc w:val="left"/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</w:pP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  <w:lang w:val="en-US" w:eastAsia="zh-CN"/>
        </w:rPr>
        <w:t>2、</w:t>
      </w: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  <w:t>后续运营维护、升级更新、备品备件等要求</w:t>
      </w:r>
    </w:p>
    <w:p w14:paraId="18A123FA">
      <w:pPr>
        <w:ind w:left="0" w:leftChars="0" w:firstLine="0" w:firstLineChars="0"/>
        <w:jc w:val="left"/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</w:pP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  <w:lang w:eastAsia="zh-CN"/>
        </w:rPr>
        <w:t>（</w:t>
      </w: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  <w:lang w:val="en-US" w:eastAsia="zh-CN"/>
        </w:rPr>
        <w:t>1</w:t>
      </w: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  <w:lang w:eastAsia="zh-CN"/>
        </w:rPr>
        <w:t>）</w:t>
      </w: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  <w:t>车辆运营维护：服务期间车辆的燃油、充电、维修、保养、停车等所有费用由供应商全额承担；供应商需建立车辆定期维修保养制度，确保车辆性能始终符合国家及行业标准，车容车貌整洁卫生；车辆出现故障时，供应商需立即调配备用车辆，保障短驳服务不中断。</w:t>
      </w:r>
    </w:p>
    <w:p w14:paraId="4A47DCF0">
      <w:pPr>
        <w:ind w:left="0" w:leftChars="0" w:firstLine="0" w:firstLineChars="0"/>
        <w:jc w:val="left"/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</w:pP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  <w:lang w:eastAsia="zh-CN"/>
        </w:rPr>
        <w:t>（</w:t>
      </w: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  <w:lang w:val="en-US" w:eastAsia="zh-CN"/>
        </w:rPr>
        <w:t>2</w:t>
      </w: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  <w:lang w:eastAsia="zh-CN"/>
        </w:rPr>
        <w:t>）</w:t>
      </w: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  <w:t>人员管理维护：供应商承担驾驶员工资、社保、加班费等所有费用，定期对驾驶员开展交通安全、服务规范、应急处置等培训，确保驾驶员资质符合要求、服务行为规范。</w:t>
      </w:r>
    </w:p>
    <w:p w14:paraId="2F06271D">
      <w:pPr>
        <w:ind w:left="0" w:leftChars="0" w:firstLine="0" w:firstLineChars="0"/>
        <w:jc w:val="left"/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</w:pP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  <w:lang w:eastAsia="zh-CN"/>
        </w:rPr>
        <w:t>（</w:t>
      </w: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  <w:lang w:val="en-US" w:eastAsia="zh-CN"/>
        </w:rPr>
        <w:t>3</w:t>
      </w: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  <w:lang w:eastAsia="zh-CN"/>
        </w:rPr>
        <w:t>）</w:t>
      </w: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  <w:t>服务升级更新：供应商需根据校方工作需求及教职工反馈，及时优化服务方案（如线路调整、车辆调度、服务流程等）。</w:t>
      </w:r>
    </w:p>
    <w:p w14:paraId="144BDEF3">
      <w:pPr>
        <w:ind w:left="0" w:leftChars="0" w:firstLine="0" w:firstLineChars="0"/>
        <w:jc w:val="left"/>
        <w:rPr>
          <w:rFonts w:hint="eastAsia" w:ascii="Times New Roman" w:hAnsi="Times New Roman" w:eastAsia="方正兰亭黑简体" w:cs="Times New Roman"/>
          <w:b/>
          <w:bCs/>
          <w:color w:val="auto"/>
          <w:sz w:val="22"/>
          <w:szCs w:val="22"/>
          <w:highlight w:val="none"/>
          <w:lang w:val="en-US" w:eastAsia="zh-CN"/>
        </w:rPr>
      </w:pP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  <w:lang w:eastAsia="zh-CN"/>
        </w:rPr>
        <w:t>（</w:t>
      </w: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  <w:lang w:val="en-US" w:eastAsia="zh-CN"/>
        </w:rPr>
        <w:t>4</w:t>
      </w: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  <w:lang w:eastAsia="zh-CN"/>
        </w:rPr>
        <w:t>）</w:t>
      </w: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  <w:t>应急备品保障：供应商需配备充足的车辆应急维修备件、防疫物资、乘车应急用品等，确保突发情况时能快速处置。</w:t>
      </w:r>
    </w:p>
    <w:p w14:paraId="6D1218A6">
      <w:pPr>
        <w:rPr>
          <w:rFonts w:hint="eastAsia" w:ascii="Times New Roman" w:hAnsi="Times New Roman" w:eastAsia="方正兰亭黑简体" w:cs="Times New Roman"/>
          <w:b/>
          <w:bCs/>
          <w:color w:val="auto"/>
          <w:sz w:val="22"/>
          <w:szCs w:val="22"/>
          <w:highlight w:val="none"/>
          <w:lang w:val="en-US" w:eastAsia="zh-CN"/>
        </w:rPr>
      </w:pPr>
      <w:r>
        <w:rPr>
          <w:rFonts w:hint="eastAsia" w:ascii="Times New Roman" w:hAnsi="Times New Roman" w:eastAsia="方正兰亭黑简体" w:cs="Times New Roman"/>
          <w:b/>
          <w:bCs/>
          <w:color w:val="auto"/>
          <w:sz w:val="22"/>
          <w:szCs w:val="22"/>
          <w:highlight w:val="none"/>
          <w:lang w:val="en-US" w:eastAsia="zh-CN"/>
        </w:rPr>
        <w:br w:type="page"/>
      </w:r>
    </w:p>
    <w:p w14:paraId="64C4C65F">
      <w:pPr>
        <w:rPr>
          <w:rFonts w:hint="default" w:ascii="Times New Roman" w:hAnsi="Times New Roman" w:eastAsia="方正兰亭黑简体" w:cs="Times New Roman"/>
          <w:b/>
          <w:bCs/>
          <w:color w:val="auto"/>
          <w:sz w:val="22"/>
          <w:szCs w:val="22"/>
          <w:highlight w:val="none"/>
          <w:lang w:val="en-US" w:eastAsia="zh-CN"/>
        </w:rPr>
      </w:pPr>
      <w:r>
        <w:rPr>
          <w:rFonts w:hint="eastAsia" w:ascii="Times New Roman" w:hAnsi="Times New Roman" w:eastAsia="方正兰亭黑简体" w:cs="Times New Roman"/>
          <w:b/>
          <w:bCs/>
          <w:color w:val="auto"/>
          <w:sz w:val="22"/>
          <w:szCs w:val="22"/>
          <w:highlight w:val="none"/>
          <w:lang w:val="en-US" w:eastAsia="zh-CN"/>
        </w:rPr>
        <w:t>三、行车线路及时间</w:t>
      </w:r>
    </w:p>
    <w:tbl>
      <w:tblPr>
        <w:tblStyle w:val="15"/>
        <w:tblW w:w="4998" w:type="pct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45"/>
        <w:gridCol w:w="1610"/>
        <w:gridCol w:w="2098"/>
        <w:gridCol w:w="2772"/>
        <w:gridCol w:w="2133"/>
      </w:tblGrid>
      <w:tr w14:paraId="35CC214C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</w:tblPrEx>
        <w:trPr>
          <w:jc w:val="center"/>
        </w:trPr>
        <w:tc>
          <w:tcPr>
            <w:tcW w:w="675" w:type="pct"/>
          </w:tcPr>
          <w:p w14:paraId="1167D4BE">
            <w:pPr>
              <w:adjustRightInd w:val="0"/>
              <w:spacing w:line="360" w:lineRule="atLeast"/>
              <w:jc w:val="center"/>
              <w:textAlignment w:val="baseline"/>
              <w:rPr>
                <w:rFonts w:hint="eastAsia" w:ascii="方正兰亭黑简体" w:hAnsi="方正兰亭黑简体" w:eastAsia="方正兰亭黑简体" w:cs="方正兰亭黑简体"/>
                <w:b/>
                <w:color w:val="auto"/>
                <w:kern w:val="0"/>
                <w:sz w:val="22"/>
                <w:szCs w:val="22"/>
                <w:highlight w:val="none"/>
              </w:rPr>
            </w:pPr>
            <w:r>
              <w:rPr>
                <w:rFonts w:hint="eastAsia" w:ascii="方正兰亭黑简体" w:hAnsi="方正兰亭黑简体" w:eastAsia="方正兰亭黑简体" w:cs="方正兰亭黑简体"/>
                <w:b/>
                <w:color w:val="auto"/>
                <w:kern w:val="0"/>
                <w:sz w:val="22"/>
                <w:szCs w:val="22"/>
                <w:highlight w:val="none"/>
              </w:rPr>
              <w:t>线路</w:t>
            </w:r>
          </w:p>
        </w:tc>
        <w:tc>
          <w:tcPr>
            <w:tcW w:w="808" w:type="pct"/>
          </w:tcPr>
          <w:p w14:paraId="6F03CB1F">
            <w:pPr>
              <w:adjustRightInd w:val="0"/>
              <w:spacing w:line="360" w:lineRule="atLeast"/>
              <w:jc w:val="center"/>
              <w:textAlignment w:val="baseline"/>
              <w:rPr>
                <w:rFonts w:hint="eastAsia" w:ascii="方正兰亭黑简体" w:hAnsi="方正兰亭黑简体" w:eastAsia="方正兰亭黑简体" w:cs="方正兰亭黑简体"/>
                <w:b/>
                <w:color w:val="auto"/>
                <w:kern w:val="0"/>
                <w:sz w:val="22"/>
                <w:szCs w:val="22"/>
                <w:highlight w:val="none"/>
              </w:rPr>
            </w:pPr>
            <w:r>
              <w:rPr>
                <w:rFonts w:hint="eastAsia" w:ascii="方正兰亭黑简体" w:hAnsi="方正兰亭黑简体" w:eastAsia="方正兰亭黑简体" w:cs="方正兰亭黑简体"/>
                <w:b/>
                <w:color w:val="auto"/>
                <w:kern w:val="0"/>
                <w:sz w:val="22"/>
                <w:szCs w:val="22"/>
                <w:highlight w:val="none"/>
              </w:rPr>
              <w:t>时间</w:t>
            </w:r>
          </w:p>
        </w:tc>
        <w:tc>
          <w:tcPr>
            <w:tcW w:w="1053" w:type="pct"/>
          </w:tcPr>
          <w:p w14:paraId="41693502">
            <w:pPr>
              <w:adjustRightInd w:val="0"/>
              <w:spacing w:line="360" w:lineRule="atLeast"/>
              <w:jc w:val="center"/>
              <w:textAlignment w:val="baseline"/>
              <w:rPr>
                <w:rFonts w:hint="eastAsia" w:ascii="方正兰亭黑简体" w:hAnsi="方正兰亭黑简体" w:eastAsia="方正兰亭黑简体" w:cs="方正兰亭黑简体"/>
                <w:b/>
                <w:color w:val="auto"/>
                <w:kern w:val="0"/>
                <w:sz w:val="22"/>
                <w:szCs w:val="22"/>
                <w:highlight w:val="none"/>
              </w:rPr>
            </w:pPr>
            <w:r>
              <w:rPr>
                <w:rFonts w:hint="eastAsia" w:ascii="方正兰亭黑简体" w:hAnsi="方正兰亭黑简体" w:eastAsia="方正兰亭黑简体" w:cs="方正兰亭黑简体"/>
                <w:b/>
                <w:color w:val="auto"/>
                <w:kern w:val="0"/>
                <w:sz w:val="22"/>
                <w:szCs w:val="22"/>
                <w:highlight w:val="none"/>
              </w:rPr>
              <w:t>起点</w:t>
            </w:r>
          </w:p>
        </w:tc>
        <w:tc>
          <w:tcPr>
            <w:tcW w:w="1391" w:type="pct"/>
          </w:tcPr>
          <w:p w14:paraId="6F351C91">
            <w:pPr>
              <w:adjustRightInd w:val="0"/>
              <w:spacing w:line="360" w:lineRule="atLeast"/>
              <w:jc w:val="center"/>
              <w:textAlignment w:val="baseline"/>
              <w:rPr>
                <w:rFonts w:hint="eastAsia" w:ascii="方正兰亭黑简体" w:hAnsi="方正兰亭黑简体" w:eastAsia="方正兰亭黑简体" w:cs="方正兰亭黑简体"/>
                <w:b/>
                <w:bCs/>
                <w:color w:val="auto"/>
                <w:kern w:val="0"/>
                <w:sz w:val="22"/>
                <w:szCs w:val="22"/>
                <w:highlight w:val="none"/>
              </w:rPr>
            </w:pPr>
            <w:r>
              <w:rPr>
                <w:rFonts w:hint="eastAsia" w:ascii="方正兰亭黑简体" w:hAnsi="方正兰亭黑简体" w:eastAsia="方正兰亭黑简体" w:cs="方正兰亭黑简体"/>
                <w:b/>
                <w:color w:val="auto"/>
                <w:kern w:val="0"/>
                <w:sz w:val="22"/>
                <w:szCs w:val="22"/>
                <w:highlight w:val="none"/>
              </w:rPr>
              <w:t>校内途径</w:t>
            </w:r>
          </w:p>
        </w:tc>
        <w:tc>
          <w:tcPr>
            <w:tcW w:w="1070" w:type="pct"/>
          </w:tcPr>
          <w:p w14:paraId="0C68EE33">
            <w:pPr>
              <w:adjustRightInd w:val="0"/>
              <w:spacing w:line="360" w:lineRule="atLeast"/>
              <w:jc w:val="center"/>
              <w:textAlignment w:val="baseline"/>
              <w:rPr>
                <w:rFonts w:hint="eastAsia" w:ascii="方正兰亭黑简体" w:hAnsi="方正兰亭黑简体" w:eastAsia="方正兰亭黑简体" w:cs="方正兰亭黑简体"/>
                <w:b/>
                <w:color w:val="auto"/>
                <w:kern w:val="0"/>
                <w:sz w:val="22"/>
                <w:szCs w:val="22"/>
                <w:highlight w:val="none"/>
              </w:rPr>
            </w:pPr>
            <w:r>
              <w:rPr>
                <w:rFonts w:hint="eastAsia" w:ascii="方正兰亭黑简体" w:hAnsi="方正兰亭黑简体" w:eastAsia="方正兰亭黑简体" w:cs="方正兰亭黑简体"/>
                <w:b/>
                <w:color w:val="auto"/>
                <w:kern w:val="0"/>
                <w:sz w:val="22"/>
                <w:szCs w:val="22"/>
                <w:highlight w:val="none"/>
              </w:rPr>
              <w:t>终点</w:t>
            </w:r>
          </w:p>
        </w:tc>
      </w:tr>
      <w:tr w14:paraId="686F3E3F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75" w:type="pct"/>
            <w:vMerge w:val="restart"/>
            <w:vAlign w:val="center"/>
          </w:tcPr>
          <w:p w14:paraId="1DCB639D">
            <w:pPr>
              <w:adjustRightInd w:val="0"/>
              <w:spacing w:line="360" w:lineRule="atLeast"/>
              <w:jc w:val="center"/>
              <w:textAlignment w:val="baseline"/>
              <w:rPr>
                <w:rFonts w:hint="eastAsia" w:ascii="方正兰亭黑简体" w:hAnsi="方正兰亭黑简体" w:eastAsia="方正兰亭黑简体" w:cs="方正兰亭黑简体"/>
                <w:b/>
                <w:bCs/>
                <w:color w:val="auto"/>
                <w:kern w:val="0"/>
                <w:sz w:val="22"/>
                <w:szCs w:val="22"/>
                <w:highlight w:val="none"/>
              </w:rPr>
            </w:pPr>
            <w:r>
              <w:rPr>
                <w:rFonts w:hint="eastAsia" w:ascii="方正兰亭黑简体" w:hAnsi="方正兰亭黑简体" w:eastAsia="方正兰亭黑简体" w:cs="方正兰亭黑简体"/>
                <w:b/>
                <w:bCs/>
                <w:color w:val="auto"/>
                <w:kern w:val="0"/>
                <w:sz w:val="22"/>
                <w:szCs w:val="22"/>
                <w:highlight w:val="none"/>
              </w:rPr>
              <w:t>线路一</w:t>
            </w:r>
          </w:p>
          <w:p w14:paraId="3F2F8976">
            <w:pPr>
              <w:adjustRightInd w:val="0"/>
              <w:spacing w:line="360" w:lineRule="atLeast"/>
              <w:jc w:val="center"/>
              <w:textAlignment w:val="baseline"/>
              <w:rPr>
                <w:rFonts w:hint="eastAsia" w:ascii="方正兰亭黑简体" w:hAnsi="方正兰亭黑简体" w:eastAsia="方正兰亭黑简体" w:cs="方正兰亭黑简体"/>
                <w:color w:val="auto"/>
                <w:kern w:val="0"/>
                <w:sz w:val="22"/>
                <w:szCs w:val="22"/>
                <w:highlight w:val="none"/>
              </w:rPr>
            </w:pPr>
            <w:r>
              <w:rPr>
                <w:rFonts w:hint="eastAsia" w:ascii="方正兰亭黑简体" w:hAnsi="方正兰亭黑简体" w:eastAsia="方正兰亭黑简体" w:cs="方正兰亭黑简体"/>
                <w:color w:val="auto"/>
                <w:kern w:val="0"/>
                <w:sz w:val="22"/>
                <w:szCs w:val="22"/>
                <w:highlight w:val="none"/>
              </w:rPr>
              <w:t>（周一至周五运行）</w:t>
            </w:r>
          </w:p>
        </w:tc>
        <w:tc>
          <w:tcPr>
            <w:tcW w:w="808" w:type="pct"/>
            <w:vAlign w:val="center"/>
          </w:tcPr>
          <w:p w14:paraId="426582B3">
            <w:pPr>
              <w:adjustRightInd w:val="0"/>
              <w:spacing w:line="360" w:lineRule="atLeast"/>
              <w:jc w:val="center"/>
              <w:textAlignment w:val="baseline"/>
              <w:rPr>
                <w:rFonts w:hint="eastAsia" w:ascii="方正兰亭黑简体" w:hAnsi="方正兰亭黑简体" w:eastAsia="方正兰亭黑简体" w:cs="方正兰亭黑简体"/>
                <w:color w:val="auto"/>
                <w:kern w:val="0"/>
                <w:sz w:val="22"/>
                <w:szCs w:val="22"/>
                <w:highlight w:val="none"/>
              </w:rPr>
            </w:pPr>
            <w:r>
              <w:rPr>
                <w:rFonts w:hint="eastAsia" w:ascii="方正兰亭黑简体" w:hAnsi="方正兰亭黑简体" w:eastAsia="方正兰亭黑简体" w:cs="方正兰亭黑简体"/>
                <w:color w:val="auto"/>
                <w:kern w:val="0"/>
                <w:sz w:val="22"/>
                <w:szCs w:val="22"/>
                <w:highlight w:val="none"/>
              </w:rPr>
              <w:t>7:40到位；7:48发车。</w:t>
            </w:r>
          </w:p>
        </w:tc>
        <w:tc>
          <w:tcPr>
            <w:tcW w:w="1053" w:type="pct"/>
            <w:vAlign w:val="center"/>
          </w:tcPr>
          <w:p w14:paraId="2578120C">
            <w:pPr>
              <w:adjustRightInd w:val="0"/>
              <w:spacing w:line="360" w:lineRule="atLeast"/>
              <w:jc w:val="center"/>
              <w:textAlignment w:val="baseline"/>
              <w:rPr>
                <w:rFonts w:hint="eastAsia" w:ascii="方正兰亭黑简体" w:hAnsi="方正兰亭黑简体" w:eastAsia="方正兰亭黑简体" w:cs="方正兰亭黑简体"/>
                <w:color w:val="auto"/>
                <w:kern w:val="0"/>
                <w:sz w:val="22"/>
                <w:szCs w:val="22"/>
                <w:highlight w:val="none"/>
              </w:rPr>
            </w:pPr>
            <w:r>
              <w:rPr>
                <w:rFonts w:hint="eastAsia" w:ascii="方正兰亭黑简体" w:hAnsi="方正兰亭黑简体" w:eastAsia="方正兰亭黑简体" w:cs="方正兰亭黑简体"/>
                <w:color w:val="auto"/>
                <w:kern w:val="0"/>
                <w:sz w:val="22"/>
                <w:szCs w:val="22"/>
                <w:highlight w:val="none"/>
              </w:rPr>
              <w:t>临港大道地铁站</w:t>
            </w:r>
          </w:p>
        </w:tc>
        <w:tc>
          <w:tcPr>
            <w:tcW w:w="1391" w:type="pct"/>
            <w:vAlign w:val="center"/>
          </w:tcPr>
          <w:p w14:paraId="365E1D02">
            <w:pPr>
              <w:adjustRightInd w:val="0"/>
              <w:spacing w:line="360" w:lineRule="atLeast"/>
              <w:jc w:val="center"/>
              <w:textAlignment w:val="baseline"/>
              <w:rPr>
                <w:rFonts w:hint="eastAsia" w:ascii="方正兰亭黑简体" w:hAnsi="方正兰亭黑简体" w:eastAsia="方正兰亭黑简体" w:cs="方正兰亭黑简体"/>
                <w:color w:val="auto"/>
                <w:kern w:val="0"/>
                <w:sz w:val="22"/>
                <w:szCs w:val="22"/>
                <w:highlight w:val="none"/>
              </w:rPr>
            </w:pPr>
            <w:r>
              <w:rPr>
                <w:rFonts w:hint="eastAsia" w:ascii="方正兰亭黑简体" w:hAnsi="方正兰亭黑简体" w:eastAsia="方正兰亭黑简体" w:cs="方正兰亭黑简体"/>
                <w:color w:val="auto"/>
                <w:kern w:val="0"/>
                <w:sz w:val="22"/>
                <w:szCs w:val="22"/>
                <w:highlight w:val="none"/>
              </w:rPr>
              <w:t>5号门—二教—经管学院—外国语学院</w:t>
            </w:r>
          </w:p>
        </w:tc>
        <w:tc>
          <w:tcPr>
            <w:tcW w:w="1070" w:type="pct"/>
            <w:vAlign w:val="center"/>
          </w:tcPr>
          <w:p w14:paraId="777D8BF7">
            <w:pPr>
              <w:adjustRightInd w:val="0"/>
              <w:spacing w:line="360" w:lineRule="atLeast"/>
              <w:jc w:val="center"/>
              <w:textAlignment w:val="baseline"/>
              <w:rPr>
                <w:rFonts w:hint="eastAsia" w:ascii="方正兰亭黑简体" w:hAnsi="方正兰亭黑简体" w:eastAsia="方正兰亭黑简体" w:cs="方正兰亭黑简体"/>
                <w:color w:val="auto"/>
                <w:kern w:val="0"/>
                <w:sz w:val="22"/>
                <w:szCs w:val="22"/>
                <w:highlight w:val="none"/>
              </w:rPr>
            </w:pPr>
            <w:r>
              <w:rPr>
                <w:rFonts w:hint="eastAsia" w:ascii="方正兰亭黑简体" w:hAnsi="方正兰亭黑简体" w:eastAsia="方正兰亭黑简体" w:cs="方正兰亭黑简体"/>
                <w:color w:val="auto"/>
                <w:kern w:val="0"/>
                <w:sz w:val="22"/>
                <w:szCs w:val="22"/>
                <w:highlight w:val="none"/>
              </w:rPr>
              <w:t>海事大学商船学院</w:t>
            </w:r>
          </w:p>
        </w:tc>
      </w:tr>
      <w:tr w14:paraId="7CD5DBA4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75" w:type="pct"/>
            <w:vMerge w:val="continue"/>
            <w:vAlign w:val="center"/>
          </w:tcPr>
          <w:p w14:paraId="736FD3F7">
            <w:pPr>
              <w:adjustRightInd w:val="0"/>
              <w:spacing w:line="360" w:lineRule="atLeast"/>
              <w:jc w:val="center"/>
              <w:textAlignment w:val="baseline"/>
              <w:rPr>
                <w:rFonts w:hint="eastAsia" w:ascii="方正兰亭黑简体" w:hAnsi="方正兰亭黑简体" w:eastAsia="方正兰亭黑简体" w:cs="方正兰亭黑简体"/>
                <w:color w:val="auto"/>
                <w:kern w:val="2"/>
                <w:sz w:val="22"/>
                <w:szCs w:val="22"/>
                <w:highlight w:val="none"/>
              </w:rPr>
            </w:pPr>
          </w:p>
        </w:tc>
        <w:tc>
          <w:tcPr>
            <w:tcW w:w="808" w:type="pct"/>
            <w:vAlign w:val="center"/>
          </w:tcPr>
          <w:p w14:paraId="3C5AB352">
            <w:pPr>
              <w:adjustRightInd w:val="0"/>
              <w:spacing w:line="360" w:lineRule="atLeast"/>
              <w:jc w:val="center"/>
              <w:textAlignment w:val="baseline"/>
              <w:rPr>
                <w:rFonts w:hint="eastAsia" w:ascii="方正兰亭黑简体" w:hAnsi="方正兰亭黑简体" w:eastAsia="方正兰亭黑简体" w:cs="方正兰亭黑简体"/>
                <w:color w:val="auto"/>
                <w:kern w:val="0"/>
                <w:sz w:val="22"/>
                <w:szCs w:val="22"/>
                <w:highlight w:val="none"/>
              </w:rPr>
            </w:pPr>
            <w:r>
              <w:rPr>
                <w:rFonts w:hint="eastAsia" w:ascii="方正兰亭黑简体" w:hAnsi="方正兰亭黑简体" w:eastAsia="方正兰亭黑简体" w:cs="方正兰亭黑简体"/>
                <w:color w:val="auto"/>
                <w:kern w:val="0"/>
                <w:sz w:val="22"/>
                <w:szCs w:val="22"/>
                <w:highlight w:val="none"/>
              </w:rPr>
              <w:t>16:10到位；16:15发车。</w:t>
            </w:r>
          </w:p>
        </w:tc>
        <w:tc>
          <w:tcPr>
            <w:tcW w:w="1053" w:type="pct"/>
            <w:vAlign w:val="center"/>
          </w:tcPr>
          <w:p w14:paraId="00806C14">
            <w:pPr>
              <w:adjustRightInd w:val="0"/>
              <w:spacing w:line="360" w:lineRule="atLeast"/>
              <w:jc w:val="center"/>
              <w:textAlignment w:val="baseline"/>
              <w:rPr>
                <w:rFonts w:hint="eastAsia" w:ascii="方正兰亭黑简体" w:hAnsi="方正兰亭黑简体" w:eastAsia="方正兰亭黑简体" w:cs="方正兰亭黑简体"/>
                <w:b/>
                <w:bCs/>
                <w:color w:val="auto"/>
                <w:kern w:val="0"/>
                <w:sz w:val="22"/>
                <w:szCs w:val="22"/>
                <w:highlight w:val="none"/>
              </w:rPr>
            </w:pPr>
            <w:r>
              <w:rPr>
                <w:rFonts w:hint="eastAsia" w:ascii="方正兰亭黑简体" w:hAnsi="方正兰亭黑简体" w:eastAsia="方正兰亭黑简体" w:cs="方正兰亭黑简体"/>
                <w:color w:val="auto"/>
                <w:kern w:val="0"/>
                <w:sz w:val="22"/>
                <w:szCs w:val="22"/>
                <w:highlight w:val="none"/>
              </w:rPr>
              <w:t>海事大学物流学院班车点</w:t>
            </w:r>
          </w:p>
        </w:tc>
        <w:tc>
          <w:tcPr>
            <w:tcW w:w="1391" w:type="pct"/>
            <w:vAlign w:val="center"/>
          </w:tcPr>
          <w:p w14:paraId="646675DB">
            <w:pPr>
              <w:adjustRightInd w:val="0"/>
              <w:spacing w:line="360" w:lineRule="atLeast"/>
              <w:jc w:val="center"/>
              <w:textAlignment w:val="baseline"/>
              <w:rPr>
                <w:rFonts w:hint="eastAsia" w:ascii="方正兰亭黑简体" w:hAnsi="方正兰亭黑简体" w:eastAsia="方正兰亭黑简体" w:cs="方正兰亭黑简体"/>
                <w:color w:val="auto"/>
                <w:kern w:val="0"/>
                <w:sz w:val="22"/>
                <w:szCs w:val="22"/>
                <w:highlight w:val="none"/>
              </w:rPr>
            </w:pPr>
            <w:r>
              <w:rPr>
                <w:rFonts w:hint="eastAsia" w:ascii="方正兰亭黑简体" w:hAnsi="方正兰亭黑简体" w:eastAsia="方正兰亭黑简体" w:cs="方正兰亭黑简体"/>
                <w:color w:val="auto"/>
                <w:kern w:val="0"/>
                <w:sz w:val="22"/>
                <w:szCs w:val="22"/>
                <w:highlight w:val="none"/>
              </w:rPr>
              <w:t>二教</w:t>
            </w:r>
          </w:p>
        </w:tc>
        <w:tc>
          <w:tcPr>
            <w:tcW w:w="1070" w:type="pct"/>
            <w:vAlign w:val="center"/>
          </w:tcPr>
          <w:p w14:paraId="5C0E761E">
            <w:pPr>
              <w:adjustRightInd w:val="0"/>
              <w:spacing w:line="360" w:lineRule="atLeast"/>
              <w:jc w:val="center"/>
              <w:textAlignment w:val="baseline"/>
              <w:rPr>
                <w:rFonts w:hint="eastAsia" w:ascii="方正兰亭黑简体" w:hAnsi="方正兰亭黑简体" w:eastAsia="方正兰亭黑简体" w:cs="方正兰亭黑简体"/>
                <w:color w:val="auto"/>
                <w:kern w:val="0"/>
                <w:sz w:val="22"/>
                <w:szCs w:val="22"/>
                <w:highlight w:val="none"/>
              </w:rPr>
            </w:pPr>
            <w:r>
              <w:rPr>
                <w:rFonts w:hint="eastAsia" w:ascii="方正兰亭黑简体" w:hAnsi="方正兰亭黑简体" w:eastAsia="方正兰亭黑简体" w:cs="方正兰亭黑简体"/>
                <w:color w:val="auto"/>
                <w:kern w:val="0"/>
                <w:sz w:val="22"/>
                <w:szCs w:val="22"/>
                <w:highlight w:val="none"/>
              </w:rPr>
              <w:t>临港大道地铁站</w:t>
            </w:r>
          </w:p>
        </w:tc>
      </w:tr>
      <w:tr w14:paraId="6F51C953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</w:tblPrEx>
        <w:trPr>
          <w:jc w:val="center"/>
        </w:trPr>
        <w:tc>
          <w:tcPr>
            <w:tcW w:w="675" w:type="pct"/>
            <w:vMerge w:val="restart"/>
            <w:vAlign w:val="center"/>
          </w:tcPr>
          <w:p w14:paraId="5985CD98">
            <w:pPr>
              <w:adjustRightInd w:val="0"/>
              <w:spacing w:line="360" w:lineRule="atLeast"/>
              <w:jc w:val="center"/>
              <w:textAlignment w:val="baseline"/>
              <w:rPr>
                <w:rFonts w:hint="eastAsia" w:ascii="方正兰亭黑简体" w:hAnsi="方正兰亭黑简体" w:eastAsia="方正兰亭黑简体" w:cs="方正兰亭黑简体"/>
                <w:b/>
                <w:bCs/>
                <w:color w:val="auto"/>
                <w:kern w:val="0"/>
                <w:sz w:val="22"/>
                <w:szCs w:val="22"/>
                <w:highlight w:val="none"/>
              </w:rPr>
            </w:pPr>
            <w:r>
              <w:rPr>
                <w:rFonts w:hint="eastAsia" w:ascii="方正兰亭黑简体" w:hAnsi="方正兰亭黑简体" w:eastAsia="方正兰亭黑简体" w:cs="方正兰亭黑简体"/>
                <w:b/>
                <w:bCs/>
                <w:color w:val="auto"/>
                <w:kern w:val="0"/>
                <w:sz w:val="22"/>
                <w:szCs w:val="22"/>
                <w:highlight w:val="none"/>
              </w:rPr>
              <w:t>线路二</w:t>
            </w:r>
          </w:p>
          <w:p w14:paraId="16837C02">
            <w:pPr>
              <w:adjustRightInd w:val="0"/>
              <w:spacing w:line="360" w:lineRule="atLeast"/>
              <w:jc w:val="center"/>
              <w:textAlignment w:val="baseline"/>
              <w:rPr>
                <w:rFonts w:hint="eastAsia" w:ascii="方正兰亭黑简体" w:hAnsi="方正兰亭黑简体" w:eastAsia="方正兰亭黑简体" w:cs="方正兰亭黑简体"/>
                <w:color w:val="auto"/>
                <w:kern w:val="0"/>
                <w:sz w:val="22"/>
                <w:szCs w:val="22"/>
                <w:highlight w:val="none"/>
              </w:rPr>
            </w:pPr>
            <w:r>
              <w:rPr>
                <w:rFonts w:hint="eastAsia" w:ascii="方正兰亭黑简体" w:hAnsi="方正兰亭黑简体" w:eastAsia="方正兰亭黑简体" w:cs="方正兰亭黑简体"/>
                <w:color w:val="auto"/>
                <w:kern w:val="0"/>
                <w:sz w:val="22"/>
                <w:szCs w:val="22"/>
                <w:highlight w:val="none"/>
              </w:rPr>
              <w:t>（周一至周五运行）</w:t>
            </w:r>
          </w:p>
        </w:tc>
        <w:tc>
          <w:tcPr>
            <w:tcW w:w="808" w:type="pct"/>
            <w:vAlign w:val="center"/>
          </w:tcPr>
          <w:p w14:paraId="5EA2A722">
            <w:pPr>
              <w:adjustRightInd w:val="0"/>
              <w:spacing w:line="360" w:lineRule="atLeast"/>
              <w:jc w:val="center"/>
              <w:textAlignment w:val="baseline"/>
              <w:rPr>
                <w:rFonts w:hint="eastAsia" w:ascii="方正兰亭黑简体" w:hAnsi="方正兰亭黑简体" w:eastAsia="方正兰亭黑简体" w:cs="方正兰亭黑简体"/>
                <w:color w:val="auto"/>
                <w:kern w:val="0"/>
                <w:sz w:val="22"/>
                <w:szCs w:val="22"/>
                <w:highlight w:val="none"/>
              </w:rPr>
            </w:pPr>
            <w:r>
              <w:rPr>
                <w:rFonts w:hint="eastAsia" w:ascii="方正兰亭黑简体" w:hAnsi="方正兰亭黑简体" w:eastAsia="方正兰亭黑简体" w:cs="方正兰亭黑简体"/>
                <w:color w:val="auto"/>
                <w:kern w:val="0"/>
                <w:sz w:val="22"/>
                <w:szCs w:val="22"/>
                <w:highlight w:val="none"/>
              </w:rPr>
              <w:t>8:00到位；8:08发车。</w:t>
            </w:r>
          </w:p>
        </w:tc>
        <w:tc>
          <w:tcPr>
            <w:tcW w:w="1053" w:type="pct"/>
            <w:vAlign w:val="center"/>
          </w:tcPr>
          <w:p w14:paraId="2A6F6BE1">
            <w:pPr>
              <w:adjustRightInd w:val="0"/>
              <w:spacing w:line="360" w:lineRule="atLeast"/>
              <w:jc w:val="center"/>
              <w:textAlignment w:val="baseline"/>
              <w:rPr>
                <w:rFonts w:hint="eastAsia" w:ascii="方正兰亭黑简体" w:hAnsi="方正兰亭黑简体" w:eastAsia="方正兰亭黑简体" w:cs="方正兰亭黑简体"/>
                <w:color w:val="auto"/>
                <w:kern w:val="0"/>
                <w:sz w:val="22"/>
                <w:szCs w:val="22"/>
                <w:highlight w:val="none"/>
              </w:rPr>
            </w:pPr>
            <w:r>
              <w:rPr>
                <w:rFonts w:hint="eastAsia" w:ascii="方正兰亭黑简体" w:hAnsi="方正兰亭黑简体" w:eastAsia="方正兰亭黑简体" w:cs="方正兰亭黑简体"/>
                <w:color w:val="auto"/>
                <w:kern w:val="0"/>
                <w:sz w:val="22"/>
                <w:szCs w:val="22"/>
                <w:highlight w:val="none"/>
              </w:rPr>
              <w:t>滴水湖地铁站</w:t>
            </w:r>
          </w:p>
        </w:tc>
        <w:tc>
          <w:tcPr>
            <w:tcW w:w="1391" w:type="pct"/>
            <w:vAlign w:val="center"/>
          </w:tcPr>
          <w:p w14:paraId="54A23C7C">
            <w:pPr>
              <w:adjustRightInd w:val="0"/>
              <w:spacing w:line="360" w:lineRule="atLeast"/>
              <w:jc w:val="center"/>
              <w:textAlignment w:val="baseline"/>
              <w:rPr>
                <w:rFonts w:hint="eastAsia" w:ascii="方正兰亭黑简体" w:hAnsi="方正兰亭黑简体" w:eastAsia="方正兰亭黑简体" w:cs="方正兰亭黑简体"/>
                <w:color w:val="auto"/>
                <w:kern w:val="0"/>
                <w:sz w:val="22"/>
                <w:szCs w:val="22"/>
                <w:highlight w:val="none"/>
              </w:rPr>
            </w:pPr>
            <w:r>
              <w:rPr>
                <w:rFonts w:hint="eastAsia" w:ascii="方正兰亭黑简体" w:hAnsi="方正兰亭黑简体" w:eastAsia="方正兰亭黑简体" w:cs="方正兰亭黑简体"/>
                <w:color w:val="auto"/>
                <w:kern w:val="0"/>
                <w:sz w:val="22"/>
                <w:szCs w:val="22"/>
                <w:highlight w:val="none"/>
              </w:rPr>
              <w:t>1号门行政楼—经管学院—外国语学院—一二教</w:t>
            </w:r>
          </w:p>
        </w:tc>
        <w:tc>
          <w:tcPr>
            <w:tcW w:w="1070" w:type="pct"/>
            <w:vAlign w:val="center"/>
          </w:tcPr>
          <w:p w14:paraId="29015FB6">
            <w:pPr>
              <w:adjustRightInd w:val="0"/>
              <w:spacing w:line="360" w:lineRule="atLeast"/>
              <w:jc w:val="center"/>
              <w:textAlignment w:val="baseline"/>
              <w:rPr>
                <w:rFonts w:hint="eastAsia" w:ascii="方正兰亭黑简体" w:hAnsi="方正兰亭黑简体" w:eastAsia="方正兰亭黑简体" w:cs="方正兰亭黑简体"/>
                <w:color w:val="auto"/>
                <w:kern w:val="0"/>
                <w:sz w:val="22"/>
                <w:szCs w:val="22"/>
                <w:highlight w:val="none"/>
              </w:rPr>
            </w:pPr>
            <w:r>
              <w:rPr>
                <w:rFonts w:hint="eastAsia" w:ascii="方正兰亭黑简体" w:hAnsi="方正兰亭黑简体" w:eastAsia="方正兰亭黑简体" w:cs="方正兰亭黑简体"/>
                <w:color w:val="auto"/>
                <w:kern w:val="0"/>
                <w:sz w:val="22"/>
                <w:szCs w:val="22"/>
                <w:highlight w:val="none"/>
              </w:rPr>
              <w:t>海事大学后勤中心</w:t>
            </w:r>
          </w:p>
        </w:tc>
      </w:tr>
      <w:tr w14:paraId="27A1711F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75" w:type="pct"/>
            <w:vMerge w:val="continue"/>
            <w:vAlign w:val="center"/>
          </w:tcPr>
          <w:p w14:paraId="33676BDA">
            <w:pPr>
              <w:adjustRightInd w:val="0"/>
              <w:spacing w:line="360" w:lineRule="atLeast"/>
              <w:jc w:val="center"/>
              <w:textAlignment w:val="baseline"/>
              <w:rPr>
                <w:rFonts w:hint="eastAsia" w:ascii="方正兰亭黑简体" w:hAnsi="方正兰亭黑简体" w:eastAsia="方正兰亭黑简体" w:cs="方正兰亭黑简体"/>
                <w:color w:val="auto"/>
                <w:kern w:val="2"/>
                <w:sz w:val="22"/>
                <w:szCs w:val="22"/>
                <w:highlight w:val="none"/>
              </w:rPr>
            </w:pPr>
          </w:p>
        </w:tc>
        <w:tc>
          <w:tcPr>
            <w:tcW w:w="808" w:type="pct"/>
            <w:vAlign w:val="center"/>
          </w:tcPr>
          <w:p w14:paraId="7BAAB664">
            <w:pPr>
              <w:adjustRightInd w:val="0"/>
              <w:spacing w:line="360" w:lineRule="atLeast"/>
              <w:jc w:val="center"/>
              <w:textAlignment w:val="baseline"/>
              <w:rPr>
                <w:rFonts w:hint="eastAsia" w:ascii="方正兰亭黑简体" w:hAnsi="方正兰亭黑简体" w:eastAsia="方正兰亭黑简体" w:cs="方正兰亭黑简体"/>
                <w:color w:val="auto"/>
                <w:kern w:val="0"/>
                <w:sz w:val="22"/>
                <w:szCs w:val="22"/>
                <w:highlight w:val="none"/>
              </w:rPr>
            </w:pPr>
            <w:r>
              <w:rPr>
                <w:rFonts w:hint="eastAsia" w:ascii="方正兰亭黑简体" w:hAnsi="方正兰亭黑简体" w:eastAsia="方正兰亭黑简体" w:cs="方正兰亭黑简体"/>
                <w:color w:val="auto"/>
                <w:kern w:val="0"/>
                <w:sz w:val="22"/>
                <w:szCs w:val="22"/>
                <w:highlight w:val="none"/>
              </w:rPr>
              <w:t>16:50到位；16:55发车。</w:t>
            </w:r>
          </w:p>
        </w:tc>
        <w:tc>
          <w:tcPr>
            <w:tcW w:w="1053" w:type="pct"/>
            <w:vAlign w:val="center"/>
          </w:tcPr>
          <w:p w14:paraId="6FC3CDEF">
            <w:pPr>
              <w:adjustRightInd w:val="0"/>
              <w:spacing w:line="360" w:lineRule="atLeast"/>
              <w:jc w:val="center"/>
              <w:textAlignment w:val="baseline"/>
              <w:rPr>
                <w:rFonts w:hint="eastAsia" w:ascii="方正兰亭黑简体" w:hAnsi="方正兰亭黑简体" w:eastAsia="方正兰亭黑简体" w:cs="方正兰亭黑简体"/>
                <w:color w:val="auto"/>
                <w:kern w:val="0"/>
                <w:sz w:val="22"/>
                <w:szCs w:val="22"/>
                <w:highlight w:val="none"/>
              </w:rPr>
            </w:pPr>
            <w:r>
              <w:rPr>
                <w:rFonts w:hint="eastAsia" w:ascii="方正兰亭黑简体" w:hAnsi="方正兰亭黑简体" w:eastAsia="方正兰亭黑简体" w:cs="方正兰亭黑简体"/>
                <w:color w:val="auto"/>
                <w:kern w:val="0"/>
                <w:sz w:val="22"/>
                <w:szCs w:val="22"/>
                <w:highlight w:val="none"/>
              </w:rPr>
              <w:t>海事大学物流学院班车点</w:t>
            </w:r>
          </w:p>
        </w:tc>
        <w:tc>
          <w:tcPr>
            <w:tcW w:w="1391" w:type="pct"/>
            <w:vAlign w:val="center"/>
          </w:tcPr>
          <w:p w14:paraId="794F38F0">
            <w:pPr>
              <w:adjustRightInd w:val="0"/>
              <w:spacing w:line="360" w:lineRule="atLeast"/>
              <w:jc w:val="center"/>
              <w:textAlignment w:val="baseline"/>
              <w:rPr>
                <w:rFonts w:hint="eastAsia" w:ascii="方正兰亭黑简体" w:hAnsi="方正兰亭黑简体" w:eastAsia="方正兰亭黑简体" w:cs="方正兰亭黑简体"/>
                <w:color w:val="auto"/>
                <w:kern w:val="0"/>
                <w:sz w:val="22"/>
                <w:szCs w:val="22"/>
                <w:highlight w:val="none"/>
              </w:rPr>
            </w:pPr>
            <w:r>
              <w:rPr>
                <w:rFonts w:hint="eastAsia" w:ascii="方正兰亭黑简体" w:hAnsi="方正兰亭黑简体" w:eastAsia="方正兰亭黑简体" w:cs="方正兰亭黑简体"/>
                <w:color w:val="auto"/>
                <w:kern w:val="0"/>
                <w:sz w:val="22"/>
                <w:szCs w:val="22"/>
                <w:highlight w:val="none"/>
              </w:rPr>
              <w:t>二教</w:t>
            </w:r>
          </w:p>
        </w:tc>
        <w:tc>
          <w:tcPr>
            <w:tcW w:w="1070" w:type="pct"/>
            <w:vAlign w:val="center"/>
          </w:tcPr>
          <w:p w14:paraId="2D0038E6">
            <w:pPr>
              <w:adjustRightInd w:val="0"/>
              <w:spacing w:line="360" w:lineRule="atLeast"/>
              <w:jc w:val="center"/>
              <w:textAlignment w:val="baseline"/>
              <w:rPr>
                <w:rFonts w:hint="eastAsia" w:ascii="方正兰亭黑简体" w:hAnsi="方正兰亭黑简体" w:eastAsia="方正兰亭黑简体" w:cs="方正兰亭黑简体"/>
                <w:color w:val="auto"/>
                <w:kern w:val="0"/>
                <w:sz w:val="22"/>
                <w:szCs w:val="22"/>
                <w:highlight w:val="none"/>
              </w:rPr>
            </w:pPr>
            <w:r>
              <w:rPr>
                <w:rFonts w:hint="eastAsia" w:ascii="方正兰亭黑简体" w:hAnsi="方正兰亭黑简体" w:eastAsia="方正兰亭黑简体" w:cs="方正兰亭黑简体"/>
                <w:color w:val="auto"/>
                <w:kern w:val="0"/>
                <w:sz w:val="22"/>
                <w:szCs w:val="22"/>
                <w:highlight w:val="none"/>
              </w:rPr>
              <w:t>滴水湖地铁站</w:t>
            </w:r>
          </w:p>
        </w:tc>
      </w:tr>
    </w:tbl>
    <w:p w14:paraId="479BF904">
      <w:pPr>
        <w:jc w:val="left"/>
        <w:rPr>
          <w:rFonts w:hint="eastAsia" w:ascii="方正兰亭黑简体" w:hAnsi="方正兰亭黑简体" w:eastAsia="方正兰亭黑简体" w:cs="方正兰亭黑简体"/>
          <w:color w:val="auto"/>
          <w:sz w:val="22"/>
          <w:szCs w:val="22"/>
          <w:highlight w:val="none"/>
        </w:rPr>
      </w:pPr>
      <w:r>
        <w:rPr>
          <w:rFonts w:hint="eastAsia" w:ascii="方正兰亭黑简体" w:hAnsi="方正兰亭黑简体" w:eastAsia="方正兰亭黑简体" w:cs="方正兰亭黑简体"/>
          <w:color w:val="auto"/>
          <w:kern w:val="0"/>
          <w:sz w:val="22"/>
          <w:szCs w:val="22"/>
          <w:highlight w:val="none"/>
          <w:lang w:val="en-US" w:eastAsia="zh-CN"/>
        </w:rPr>
        <w:t>1、</w:t>
      </w:r>
      <w:r>
        <w:rPr>
          <w:rFonts w:hint="eastAsia" w:ascii="方正兰亭黑简体" w:hAnsi="方正兰亭黑简体" w:eastAsia="方正兰亭黑简体" w:cs="方正兰亭黑简体"/>
          <w:color w:val="auto"/>
          <w:kern w:val="0"/>
          <w:sz w:val="22"/>
          <w:szCs w:val="22"/>
          <w:highlight w:val="none"/>
        </w:rPr>
        <w:t>周六、周日、国定假日线路停开，寒暑假停开，学校可在预算范围内对线路进行调整，具体以学校实际工作需要为准。</w:t>
      </w:r>
    </w:p>
    <w:p w14:paraId="5DC893E7">
      <w:pPr>
        <w:jc w:val="left"/>
        <w:rPr>
          <w:rFonts w:hint="eastAsia" w:ascii="方正兰亭黑简体" w:hAnsi="方正兰亭黑简体" w:eastAsia="方正兰亭黑简体" w:cs="方正兰亭黑简体"/>
          <w:color w:val="auto"/>
          <w:kern w:val="0"/>
          <w:sz w:val="22"/>
          <w:szCs w:val="22"/>
          <w:highlight w:val="none"/>
        </w:rPr>
      </w:pPr>
      <w:r>
        <w:rPr>
          <w:rFonts w:hint="eastAsia" w:ascii="方正兰亭黑简体" w:hAnsi="方正兰亭黑简体" w:eastAsia="方正兰亭黑简体" w:cs="方正兰亭黑简体"/>
          <w:color w:val="auto"/>
          <w:kern w:val="0"/>
          <w:sz w:val="22"/>
          <w:szCs w:val="22"/>
          <w:highlight w:val="none"/>
          <w:lang w:val="en-US" w:eastAsia="zh-CN"/>
        </w:rPr>
        <w:t>2、</w:t>
      </w:r>
      <w:r>
        <w:rPr>
          <w:rFonts w:hint="eastAsia" w:ascii="方正兰亭黑简体" w:hAnsi="方正兰亭黑简体" w:eastAsia="方正兰亭黑简体" w:cs="方正兰亭黑简体"/>
          <w:color w:val="auto"/>
          <w:kern w:val="0"/>
          <w:sz w:val="22"/>
          <w:szCs w:val="22"/>
          <w:highlight w:val="none"/>
        </w:rPr>
        <w:t>全年预计服务运行天数185</w:t>
      </w:r>
      <w:r>
        <w:rPr>
          <w:rFonts w:hint="eastAsia" w:ascii="方正兰亭黑简体" w:hAnsi="方正兰亭黑简体" w:eastAsia="方正兰亭黑简体" w:cs="方正兰亭黑简体"/>
          <w:color w:val="auto"/>
          <w:kern w:val="0"/>
          <w:sz w:val="22"/>
          <w:szCs w:val="22"/>
          <w:highlight w:val="none"/>
          <w:lang w:eastAsia="zh-CN"/>
        </w:rPr>
        <w:t>—</w:t>
      </w:r>
      <w:r>
        <w:rPr>
          <w:rFonts w:hint="eastAsia" w:ascii="方正兰亭黑简体" w:hAnsi="方正兰亭黑简体" w:eastAsia="方正兰亭黑简体" w:cs="方正兰亭黑简体"/>
          <w:color w:val="auto"/>
          <w:kern w:val="0"/>
          <w:sz w:val="22"/>
          <w:szCs w:val="22"/>
          <w:highlight w:val="none"/>
        </w:rPr>
        <w:t>200天左右</w:t>
      </w:r>
      <w:r>
        <w:rPr>
          <w:rFonts w:hint="eastAsia" w:ascii="方正兰亭黑简体" w:hAnsi="方正兰亭黑简体" w:eastAsia="方正兰亭黑简体" w:cs="方正兰亭黑简体"/>
          <w:color w:val="auto"/>
          <w:kern w:val="0"/>
          <w:sz w:val="22"/>
          <w:szCs w:val="22"/>
          <w:highlight w:val="none"/>
          <w:lang w:eastAsia="zh-CN"/>
        </w:rPr>
        <w:t>，</w:t>
      </w:r>
      <w:r>
        <w:rPr>
          <w:rFonts w:hint="eastAsia" w:ascii="方正兰亭黑简体" w:hAnsi="方正兰亭黑简体" w:eastAsia="方正兰亭黑简体" w:cs="方正兰亭黑简体"/>
          <w:color w:val="auto"/>
          <w:kern w:val="0"/>
          <w:sz w:val="22"/>
          <w:szCs w:val="22"/>
          <w:highlight w:val="none"/>
          <w:lang w:val="en-US" w:eastAsia="zh-CN"/>
        </w:rPr>
        <w:t>按当前车次安排，一年1100个左右单程</w:t>
      </w:r>
      <w:r>
        <w:rPr>
          <w:rFonts w:hint="eastAsia" w:ascii="方正兰亭黑简体" w:hAnsi="方正兰亭黑简体" w:eastAsia="方正兰亭黑简体" w:cs="方正兰亭黑简体"/>
          <w:color w:val="auto"/>
          <w:kern w:val="0"/>
          <w:sz w:val="22"/>
          <w:szCs w:val="22"/>
          <w:highlight w:val="none"/>
        </w:rPr>
        <w:t>（</w:t>
      </w:r>
      <w:r>
        <w:rPr>
          <w:rFonts w:hint="eastAsia" w:ascii="方正兰亭黑简体" w:hAnsi="方正兰亭黑简体" w:eastAsia="方正兰亭黑简体" w:cs="方正兰亭黑简体"/>
          <w:color w:val="auto"/>
          <w:kern w:val="0"/>
          <w:sz w:val="22"/>
          <w:szCs w:val="22"/>
          <w:highlight w:val="none"/>
          <w:lang w:val="en-US" w:eastAsia="zh-CN"/>
        </w:rPr>
        <w:t>学校会根据实际情况进行增减</w:t>
      </w:r>
      <w:r>
        <w:rPr>
          <w:rFonts w:hint="eastAsia" w:ascii="方正兰亭黑简体" w:hAnsi="方正兰亭黑简体" w:eastAsia="方正兰亭黑简体" w:cs="方正兰亭黑简体"/>
          <w:color w:val="auto"/>
          <w:kern w:val="0"/>
          <w:sz w:val="22"/>
          <w:szCs w:val="22"/>
          <w:highlight w:val="none"/>
        </w:rPr>
        <w:t>）。</w:t>
      </w:r>
    </w:p>
    <w:p w14:paraId="63605A2B">
      <w:pPr>
        <w:jc w:val="left"/>
        <w:rPr>
          <w:rFonts w:hint="eastAsia" w:ascii="方正兰亭黑简体" w:hAnsi="方正兰亭黑简体" w:eastAsia="方正兰亭黑简体" w:cs="方正兰亭黑简体"/>
          <w:color w:val="auto"/>
          <w:kern w:val="0"/>
          <w:sz w:val="22"/>
          <w:szCs w:val="22"/>
          <w:highlight w:val="none"/>
          <w:lang w:val="zh-CN" w:eastAsia="zh-CN"/>
        </w:rPr>
      </w:pPr>
      <w:r>
        <w:rPr>
          <w:rFonts w:hint="eastAsia" w:ascii="方正兰亭黑简体" w:hAnsi="方正兰亭黑简体" w:eastAsia="方正兰亭黑简体" w:cs="方正兰亭黑简体"/>
          <w:color w:val="auto"/>
          <w:kern w:val="0"/>
          <w:sz w:val="22"/>
          <w:szCs w:val="22"/>
          <w:highlight w:val="none"/>
          <w:lang w:val="en-US" w:eastAsia="zh-CN"/>
        </w:rPr>
        <w:t>3、</w:t>
      </w:r>
      <w:r>
        <w:rPr>
          <w:rFonts w:hint="eastAsia" w:ascii="方正兰亭黑简体" w:hAnsi="方正兰亭黑简体" w:eastAsia="方正兰亭黑简体" w:cs="方正兰亭黑简体"/>
          <w:color w:val="auto"/>
          <w:kern w:val="0"/>
          <w:sz w:val="22"/>
          <w:szCs w:val="22"/>
          <w:highlight w:val="none"/>
          <w:lang w:val="zh-CN" w:eastAsia="zh-CN"/>
        </w:rPr>
        <w:t>上午线路二（由滴水湖站至学校相应停靠点）和每周三下午线路一（由学校相应停靠点送临港大道地铁站）各派2辆车。其他时间日常运行各线路每班次各1辆车，根据实际乘员人数增加情况，必要时调度增派车辆。</w:t>
      </w:r>
    </w:p>
    <w:p w14:paraId="1637B823">
      <w:pPr>
        <w:jc w:val="left"/>
        <w:rPr>
          <w:rFonts w:hint="default" w:ascii="方正兰亭黑简体" w:hAnsi="方正兰亭黑简体" w:eastAsia="方正兰亭黑简体" w:cs="方正兰亭黑简体"/>
          <w:color w:val="auto"/>
          <w:kern w:val="0"/>
          <w:sz w:val="22"/>
          <w:szCs w:val="22"/>
          <w:highlight w:val="none"/>
          <w:lang w:val="en-US" w:eastAsia="zh-CN"/>
        </w:rPr>
      </w:pPr>
      <w:r>
        <w:rPr>
          <w:rFonts w:hint="eastAsia" w:ascii="方正兰亭黑简体" w:hAnsi="方正兰亭黑简体" w:eastAsia="方正兰亭黑简体" w:cs="方正兰亭黑简体"/>
          <w:color w:val="auto"/>
          <w:kern w:val="0"/>
          <w:sz w:val="22"/>
          <w:szCs w:val="22"/>
          <w:highlight w:val="none"/>
          <w:lang w:val="en-US" w:eastAsia="zh-CN"/>
        </w:rPr>
        <w:t>4、准点率必须达到100%（不可抗力除外）。</w:t>
      </w:r>
    </w:p>
    <w:p w14:paraId="2EB21C25">
      <w:pPr>
        <w:rPr>
          <w:rFonts w:hint="eastAsia" w:ascii="Times New Roman" w:hAnsi="Times New Roman" w:eastAsia="方正兰亭黑简体" w:cs="Times New Roman"/>
          <w:b/>
          <w:bCs/>
          <w:color w:val="auto"/>
          <w:sz w:val="22"/>
          <w:szCs w:val="22"/>
          <w:highlight w:val="none"/>
          <w:lang w:val="en-US" w:eastAsia="zh-CN"/>
        </w:rPr>
      </w:pPr>
    </w:p>
    <w:p w14:paraId="7950CBD2">
      <w:pPr>
        <w:rPr>
          <w:rFonts w:hint="eastAsia" w:ascii="Times New Roman" w:hAnsi="Times New Roman" w:eastAsia="方正兰亭黑简体" w:cs="Times New Roman"/>
          <w:b/>
          <w:bCs/>
          <w:color w:val="auto"/>
          <w:sz w:val="22"/>
          <w:szCs w:val="22"/>
          <w:highlight w:val="none"/>
          <w:lang w:val="zh-CN" w:eastAsia="zh-CN"/>
        </w:rPr>
      </w:pPr>
      <w:r>
        <w:rPr>
          <w:rFonts w:hint="eastAsia" w:ascii="Times New Roman" w:hAnsi="Times New Roman" w:eastAsia="方正兰亭黑简体" w:cs="Times New Roman"/>
          <w:b/>
          <w:bCs/>
          <w:color w:val="auto"/>
          <w:sz w:val="22"/>
          <w:szCs w:val="22"/>
          <w:highlight w:val="none"/>
          <w:lang w:val="en-US" w:eastAsia="zh-CN"/>
        </w:rPr>
        <w:t>四、</w:t>
      </w:r>
      <w:r>
        <w:rPr>
          <w:rFonts w:hint="eastAsia" w:ascii="Times New Roman" w:hAnsi="Times New Roman" w:eastAsia="方正兰亭黑简体" w:cs="Times New Roman"/>
          <w:b/>
          <w:bCs/>
          <w:color w:val="auto"/>
          <w:sz w:val="22"/>
          <w:szCs w:val="22"/>
          <w:highlight w:val="none"/>
          <w:lang w:val="zh-CN" w:eastAsia="zh-CN"/>
        </w:rPr>
        <w:t>车辆配置要求</w:t>
      </w:r>
    </w:p>
    <w:p w14:paraId="2AD7EE93">
      <w:pPr>
        <w:jc w:val="left"/>
        <w:rPr>
          <w:rFonts w:hint="eastAsia" w:ascii="方正兰亭黑简体" w:hAnsi="方正兰亭黑简体" w:eastAsia="方正兰亭黑简体" w:cs="方正兰亭黑简体"/>
          <w:color w:val="auto"/>
          <w:kern w:val="0"/>
          <w:sz w:val="22"/>
          <w:szCs w:val="22"/>
          <w:highlight w:val="none"/>
          <w:lang w:val="zh-CN" w:eastAsia="zh-CN"/>
        </w:rPr>
      </w:pPr>
      <w:r>
        <w:rPr>
          <w:rFonts w:hint="eastAsia" w:ascii="方正兰亭黑简体" w:hAnsi="方正兰亭黑简体" w:eastAsia="方正兰亭黑简体" w:cs="方正兰亭黑简体"/>
          <w:color w:val="auto"/>
          <w:kern w:val="0"/>
          <w:sz w:val="22"/>
          <w:szCs w:val="22"/>
          <w:highlight w:val="none"/>
          <w:lang w:val="en-US" w:eastAsia="zh-CN"/>
        </w:rPr>
        <w:t>1、</w:t>
      </w:r>
      <w:r>
        <w:rPr>
          <w:rFonts w:hint="eastAsia" w:ascii="方正兰亭黑简体" w:hAnsi="方正兰亭黑简体" w:eastAsia="方正兰亭黑简体" w:cs="方正兰亭黑简体"/>
          <w:color w:val="auto"/>
          <w:kern w:val="0"/>
          <w:sz w:val="22"/>
          <w:szCs w:val="22"/>
          <w:highlight w:val="none"/>
          <w:lang w:val="zh-CN" w:eastAsia="zh-CN"/>
        </w:rPr>
        <w:t>车辆配置：45座以上大客车，车龄在5年</w:t>
      </w:r>
      <w:r>
        <w:rPr>
          <w:rFonts w:hint="eastAsia" w:ascii="方正兰亭黑简体" w:hAnsi="方正兰亭黑简体" w:eastAsia="方正兰亭黑简体" w:cs="方正兰亭黑简体"/>
          <w:color w:val="auto"/>
          <w:kern w:val="0"/>
          <w:sz w:val="22"/>
          <w:szCs w:val="22"/>
          <w:highlight w:val="none"/>
          <w:lang w:val="en-US" w:eastAsia="zh-CN"/>
        </w:rPr>
        <w:t>以内</w:t>
      </w:r>
      <w:r>
        <w:rPr>
          <w:rFonts w:hint="eastAsia" w:ascii="方正兰亭黑简体" w:hAnsi="方正兰亭黑简体" w:eastAsia="方正兰亭黑简体" w:cs="方正兰亭黑简体"/>
          <w:color w:val="auto"/>
          <w:kern w:val="0"/>
          <w:sz w:val="22"/>
          <w:szCs w:val="22"/>
          <w:highlight w:val="none"/>
          <w:lang w:val="zh-CN" w:eastAsia="zh-CN"/>
        </w:rPr>
        <w:t>，行驶里程在15万公里以内。供应商经营范围需包含道路旅客运输经营，所提供的车辆应符合市内道路运输的安全、卫生等要求，各种手续合法完整、车辆性能好、设备齐全、安全可靠、舒适卫生，新能源车辆优先。</w:t>
      </w:r>
    </w:p>
    <w:p w14:paraId="44457B6D">
      <w:pPr>
        <w:jc w:val="left"/>
        <w:rPr>
          <w:rFonts w:hint="eastAsia" w:ascii="方正兰亭黑简体" w:hAnsi="方正兰亭黑简体" w:eastAsia="方正兰亭黑简体" w:cs="方正兰亭黑简体"/>
          <w:color w:val="auto"/>
          <w:kern w:val="0"/>
          <w:sz w:val="22"/>
          <w:szCs w:val="22"/>
          <w:highlight w:val="none"/>
          <w:lang w:val="zh-CN" w:eastAsia="zh-CN"/>
        </w:rPr>
      </w:pPr>
      <w:r>
        <w:rPr>
          <w:rFonts w:hint="eastAsia" w:ascii="方正兰亭黑简体" w:hAnsi="方正兰亭黑简体" w:eastAsia="方正兰亭黑简体" w:cs="方正兰亭黑简体"/>
          <w:color w:val="auto"/>
          <w:kern w:val="0"/>
          <w:sz w:val="22"/>
          <w:szCs w:val="22"/>
          <w:highlight w:val="none"/>
          <w:lang w:val="en-US" w:eastAsia="zh-CN"/>
        </w:rPr>
        <w:t>2、</w:t>
      </w:r>
      <w:r>
        <w:rPr>
          <w:rFonts w:hint="eastAsia" w:ascii="方正兰亭黑简体" w:hAnsi="方正兰亭黑简体" w:eastAsia="方正兰亭黑简体" w:cs="方正兰亭黑简体"/>
          <w:color w:val="auto"/>
          <w:kern w:val="0"/>
          <w:sz w:val="22"/>
          <w:szCs w:val="22"/>
          <w:highlight w:val="none"/>
          <w:lang w:val="zh-CN" w:eastAsia="zh-CN"/>
        </w:rPr>
        <w:t>车辆保险：服务方必须为车辆购买足额交强险、商业险。</w:t>
      </w:r>
    </w:p>
    <w:p w14:paraId="354D8A04">
      <w:pPr>
        <w:jc w:val="left"/>
        <w:rPr>
          <w:rFonts w:hint="eastAsia" w:ascii="方正兰亭黑简体" w:hAnsi="方正兰亭黑简体" w:eastAsia="方正兰亭黑简体" w:cs="方正兰亭黑简体"/>
          <w:color w:val="auto"/>
          <w:kern w:val="0"/>
          <w:sz w:val="22"/>
          <w:szCs w:val="22"/>
          <w:highlight w:val="none"/>
          <w:lang w:val="zh-CN" w:eastAsia="zh-CN"/>
        </w:rPr>
      </w:pPr>
      <w:r>
        <w:rPr>
          <w:rFonts w:hint="eastAsia" w:ascii="方正兰亭黑简体" w:hAnsi="方正兰亭黑简体" w:eastAsia="方正兰亭黑简体" w:cs="方正兰亭黑简体"/>
          <w:color w:val="auto"/>
          <w:kern w:val="0"/>
          <w:sz w:val="22"/>
          <w:szCs w:val="22"/>
          <w:highlight w:val="none"/>
          <w:lang w:val="en-US" w:eastAsia="zh-CN"/>
        </w:rPr>
        <w:t>3、</w:t>
      </w:r>
      <w:r>
        <w:rPr>
          <w:rFonts w:hint="eastAsia" w:ascii="方正兰亭黑简体" w:hAnsi="方正兰亭黑简体" w:eastAsia="方正兰亭黑简体" w:cs="方正兰亭黑简体"/>
          <w:color w:val="auto"/>
          <w:kern w:val="0"/>
          <w:sz w:val="22"/>
          <w:szCs w:val="22"/>
          <w:highlight w:val="none"/>
          <w:lang w:val="zh-CN" w:eastAsia="zh-CN"/>
        </w:rPr>
        <w:t>服务期间车辆运行所需燃油、维修、停车、充电等所有费用由服务方承担。</w:t>
      </w:r>
    </w:p>
    <w:p w14:paraId="4134B072">
      <w:pPr>
        <w:jc w:val="left"/>
        <w:rPr>
          <w:rFonts w:hint="eastAsia" w:ascii="Times New Roman" w:hAnsi="Times New Roman" w:eastAsia="方正兰亭黑简体" w:cs="Times New Roman"/>
          <w:b/>
          <w:bCs/>
          <w:color w:val="auto"/>
          <w:sz w:val="22"/>
          <w:szCs w:val="22"/>
          <w:highlight w:val="none"/>
          <w:lang w:val="en-US" w:eastAsia="zh-CN"/>
        </w:rPr>
      </w:pPr>
    </w:p>
    <w:p w14:paraId="34E197D7">
      <w:pPr>
        <w:jc w:val="left"/>
        <w:rPr>
          <w:rFonts w:hint="eastAsia" w:ascii="方正兰亭黑简体" w:hAnsi="方正兰亭黑简体" w:eastAsia="方正兰亭黑简体" w:cs="方正兰亭黑简体"/>
          <w:color w:val="auto"/>
          <w:kern w:val="0"/>
          <w:sz w:val="22"/>
          <w:szCs w:val="22"/>
          <w:highlight w:val="none"/>
          <w:lang w:val="en-US" w:eastAsia="zh-CN"/>
        </w:rPr>
      </w:pPr>
      <w:r>
        <w:rPr>
          <w:rFonts w:hint="eastAsia" w:ascii="Times New Roman" w:hAnsi="Times New Roman" w:eastAsia="方正兰亭黑简体" w:cs="Times New Roman"/>
          <w:b/>
          <w:bCs/>
          <w:color w:val="auto"/>
          <w:sz w:val="22"/>
          <w:szCs w:val="22"/>
          <w:highlight w:val="none"/>
          <w:lang w:val="en-US" w:eastAsia="zh-CN"/>
        </w:rPr>
        <w:t>五、驾驶人员</w:t>
      </w:r>
      <w:r>
        <w:rPr>
          <w:rFonts w:hint="eastAsia" w:ascii="Times New Roman" w:hAnsi="Times New Roman" w:eastAsia="方正兰亭黑简体" w:cs="Times New Roman"/>
          <w:b/>
          <w:bCs/>
          <w:color w:val="auto"/>
          <w:sz w:val="22"/>
          <w:szCs w:val="22"/>
          <w:highlight w:val="none"/>
          <w:lang w:val="zh-CN" w:eastAsia="zh-CN"/>
        </w:rPr>
        <w:t>要求</w:t>
      </w:r>
    </w:p>
    <w:p w14:paraId="5CF9CACA">
      <w:pPr>
        <w:jc w:val="left"/>
        <w:rPr>
          <w:rFonts w:hint="eastAsia" w:ascii="方正兰亭黑简体" w:hAnsi="方正兰亭黑简体" w:eastAsia="方正兰亭黑简体" w:cs="方正兰亭黑简体"/>
          <w:color w:val="auto"/>
          <w:kern w:val="0"/>
          <w:sz w:val="22"/>
          <w:szCs w:val="22"/>
          <w:highlight w:val="none"/>
          <w:lang w:val="en-US" w:eastAsia="zh-CN"/>
        </w:rPr>
      </w:pPr>
      <w:r>
        <w:rPr>
          <w:rFonts w:hint="eastAsia" w:ascii="方正兰亭黑简体" w:hAnsi="方正兰亭黑简体" w:eastAsia="方正兰亭黑简体" w:cs="方正兰亭黑简体"/>
          <w:color w:val="auto"/>
          <w:kern w:val="0"/>
          <w:sz w:val="22"/>
          <w:szCs w:val="22"/>
          <w:highlight w:val="none"/>
          <w:lang w:val="en-US" w:eastAsia="zh-CN"/>
        </w:rPr>
        <w:t>1、</w:t>
      </w:r>
      <w:r>
        <w:rPr>
          <w:rFonts w:hint="eastAsia" w:ascii="方正兰亭黑简体" w:hAnsi="方正兰亭黑简体" w:eastAsia="方正兰亭黑简体" w:cs="方正兰亭黑简体"/>
          <w:color w:val="auto"/>
          <w:kern w:val="0"/>
          <w:sz w:val="22"/>
          <w:szCs w:val="22"/>
          <w:highlight w:val="none"/>
          <w:lang w:val="zh-CN" w:eastAsia="zh-CN"/>
        </w:rPr>
        <w:t>驾驶员：要求服务方为短驳班车配备专职驾驶员，驾驶员必须具有五年以上驾驶经验、无任何重大违法记录。服务方承担驾驶员所有费用。</w:t>
      </w:r>
    </w:p>
    <w:p w14:paraId="1B387048">
      <w:pPr>
        <w:jc w:val="left"/>
        <w:rPr>
          <w:rFonts w:hint="eastAsia" w:ascii="方正兰亭黑简体" w:hAnsi="方正兰亭黑简体" w:eastAsia="方正兰亭黑简体" w:cs="方正兰亭黑简体"/>
          <w:color w:val="auto"/>
          <w:kern w:val="0"/>
          <w:sz w:val="22"/>
          <w:szCs w:val="22"/>
          <w:highlight w:val="none"/>
          <w:lang w:val="en-US" w:eastAsia="zh-CN"/>
        </w:rPr>
      </w:pPr>
      <w:r>
        <w:rPr>
          <w:rFonts w:hint="eastAsia" w:ascii="方正兰亭黑简体" w:hAnsi="方正兰亭黑简体" w:eastAsia="方正兰亭黑简体" w:cs="方正兰亭黑简体"/>
          <w:color w:val="auto"/>
          <w:kern w:val="0"/>
          <w:sz w:val="22"/>
          <w:szCs w:val="22"/>
          <w:highlight w:val="none"/>
          <w:lang w:val="en-US" w:eastAsia="zh-CN"/>
        </w:rPr>
        <w:t>2、统一穿着工作服装，仪容整洁；文明用语，主动服务，耐心解答咨询，禁止与乘客发生争执。</w:t>
      </w:r>
    </w:p>
    <w:p w14:paraId="73DB214C">
      <w:pPr>
        <w:jc w:val="left"/>
        <w:rPr>
          <w:rFonts w:hint="default" w:ascii="方正兰亭黑简体" w:hAnsi="方正兰亭黑简体" w:eastAsia="方正兰亭黑简体" w:cs="方正兰亭黑简体"/>
          <w:color w:val="auto"/>
          <w:kern w:val="0"/>
          <w:sz w:val="22"/>
          <w:szCs w:val="22"/>
          <w:highlight w:val="none"/>
          <w:lang w:val="en-US" w:eastAsia="zh-CN"/>
        </w:rPr>
      </w:pPr>
      <w:r>
        <w:rPr>
          <w:rFonts w:hint="eastAsia" w:ascii="方正兰亭黑简体" w:hAnsi="方正兰亭黑简体" w:eastAsia="方正兰亭黑简体" w:cs="方正兰亭黑简体"/>
          <w:color w:val="auto"/>
          <w:kern w:val="0"/>
          <w:sz w:val="22"/>
          <w:szCs w:val="22"/>
          <w:highlight w:val="none"/>
          <w:lang w:val="en-US" w:eastAsia="zh-CN"/>
        </w:rPr>
        <w:t>3、严格遵守交通法规，不超速、不超载、不疲劳驾驶（连续驾驶不超过4小时，停车休息不少于20分钟）、不接打手持电话。</w:t>
      </w:r>
    </w:p>
    <w:p w14:paraId="63C12342">
      <w:pPr>
        <w:rPr>
          <w:rFonts w:hint="eastAsia" w:ascii="Times New Roman" w:hAnsi="Times New Roman" w:eastAsia="方正兰亭黑简体" w:cs="Times New Roman"/>
          <w:b/>
          <w:bCs/>
          <w:color w:val="auto"/>
          <w:sz w:val="22"/>
          <w:szCs w:val="22"/>
          <w:highlight w:val="none"/>
          <w:lang w:val="en-US" w:eastAsia="zh-CN"/>
        </w:rPr>
      </w:pPr>
    </w:p>
    <w:p w14:paraId="09A320DB">
      <w:pPr>
        <w:rPr>
          <w:rFonts w:hint="default" w:ascii="Times New Roman" w:hAnsi="Times New Roman" w:eastAsia="方正兰亭黑简体" w:cs="Times New Roman"/>
          <w:b/>
          <w:bCs/>
          <w:color w:val="auto"/>
          <w:sz w:val="22"/>
          <w:szCs w:val="22"/>
          <w:highlight w:val="none"/>
          <w:lang w:val="en-US" w:eastAsia="zh-CN"/>
        </w:rPr>
      </w:pPr>
      <w:r>
        <w:rPr>
          <w:rFonts w:hint="eastAsia" w:ascii="Times New Roman" w:hAnsi="Times New Roman" w:eastAsia="方正兰亭黑简体" w:cs="Times New Roman"/>
          <w:b/>
          <w:bCs/>
          <w:color w:val="auto"/>
          <w:sz w:val="22"/>
          <w:szCs w:val="22"/>
          <w:highlight w:val="none"/>
          <w:lang w:val="en-US" w:eastAsia="zh-CN"/>
        </w:rPr>
        <w:t>六</w:t>
      </w:r>
      <w:r>
        <w:rPr>
          <w:rFonts w:hint="default" w:ascii="Times New Roman" w:hAnsi="Times New Roman" w:eastAsia="方正兰亭黑简体" w:cs="Times New Roman"/>
          <w:b/>
          <w:bCs/>
          <w:color w:val="auto"/>
          <w:sz w:val="22"/>
          <w:szCs w:val="22"/>
          <w:highlight w:val="none"/>
          <w:lang w:val="en-US" w:eastAsia="zh-CN"/>
        </w:rPr>
        <w:t>、</w:t>
      </w:r>
      <w:r>
        <w:rPr>
          <w:rFonts w:hint="eastAsia" w:ascii="Times New Roman" w:hAnsi="Times New Roman" w:eastAsia="方正兰亭黑简体" w:cs="Times New Roman"/>
          <w:b/>
          <w:bCs/>
          <w:color w:val="auto"/>
          <w:sz w:val="22"/>
          <w:szCs w:val="22"/>
          <w:highlight w:val="none"/>
          <w:lang w:val="en-US" w:eastAsia="zh-CN"/>
        </w:rPr>
        <w:t>其他要求</w:t>
      </w:r>
    </w:p>
    <w:p w14:paraId="66F6DFD7">
      <w:pPr>
        <w:jc w:val="left"/>
        <w:rPr>
          <w:rFonts w:hint="eastAsia" w:ascii="方正兰亭黑简体" w:hAnsi="方正兰亭黑简体" w:eastAsia="方正兰亭黑简体" w:cs="方正兰亭黑简体"/>
          <w:color w:val="auto"/>
          <w:kern w:val="0"/>
          <w:sz w:val="22"/>
          <w:szCs w:val="22"/>
          <w:highlight w:val="none"/>
          <w:lang w:val="zh-CN" w:eastAsia="zh-CN"/>
        </w:rPr>
      </w:pPr>
      <w:r>
        <w:rPr>
          <w:rFonts w:hint="eastAsia" w:ascii="方正兰亭黑简体" w:hAnsi="方正兰亭黑简体" w:eastAsia="方正兰亭黑简体" w:cs="方正兰亭黑简体"/>
          <w:color w:val="auto"/>
          <w:kern w:val="0"/>
          <w:sz w:val="22"/>
          <w:szCs w:val="22"/>
          <w:highlight w:val="none"/>
          <w:lang w:val="en-US" w:eastAsia="zh-CN"/>
        </w:rPr>
        <w:t>1、</w:t>
      </w:r>
      <w:r>
        <w:rPr>
          <w:rFonts w:hint="eastAsia" w:ascii="方正兰亭黑简体" w:hAnsi="方正兰亭黑简体" w:eastAsia="方正兰亭黑简体" w:cs="方正兰亭黑简体"/>
          <w:color w:val="auto"/>
          <w:kern w:val="0"/>
          <w:sz w:val="22"/>
          <w:szCs w:val="22"/>
          <w:highlight w:val="none"/>
          <w:lang w:val="zh-CN" w:eastAsia="zh-CN"/>
        </w:rPr>
        <w:t>车辆故障：供应商需在车辆故障发生后30分钟内调配备用车辆，保障短驳服务不中断。</w:t>
      </w:r>
    </w:p>
    <w:p w14:paraId="4CDBB760">
      <w:pPr>
        <w:jc w:val="left"/>
        <w:rPr>
          <w:rFonts w:hint="eastAsia" w:ascii="方正兰亭黑简体" w:hAnsi="方正兰亭黑简体" w:eastAsia="方正兰亭黑简体" w:cs="方正兰亭黑简体"/>
          <w:color w:val="auto"/>
          <w:kern w:val="0"/>
          <w:sz w:val="22"/>
          <w:szCs w:val="22"/>
          <w:highlight w:val="none"/>
          <w:lang w:val="zh-CN" w:eastAsia="zh-CN"/>
        </w:rPr>
      </w:pPr>
      <w:r>
        <w:rPr>
          <w:rFonts w:hint="eastAsia" w:ascii="方正兰亭黑简体" w:hAnsi="方正兰亭黑简体" w:eastAsia="方正兰亭黑简体" w:cs="方正兰亭黑简体"/>
          <w:color w:val="auto"/>
          <w:kern w:val="0"/>
          <w:sz w:val="22"/>
          <w:szCs w:val="22"/>
          <w:highlight w:val="none"/>
          <w:lang w:val="zh-CN" w:eastAsia="zh-CN"/>
        </w:rPr>
        <w:t>2、投诉处理：建立24小时服务投诉渠道，对教职工的服务投诉在1个工作日内响应、3个工作日内处理并反馈结果。</w:t>
      </w:r>
    </w:p>
    <w:p w14:paraId="5E3F11F5">
      <w:pPr>
        <w:jc w:val="left"/>
        <w:rPr>
          <w:rFonts w:hint="eastAsia" w:ascii="方正兰亭黑简体" w:hAnsi="方正兰亭黑简体" w:eastAsia="方正兰亭黑简体" w:cs="方正兰亭黑简体"/>
          <w:color w:val="auto"/>
          <w:kern w:val="0"/>
          <w:sz w:val="22"/>
          <w:szCs w:val="22"/>
          <w:highlight w:val="none"/>
          <w:lang w:val="zh-CN" w:eastAsia="zh-CN"/>
        </w:rPr>
      </w:pPr>
      <w:r>
        <w:rPr>
          <w:rFonts w:hint="eastAsia" w:ascii="方正兰亭黑简体" w:hAnsi="方正兰亭黑简体" w:eastAsia="方正兰亭黑简体" w:cs="方正兰亭黑简体"/>
          <w:color w:val="auto"/>
          <w:kern w:val="0"/>
          <w:sz w:val="22"/>
          <w:szCs w:val="22"/>
          <w:highlight w:val="none"/>
          <w:lang w:val="zh-CN" w:eastAsia="zh-CN"/>
        </w:rPr>
        <w:t>3、应急处置：遇恶劣天气、交通管制等突发情况，及时与校方沟通，调整运行方案并通知教职工。</w:t>
      </w:r>
    </w:p>
    <w:p w14:paraId="11FA3586">
      <w:pPr>
        <w:jc w:val="left"/>
        <w:rPr>
          <w:rFonts w:hint="eastAsia" w:ascii="方正兰亭黑简体" w:hAnsi="方正兰亭黑简体" w:eastAsia="方正兰亭黑简体" w:cs="方正兰亭黑简体"/>
          <w:color w:val="auto"/>
          <w:kern w:val="0"/>
          <w:sz w:val="22"/>
          <w:szCs w:val="22"/>
          <w:highlight w:val="none"/>
          <w:lang w:val="zh-CN" w:eastAsia="zh-CN"/>
        </w:rPr>
      </w:pPr>
      <w:r>
        <w:rPr>
          <w:rFonts w:hint="eastAsia" w:ascii="方正兰亭黑简体" w:hAnsi="方正兰亭黑简体" w:eastAsia="方正兰亭黑简体" w:cs="方正兰亭黑简体"/>
          <w:color w:val="auto"/>
          <w:kern w:val="0"/>
          <w:sz w:val="22"/>
          <w:szCs w:val="22"/>
          <w:highlight w:val="none"/>
          <w:lang w:val="zh-CN" w:eastAsia="zh-CN"/>
        </w:rPr>
        <w:t>4、服务整改：对校方提出的服务质量问题，供应商需在规定时间内整改，整改后经校方验收合格。</w:t>
      </w:r>
    </w:p>
    <w:p w14:paraId="389BAB5E">
      <w:pPr>
        <w:jc w:val="left"/>
        <w:rPr>
          <w:rFonts w:hint="default" w:ascii="方正兰亭黑简体" w:hAnsi="方正兰亭黑简体" w:eastAsia="方正兰亭黑简体" w:cs="方正兰亭黑简体"/>
          <w:color w:val="auto"/>
          <w:kern w:val="0"/>
          <w:sz w:val="22"/>
          <w:szCs w:val="22"/>
          <w:highlight w:val="none"/>
          <w:lang w:val="en-US" w:eastAsia="zh-CN"/>
        </w:rPr>
      </w:pPr>
      <w:r>
        <w:rPr>
          <w:rFonts w:hint="eastAsia" w:ascii="方正兰亭黑简体" w:hAnsi="方正兰亭黑简体" w:eastAsia="方正兰亭黑简体" w:cs="方正兰亭黑简体"/>
          <w:color w:val="auto"/>
          <w:kern w:val="0"/>
          <w:sz w:val="22"/>
          <w:szCs w:val="22"/>
          <w:highlight w:val="none"/>
          <w:lang w:val="zh-CN" w:eastAsia="zh-CN"/>
        </w:rPr>
        <w:t>5、过服务期后：若双方续签合同，服务标准保持不变，若不续签，供应商需完成过渡期服务（费用结算标准不变）。</w:t>
      </w:r>
    </w:p>
    <w:p w14:paraId="53862EF8">
      <w:pPr>
        <w:jc w:val="left"/>
        <w:rPr>
          <w:rFonts w:hint="eastAsia" w:ascii="方正兰亭黑简体" w:hAnsi="方正兰亭黑简体" w:eastAsia="方正兰亭黑简体" w:cs="方正兰亭黑简体"/>
          <w:color w:val="auto"/>
          <w:kern w:val="0"/>
          <w:sz w:val="22"/>
          <w:szCs w:val="22"/>
          <w:highlight w:val="none"/>
          <w:lang w:val="zh-CN" w:eastAsia="zh-CN"/>
        </w:rPr>
      </w:pPr>
      <w:r>
        <w:rPr>
          <w:rFonts w:hint="eastAsia" w:ascii="方正兰亭黑简体" w:hAnsi="方正兰亭黑简体" w:eastAsia="方正兰亭黑简体" w:cs="方正兰亭黑简体"/>
          <w:color w:val="auto"/>
          <w:kern w:val="0"/>
          <w:sz w:val="22"/>
          <w:szCs w:val="22"/>
          <w:highlight w:val="none"/>
          <w:lang w:val="en-US" w:eastAsia="zh-CN"/>
        </w:rPr>
        <w:t>6、</w:t>
      </w:r>
      <w:r>
        <w:rPr>
          <w:rFonts w:hint="eastAsia" w:ascii="方正兰亭黑简体" w:hAnsi="方正兰亭黑简体" w:eastAsia="方正兰亭黑简体" w:cs="方正兰亭黑简体"/>
          <w:color w:val="auto"/>
          <w:kern w:val="0"/>
          <w:sz w:val="22"/>
          <w:szCs w:val="22"/>
          <w:highlight w:val="none"/>
          <w:lang w:val="zh-CN" w:eastAsia="zh-CN"/>
        </w:rPr>
        <w:t>供应商在服务开始前，对所有驾驶员开展校方服务规范、线路站点、应急处置等专项培训，培训合格后方可上岗。</w:t>
      </w:r>
    </w:p>
    <w:p w14:paraId="21AA83B1">
      <w:pPr>
        <w:jc w:val="left"/>
        <w:rPr>
          <w:rFonts w:hint="eastAsia" w:ascii="方正兰亭黑简体" w:hAnsi="方正兰亭黑简体" w:eastAsia="方正兰亭黑简体" w:cs="方正兰亭黑简体"/>
          <w:color w:val="auto"/>
          <w:kern w:val="0"/>
          <w:sz w:val="22"/>
          <w:szCs w:val="22"/>
          <w:highlight w:val="none"/>
          <w:lang w:val="zh-CN" w:eastAsia="zh-CN"/>
        </w:rPr>
      </w:pPr>
      <w:r>
        <w:rPr>
          <w:rFonts w:hint="eastAsia" w:ascii="方正兰亭黑简体" w:hAnsi="方正兰亭黑简体" w:eastAsia="方正兰亭黑简体" w:cs="方正兰亭黑简体"/>
          <w:color w:val="auto"/>
          <w:kern w:val="0"/>
          <w:sz w:val="22"/>
          <w:szCs w:val="22"/>
          <w:highlight w:val="none"/>
          <w:lang w:val="en-US" w:eastAsia="zh-CN"/>
        </w:rPr>
        <w:t>7、</w:t>
      </w:r>
      <w:r>
        <w:rPr>
          <w:rFonts w:hint="eastAsia" w:ascii="方正兰亭黑简体" w:hAnsi="方正兰亭黑简体" w:eastAsia="方正兰亭黑简体" w:cs="方正兰亭黑简体"/>
          <w:color w:val="auto"/>
          <w:kern w:val="0"/>
          <w:sz w:val="22"/>
          <w:szCs w:val="22"/>
          <w:highlight w:val="none"/>
          <w:lang w:val="zh-CN" w:eastAsia="zh-CN"/>
        </w:rPr>
        <w:t>服务期间，每季度组织一次驾驶员交通安全、服务礼仪再培训，校方可参与监督。</w:t>
      </w:r>
    </w:p>
    <w:p w14:paraId="1D5BEA22">
      <w:pPr>
        <w:jc w:val="left"/>
        <w:rPr>
          <w:rFonts w:hint="eastAsia" w:ascii="方正兰亭黑简体" w:hAnsi="方正兰亭黑简体" w:eastAsia="方正兰亭黑简体" w:cs="方正兰亭黑简体"/>
          <w:b/>
          <w:bCs/>
          <w:color w:val="auto"/>
          <w:sz w:val="24"/>
          <w:szCs w:val="32"/>
          <w:highlight w:val="none"/>
          <w:lang w:val="en-US" w:eastAsia="zh-CN"/>
        </w:rPr>
      </w:pPr>
      <w:r>
        <w:rPr>
          <w:rFonts w:hint="eastAsia" w:ascii="方正兰亭黑简体" w:hAnsi="方正兰亭黑简体" w:eastAsia="方正兰亭黑简体" w:cs="方正兰亭黑简体"/>
          <w:color w:val="auto"/>
          <w:kern w:val="0"/>
          <w:sz w:val="22"/>
          <w:szCs w:val="22"/>
          <w:highlight w:val="none"/>
          <w:lang w:val="en-US" w:eastAsia="zh-CN"/>
        </w:rPr>
        <w:t>8、</w:t>
      </w:r>
      <w:r>
        <w:rPr>
          <w:rFonts w:hint="eastAsia" w:ascii="方正兰亭黑简体" w:hAnsi="方正兰亭黑简体" w:eastAsia="方正兰亭黑简体" w:cs="方正兰亭黑简体"/>
          <w:color w:val="auto"/>
          <w:kern w:val="0"/>
          <w:sz w:val="22"/>
          <w:szCs w:val="22"/>
          <w:highlight w:val="none"/>
          <w:lang w:val="zh-CN" w:eastAsia="zh-CN"/>
        </w:rPr>
        <w:t>配合校方开展绿色出行、乘车安全等宣传培训工作。</w:t>
      </w:r>
    </w:p>
    <w:p w14:paraId="6F08D747">
      <w:pPr>
        <w:jc w:val="center"/>
        <w:rPr>
          <w:rFonts w:hint="default" w:ascii="方正兰亭黑简体" w:hAnsi="方正兰亭黑简体" w:eastAsia="方正兰亭黑简体" w:cs="方正兰亭黑简体"/>
          <w:b/>
          <w:bCs/>
          <w:color w:val="auto"/>
          <w:sz w:val="24"/>
          <w:szCs w:val="32"/>
          <w:highlight w:val="none"/>
          <w:lang w:val="en-US" w:eastAsia="zh-CN"/>
        </w:rPr>
      </w:pPr>
      <w:r>
        <w:rPr>
          <w:rFonts w:hint="eastAsia" w:ascii="方正兰亭黑简体" w:hAnsi="方正兰亭黑简体" w:eastAsia="方正兰亭黑简体" w:cs="方正兰亭黑简体"/>
          <w:b/>
          <w:bCs/>
          <w:color w:val="auto"/>
          <w:sz w:val="24"/>
          <w:szCs w:val="32"/>
          <w:highlight w:val="none"/>
          <w:lang w:val="en-US" w:eastAsia="zh-CN"/>
        </w:rPr>
        <w:t>第三章 评审办法</w:t>
      </w:r>
    </w:p>
    <w:p w14:paraId="69EFEE19">
      <w:pPr>
        <w:ind w:firstLine="440" w:firstLineChars="200"/>
        <w:jc w:val="left"/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</w:pP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  <w:t>综合本项目的特点，根据相关法律法规的规定，本着保护竞争，维护采购工作公开、公平、公正原则，特制定本评审办法，作为选定本次采购</w:t>
      </w: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  <w:lang w:eastAsia="zh-CN"/>
        </w:rPr>
        <w:t>中标</w:t>
      </w: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  <w:t>人的依据。</w:t>
      </w:r>
    </w:p>
    <w:p w14:paraId="117C4525">
      <w:pPr>
        <w:jc w:val="left"/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</w:pP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  <w:lang w:val="en-US" w:eastAsia="zh-CN"/>
        </w:rPr>
        <w:t>1、成立比选评审小组</w:t>
      </w:r>
    </w:p>
    <w:p w14:paraId="49C58FDA">
      <w:pPr>
        <w:jc w:val="left"/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</w:pP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  <w:t>采购人将根据</w:t>
      </w: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  <w:lang w:val="en-US" w:eastAsia="zh-CN"/>
        </w:rPr>
        <w:t>货物与服务</w:t>
      </w: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  <w:t>的特点，依</w:t>
      </w: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  <w:lang w:val="en-US" w:eastAsia="zh-CN"/>
        </w:rPr>
        <w:t>规</w:t>
      </w: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  <w:t>组建比选小组，比选小组由3人或以上的单数组成。</w:t>
      </w:r>
    </w:p>
    <w:p w14:paraId="123C9161">
      <w:pPr>
        <w:numPr>
          <w:ilvl w:val="0"/>
          <w:numId w:val="1"/>
        </w:numPr>
        <w:jc w:val="left"/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</w:pP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  <w:t>具体评分细则如下：</w:t>
      </w:r>
    </w:p>
    <w:tbl>
      <w:tblPr>
        <w:tblStyle w:val="14"/>
        <w:tblW w:w="5000" w:type="pct"/>
        <w:tblInd w:w="0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93"/>
        <w:gridCol w:w="1291"/>
        <w:gridCol w:w="837"/>
        <w:gridCol w:w="7041"/>
      </w:tblGrid>
      <w:tr w14:paraId="797AB1DB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398" w:type="pct"/>
            <w:vAlign w:val="center"/>
          </w:tcPr>
          <w:p w14:paraId="721DB15E">
            <w:pPr>
              <w:jc w:val="center"/>
              <w:rPr>
                <w:rFonts w:hint="default" w:ascii="Times New Roman" w:hAnsi="Times New Roman" w:eastAsia="方正兰亭黑简体" w:cs="Times New Roman"/>
                <w:b/>
                <w:color w:val="auto"/>
                <w:sz w:val="21"/>
                <w:szCs w:val="21"/>
                <w:highlight w:val="none"/>
              </w:rPr>
            </w:pPr>
            <w:bookmarkStart w:id="4" w:name="OLE_LINK9"/>
            <w:bookmarkStart w:id="5" w:name="OLE_LINK10"/>
            <w:bookmarkStart w:id="6" w:name="OLE_LINK8"/>
            <w:r>
              <w:rPr>
                <w:rFonts w:hint="default" w:ascii="Times New Roman" w:hAnsi="Times New Roman" w:eastAsia="方正兰亭黑简体" w:cs="Times New Roman"/>
                <w:b/>
                <w:color w:val="auto"/>
                <w:sz w:val="21"/>
                <w:szCs w:val="21"/>
                <w:highlight w:val="none"/>
              </w:rPr>
              <w:t>序号</w:t>
            </w:r>
          </w:p>
        </w:tc>
        <w:tc>
          <w:tcPr>
            <w:tcW w:w="648" w:type="pct"/>
            <w:vAlign w:val="center"/>
          </w:tcPr>
          <w:p w14:paraId="2C0B1CFA">
            <w:pPr>
              <w:jc w:val="center"/>
              <w:rPr>
                <w:rFonts w:hint="default" w:ascii="Times New Roman" w:hAnsi="Times New Roman" w:eastAsia="方正兰亭黑简体" w:cs="Times New Roman"/>
                <w:b/>
                <w:color w:val="auto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eastAsia="方正兰亭黑简体" w:cs="Times New Roman"/>
                <w:b/>
                <w:color w:val="auto"/>
                <w:sz w:val="21"/>
                <w:szCs w:val="21"/>
                <w:highlight w:val="none"/>
              </w:rPr>
              <w:t>评审因素</w:t>
            </w:r>
          </w:p>
        </w:tc>
        <w:tc>
          <w:tcPr>
            <w:tcW w:w="420" w:type="pct"/>
            <w:vAlign w:val="center"/>
          </w:tcPr>
          <w:p w14:paraId="4CC305A4">
            <w:pPr>
              <w:jc w:val="center"/>
              <w:rPr>
                <w:rFonts w:hint="default" w:ascii="Times New Roman" w:hAnsi="Times New Roman" w:eastAsia="方正兰亭黑简体" w:cs="Times New Roman"/>
                <w:b/>
                <w:color w:val="auto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eastAsia="方正兰亭黑简体" w:cs="Times New Roman"/>
                <w:b/>
                <w:color w:val="auto"/>
                <w:sz w:val="21"/>
                <w:szCs w:val="21"/>
                <w:highlight w:val="none"/>
              </w:rPr>
              <w:t>分值</w:t>
            </w:r>
          </w:p>
        </w:tc>
        <w:tc>
          <w:tcPr>
            <w:tcW w:w="3533" w:type="pct"/>
            <w:vAlign w:val="center"/>
          </w:tcPr>
          <w:p w14:paraId="218F0360">
            <w:pPr>
              <w:jc w:val="center"/>
              <w:rPr>
                <w:rFonts w:hint="default" w:ascii="Times New Roman" w:hAnsi="Times New Roman" w:eastAsia="方正兰亭黑简体" w:cs="Times New Roman"/>
                <w:b/>
                <w:color w:val="auto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eastAsia="方正兰亭黑简体" w:cs="Times New Roman"/>
                <w:b/>
                <w:color w:val="auto"/>
                <w:sz w:val="21"/>
                <w:szCs w:val="21"/>
                <w:highlight w:val="none"/>
              </w:rPr>
              <w:t>评审标准</w:t>
            </w:r>
          </w:p>
        </w:tc>
      </w:tr>
      <w:tr w14:paraId="369FD7E8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398" w:type="pct"/>
            <w:vAlign w:val="center"/>
          </w:tcPr>
          <w:p w14:paraId="0257C360">
            <w:pPr>
              <w:pStyle w:val="22"/>
              <w:numPr>
                <w:ilvl w:val="0"/>
                <w:numId w:val="0"/>
              </w:numPr>
              <w:adjustRightInd w:val="0"/>
              <w:spacing w:line="360" w:lineRule="atLeast"/>
              <w:ind w:leftChars="0"/>
              <w:jc w:val="center"/>
              <w:rPr>
                <w:rFonts w:hint="eastAsia" w:ascii="Times New Roman" w:hAnsi="Times New Roman" w:eastAsia="方正兰亭黑简体" w:cs="Times New Roman"/>
                <w:color w:val="auto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方正兰亭黑简体" w:cs="Times New Roman"/>
                <w:color w:val="auto"/>
                <w:sz w:val="21"/>
                <w:szCs w:val="21"/>
                <w:highlight w:val="none"/>
                <w:lang w:val="en-US" w:eastAsia="zh-CN"/>
              </w:rPr>
              <w:t>1</w:t>
            </w:r>
          </w:p>
        </w:tc>
        <w:tc>
          <w:tcPr>
            <w:tcW w:w="648" w:type="pct"/>
            <w:vAlign w:val="center"/>
          </w:tcPr>
          <w:p w14:paraId="6C5CDAFA">
            <w:pPr>
              <w:jc w:val="center"/>
              <w:rPr>
                <w:rFonts w:hint="default" w:ascii="Times New Roman" w:hAnsi="Times New Roman" w:eastAsia="方正兰亭黑简体" w:cs="Times New Roman"/>
                <w:color w:val="auto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eastAsia="方正兰亭黑简体" w:cs="Times New Roman"/>
                <w:color w:val="auto"/>
                <w:sz w:val="21"/>
                <w:szCs w:val="21"/>
                <w:highlight w:val="none"/>
              </w:rPr>
              <w:t>业绩</w:t>
            </w:r>
          </w:p>
          <w:p w14:paraId="44A38A50">
            <w:pPr>
              <w:jc w:val="center"/>
              <w:rPr>
                <w:rFonts w:hint="eastAsia" w:ascii="Times New Roman" w:hAnsi="Times New Roman" w:eastAsia="方正兰亭黑简体" w:cs="Times New Roman"/>
                <w:color w:val="auto"/>
                <w:sz w:val="21"/>
                <w:szCs w:val="21"/>
                <w:highlight w:val="none"/>
                <w:lang w:eastAsia="zh-CN"/>
              </w:rPr>
            </w:pPr>
            <w:r>
              <w:rPr>
                <w:rFonts w:hint="eastAsia" w:ascii="Times New Roman" w:hAnsi="Times New Roman" w:eastAsia="方正兰亭黑简体" w:cs="Times New Roman"/>
                <w:color w:val="auto"/>
                <w:sz w:val="21"/>
                <w:szCs w:val="21"/>
                <w:highlight w:val="none"/>
                <w:lang w:eastAsia="zh-CN"/>
              </w:rPr>
              <w:t>（</w:t>
            </w:r>
            <w:r>
              <w:rPr>
                <w:rFonts w:hint="eastAsia" w:ascii="Times New Roman" w:hAnsi="Times New Roman" w:eastAsia="方正兰亭黑简体" w:cs="Times New Roman"/>
                <w:color w:val="auto"/>
                <w:sz w:val="21"/>
                <w:szCs w:val="21"/>
                <w:highlight w:val="none"/>
                <w:lang w:val="en-US" w:eastAsia="zh-CN"/>
              </w:rPr>
              <w:t>客观分</w:t>
            </w:r>
            <w:r>
              <w:rPr>
                <w:rFonts w:hint="eastAsia" w:ascii="Times New Roman" w:hAnsi="Times New Roman" w:eastAsia="方正兰亭黑简体" w:cs="Times New Roman"/>
                <w:color w:val="auto"/>
                <w:sz w:val="21"/>
                <w:szCs w:val="21"/>
                <w:highlight w:val="none"/>
                <w:lang w:eastAsia="zh-CN"/>
              </w:rPr>
              <w:t>）</w:t>
            </w:r>
          </w:p>
        </w:tc>
        <w:tc>
          <w:tcPr>
            <w:tcW w:w="420" w:type="pct"/>
            <w:vAlign w:val="center"/>
          </w:tcPr>
          <w:p w14:paraId="555A19D0">
            <w:pPr>
              <w:jc w:val="center"/>
              <w:rPr>
                <w:rFonts w:hint="default" w:ascii="Times New Roman" w:hAnsi="Times New Roman" w:eastAsia="方正兰亭黑简体" w:cs="Times New Roman"/>
                <w:color w:val="auto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eastAsia="方正兰亭黑简体" w:cs="Times New Roman"/>
                <w:color w:val="auto"/>
                <w:sz w:val="21"/>
                <w:szCs w:val="21"/>
                <w:highlight w:val="none"/>
              </w:rPr>
              <w:t>10</w:t>
            </w:r>
          </w:p>
        </w:tc>
        <w:tc>
          <w:tcPr>
            <w:tcW w:w="3533" w:type="pct"/>
            <w:vAlign w:val="center"/>
          </w:tcPr>
          <w:p w14:paraId="2B6233B7">
            <w:pPr>
              <w:jc w:val="left"/>
              <w:rPr>
                <w:rFonts w:hint="default" w:ascii="Times New Roman" w:hAnsi="Times New Roman" w:eastAsia="方正兰亭黑简体" w:cs="Times New Roman"/>
                <w:color w:val="auto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eastAsia="方正兰亭黑简体" w:cs="Times New Roman"/>
                <w:color w:val="auto"/>
                <w:sz w:val="21"/>
                <w:szCs w:val="21"/>
                <w:highlight w:val="none"/>
              </w:rPr>
              <w:t>响应人自202</w:t>
            </w:r>
            <w:r>
              <w:rPr>
                <w:rFonts w:hint="eastAsia" w:ascii="Times New Roman" w:hAnsi="Times New Roman" w:eastAsia="方正兰亭黑简体" w:cs="Times New Roman"/>
                <w:color w:val="auto"/>
                <w:sz w:val="21"/>
                <w:szCs w:val="21"/>
                <w:highlight w:val="none"/>
                <w:lang w:val="en-US" w:eastAsia="zh-CN"/>
              </w:rPr>
              <w:t>3</w:t>
            </w:r>
            <w:r>
              <w:rPr>
                <w:rFonts w:hint="default" w:ascii="Times New Roman" w:hAnsi="Times New Roman" w:eastAsia="方正兰亭黑简体" w:cs="Times New Roman"/>
                <w:color w:val="auto"/>
                <w:sz w:val="21"/>
                <w:szCs w:val="21"/>
                <w:highlight w:val="none"/>
              </w:rPr>
              <w:t>年</w:t>
            </w:r>
            <w:r>
              <w:rPr>
                <w:rFonts w:hint="eastAsia" w:ascii="Times New Roman" w:hAnsi="Times New Roman" w:eastAsia="方正兰亭黑简体" w:cs="Times New Roman"/>
                <w:color w:val="auto"/>
                <w:sz w:val="21"/>
                <w:szCs w:val="21"/>
                <w:highlight w:val="none"/>
                <w:lang w:val="en-US" w:eastAsia="zh-CN"/>
              </w:rPr>
              <w:t>4</w:t>
            </w:r>
            <w:r>
              <w:rPr>
                <w:rFonts w:hint="default" w:ascii="Times New Roman" w:hAnsi="Times New Roman" w:eastAsia="方正兰亭黑简体" w:cs="Times New Roman"/>
                <w:color w:val="auto"/>
                <w:sz w:val="21"/>
                <w:szCs w:val="21"/>
                <w:highlight w:val="none"/>
              </w:rPr>
              <w:t>月1日以来，具有的短驳车服务业绩情况，有1个有效业绩得2分，最多得10分，没有的不得分。</w:t>
            </w:r>
          </w:p>
          <w:p w14:paraId="3E17C71C">
            <w:pPr>
              <w:jc w:val="left"/>
              <w:rPr>
                <w:rFonts w:hint="default" w:ascii="Times New Roman" w:hAnsi="Times New Roman" w:eastAsia="方正兰亭黑简体" w:cs="Times New Roman"/>
                <w:color w:val="auto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eastAsia="方正兰亭黑简体" w:cs="Times New Roman"/>
                <w:color w:val="auto"/>
                <w:sz w:val="21"/>
                <w:szCs w:val="21"/>
                <w:highlight w:val="none"/>
              </w:rPr>
              <w:t>证明材料：合同复印件加盖响应人公章。同一个甲方的业绩不累计得分。</w:t>
            </w:r>
          </w:p>
        </w:tc>
      </w:tr>
      <w:tr w14:paraId="65C73BF9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398" w:type="pct"/>
            <w:vAlign w:val="center"/>
          </w:tcPr>
          <w:p w14:paraId="47B87D74">
            <w:pPr>
              <w:pStyle w:val="22"/>
              <w:numPr>
                <w:ilvl w:val="0"/>
                <w:numId w:val="0"/>
              </w:numPr>
              <w:adjustRightInd w:val="0"/>
              <w:spacing w:line="360" w:lineRule="atLeast"/>
              <w:ind w:leftChars="0"/>
              <w:jc w:val="center"/>
              <w:rPr>
                <w:rFonts w:hint="eastAsia" w:ascii="Times New Roman" w:hAnsi="Times New Roman" w:eastAsia="方正兰亭黑简体" w:cs="Times New Roman"/>
                <w:color w:val="auto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方正兰亭黑简体" w:cs="Times New Roman"/>
                <w:color w:val="auto"/>
                <w:sz w:val="21"/>
                <w:szCs w:val="21"/>
                <w:highlight w:val="none"/>
                <w:lang w:val="en-US" w:eastAsia="zh-CN"/>
              </w:rPr>
              <w:t>2</w:t>
            </w:r>
          </w:p>
        </w:tc>
        <w:tc>
          <w:tcPr>
            <w:tcW w:w="648" w:type="pct"/>
            <w:vAlign w:val="center"/>
          </w:tcPr>
          <w:p w14:paraId="1E2C91E9">
            <w:pPr>
              <w:jc w:val="center"/>
              <w:rPr>
                <w:rFonts w:hint="default" w:ascii="Times New Roman" w:hAnsi="Times New Roman" w:eastAsia="方正兰亭黑简体" w:cs="Times New Roman"/>
                <w:color w:val="auto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eastAsia="方正兰亭黑简体" w:cs="Times New Roman"/>
                <w:color w:val="auto"/>
                <w:sz w:val="21"/>
                <w:szCs w:val="21"/>
                <w:highlight w:val="none"/>
              </w:rPr>
              <w:t>响应偏离</w:t>
            </w:r>
          </w:p>
          <w:p w14:paraId="501883FE">
            <w:pPr>
              <w:jc w:val="center"/>
              <w:rPr>
                <w:rFonts w:hint="default" w:ascii="Times New Roman" w:hAnsi="Times New Roman" w:eastAsia="方正兰亭黑简体" w:cs="Times New Roman"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="Times New Roman" w:hAnsi="Times New Roman" w:eastAsia="方正兰亭黑简体" w:cs="Times New Roman"/>
                <w:color w:val="auto"/>
                <w:sz w:val="21"/>
                <w:szCs w:val="21"/>
                <w:highlight w:val="none"/>
                <w:lang w:eastAsia="zh-CN"/>
              </w:rPr>
              <w:t>（</w:t>
            </w:r>
            <w:r>
              <w:rPr>
                <w:rFonts w:hint="eastAsia" w:ascii="Times New Roman" w:hAnsi="Times New Roman" w:eastAsia="方正兰亭黑简体" w:cs="Times New Roman"/>
                <w:color w:val="auto"/>
                <w:sz w:val="21"/>
                <w:szCs w:val="21"/>
                <w:highlight w:val="none"/>
                <w:lang w:val="en-US" w:eastAsia="zh-CN"/>
              </w:rPr>
              <w:t>客观分</w:t>
            </w:r>
            <w:r>
              <w:rPr>
                <w:rFonts w:hint="eastAsia" w:ascii="Times New Roman" w:hAnsi="Times New Roman" w:eastAsia="方正兰亭黑简体" w:cs="Times New Roman"/>
                <w:color w:val="auto"/>
                <w:sz w:val="21"/>
                <w:szCs w:val="21"/>
                <w:highlight w:val="none"/>
                <w:lang w:eastAsia="zh-CN"/>
              </w:rPr>
              <w:t>）</w:t>
            </w:r>
          </w:p>
        </w:tc>
        <w:tc>
          <w:tcPr>
            <w:tcW w:w="420" w:type="pct"/>
            <w:vAlign w:val="center"/>
          </w:tcPr>
          <w:p w14:paraId="0F70E178">
            <w:pPr>
              <w:jc w:val="center"/>
              <w:rPr>
                <w:rFonts w:hint="default" w:ascii="Times New Roman" w:hAnsi="Times New Roman" w:eastAsia="方正兰亭黑简体" w:cs="Times New Roman"/>
                <w:color w:val="auto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eastAsia="方正兰亭黑简体" w:cs="Times New Roman"/>
                <w:color w:val="auto"/>
                <w:sz w:val="21"/>
                <w:szCs w:val="21"/>
                <w:highlight w:val="none"/>
              </w:rPr>
              <w:t>5</w:t>
            </w:r>
          </w:p>
        </w:tc>
        <w:tc>
          <w:tcPr>
            <w:tcW w:w="3533" w:type="pct"/>
            <w:vAlign w:val="center"/>
          </w:tcPr>
          <w:p w14:paraId="3C416FFB">
            <w:pPr>
              <w:jc w:val="left"/>
              <w:rPr>
                <w:rFonts w:hint="default" w:ascii="Times New Roman" w:hAnsi="Times New Roman" w:eastAsia="方正兰亭黑简体" w:cs="Times New Roman"/>
                <w:color w:val="auto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eastAsia="方正兰亭黑简体" w:cs="Times New Roman"/>
                <w:color w:val="auto"/>
                <w:sz w:val="21"/>
                <w:szCs w:val="21"/>
                <w:highlight w:val="none"/>
              </w:rPr>
              <w:t>响应（技术、商务）响应与采购需求的符合性评审。</w:t>
            </w:r>
          </w:p>
          <w:p w14:paraId="1CEFB72A">
            <w:pPr>
              <w:numPr>
                <w:ilvl w:val="0"/>
                <w:numId w:val="2"/>
              </w:numPr>
              <w:adjustRightInd/>
              <w:jc w:val="left"/>
              <w:textAlignment w:val="auto"/>
              <w:rPr>
                <w:rFonts w:hint="default" w:ascii="Times New Roman" w:hAnsi="Times New Roman" w:eastAsia="方正兰亭黑简体" w:cs="Times New Roman"/>
                <w:color w:val="auto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eastAsia="方正兰亭黑简体" w:cs="Times New Roman"/>
                <w:color w:val="auto"/>
                <w:sz w:val="21"/>
                <w:szCs w:val="21"/>
                <w:highlight w:val="none"/>
              </w:rPr>
              <w:t>响应（技术、商务）响应完全符合采购要求的此项得满分；</w:t>
            </w:r>
          </w:p>
          <w:p w14:paraId="364D8956">
            <w:pPr>
              <w:numPr>
                <w:ilvl w:val="0"/>
                <w:numId w:val="2"/>
              </w:numPr>
              <w:jc w:val="left"/>
              <w:rPr>
                <w:rFonts w:hint="default" w:ascii="Times New Roman" w:hAnsi="Times New Roman" w:eastAsia="方正兰亭黑简体" w:cs="Times New Roman"/>
                <w:color w:val="auto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eastAsia="方正兰亭黑简体" w:cs="Times New Roman"/>
                <w:color w:val="auto"/>
                <w:sz w:val="21"/>
                <w:szCs w:val="21"/>
                <w:highlight w:val="none"/>
              </w:rPr>
              <w:t>一般技术或商务要求存在负偏离的每条扣1分。</w:t>
            </w:r>
          </w:p>
          <w:p w14:paraId="4A565C27">
            <w:pPr>
              <w:jc w:val="left"/>
              <w:rPr>
                <w:rFonts w:hint="default" w:ascii="Times New Roman" w:hAnsi="Times New Roman" w:eastAsia="方正兰亭黑简体" w:cs="Times New Roman"/>
                <w:color w:val="auto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eastAsia="方正兰亭黑简体" w:cs="Times New Roman"/>
                <w:color w:val="auto"/>
                <w:sz w:val="21"/>
                <w:szCs w:val="21"/>
                <w:highlight w:val="none"/>
              </w:rPr>
              <w:t>备注：响应响应表响应情况与响应文件中所提供的证明材料不一致时，评审小组可认定为负偏离。</w:t>
            </w:r>
          </w:p>
        </w:tc>
      </w:tr>
      <w:tr w14:paraId="0B046648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398" w:type="pct"/>
            <w:vAlign w:val="center"/>
          </w:tcPr>
          <w:p w14:paraId="45DF6523">
            <w:pPr>
              <w:pStyle w:val="22"/>
              <w:numPr>
                <w:ilvl w:val="0"/>
                <w:numId w:val="0"/>
              </w:numPr>
              <w:adjustRightInd w:val="0"/>
              <w:spacing w:line="360" w:lineRule="atLeast"/>
              <w:ind w:leftChars="0"/>
              <w:jc w:val="center"/>
              <w:rPr>
                <w:rFonts w:hint="default" w:ascii="Times New Roman" w:hAnsi="Times New Roman" w:eastAsia="方正兰亭黑简体" w:cs="Times New Roman"/>
                <w:color w:val="auto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方正兰亭黑简体" w:cs="Times New Roman"/>
                <w:color w:val="auto"/>
                <w:sz w:val="21"/>
                <w:szCs w:val="21"/>
                <w:highlight w:val="none"/>
                <w:lang w:val="en-US" w:eastAsia="zh-CN"/>
              </w:rPr>
              <w:t>3</w:t>
            </w:r>
          </w:p>
        </w:tc>
        <w:tc>
          <w:tcPr>
            <w:tcW w:w="648" w:type="pct"/>
            <w:vAlign w:val="center"/>
          </w:tcPr>
          <w:p w14:paraId="460F0222">
            <w:pPr>
              <w:jc w:val="center"/>
              <w:rPr>
                <w:rFonts w:hint="default" w:ascii="Times New Roman" w:hAnsi="Times New Roman" w:eastAsia="方正兰亭黑简体" w:cs="Times New Roman"/>
                <w:color w:val="auto"/>
                <w:sz w:val="21"/>
                <w:szCs w:val="21"/>
                <w:highlight w:val="none"/>
              </w:rPr>
            </w:pPr>
            <w:bookmarkStart w:id="7" w:name="OLE_LINK4"/>
            <w:bookmarkStart w:id="8" w:name="OLE_LINK5"/>
            <w:r>
              <w:rPr>
                <w:rFonts w:hint="default" w:ascii="Times New Roman" w:hAnsi="Times New Roman" w:eastAsia="方正兰亭黑简体" w:cs="Times New Roman"/>
                <w:color w:val="auto"/>
                <w:sz w:val="21"/>
                <w:szCs w:val="21"/>
                <w:highlight w:val="none"/>
              </w:rPr>
              <w:t>服务方案</w:t>
            </w:r>
            <w:bookmarkEnd w:id="7"/>
            <w:bookmarkEnd w:id="8"/>
          </w:p>
          <w:p w14:paraId="52BCCC1E">
            <w:pPr>
              <w:jc w:val="center"/>
              <w:rPr>
                <w:rFonts w:hint="eastAsia" w:ascii="Times New Roman" w:hAnsi="Times New Roman" w:eastAsia="方正兰亭黑简体" w:cs="Times New Roman"/>
                <w:color w:val="auto"/>
                <w:sz w:val="21"/>
                <w:szCs w:val="21"/>
                <w:highlight w:val="none"/>
                <w:lang w:eastAsia="zh-CN"/>
              </w:rPr>
            </w:pPr>
            <w:r>
              <w:rPr>
                <w:rFonts w:hint="eastAsia" w:ascii="Times New Roman" w:hAnsi="Times New Roman" w:eastAsia="方正兰亭黑简体" w:cs="Times New Roman"/>
                <w:color w:val="auto"/>
                <w:sz w:val="21"/>
                <w:szCs w:val="21"/>
                <w:highlight w:val="none"/>
                <w:lang w:eastAsia="zh-CN"/>
              </w:rPr>
              <w:t>（</w:t>
            </w:r>
            <w:r>
              <w:rPr>
                <w:rFonts w:hint="eastAsia" w:ascii="Times New Roman" w:hAnsi="Times New Roman" w:eastAsia="方正兰亭黑简体" w:cs="Times New Roman"/>
                <w:color w:val="auto"/>
                <w:sz w:val="21"/>
                <w:szCs w:val="21"/>
                <w:highlight w:val="none"/>
                <w:lang w:val="en-US" w:eastAsia="zh-CN"/>
              </w:rPr>
              <w:t>主观分</w:t>
            </w:r>
            <w:r>
              <w:rPr>
                <w:rFonts w:hint="eastAsia" w:ascii="Times New Roman" w:hAnsi="Times New Roman" w:eastAsia="方正兰亭黑简体" w:cs="Times New Roman"/>
                <w:color w:val="auto"/>
                <w:sz w:val="21"/>
                <w:szCs w:val="21"/>
                <w:highlight w:val="none"/>
                <w:lang w:eastAsia="zh-CN"/>
              </w:rPr>
              <w:t>）</w:t>
            </w:r>
          </w:p>
        </w:tc>
        <w:tc>
          <w:tcPr>
            <w:tcW w:w="420" w:type="pct"/>
            <w:vAlign w:val="center"/>
          </w:tcPr>
          <w:p w14:paraId="289461C8">
            <w:pPr>
              <w:jc w:val="center"/>
              <w:rPr>
                <w:rFonts w:hint="default" w:ascii="Times New Roman" w:hAnsi="Times New Roman" w:eastAsia="方正兰亭黑简体" w:cs="Times New Roman"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="Times New Roman" w:hAnsi="Times New Roman" w:eastAsia="方正兰亭黑简体" w:cs="Times New Roman"/>
                <w:color w:val="auto"/>
                <w:sz w:val="21"/>
                <w:szCs w:val="21"/>
                <w:highlight w:val="none"/>
                <w:lang w:val="en-US" w:eastAsia="zh-CN"/>
              </w:rPr>
              <w:t>2</w:t>
            </w:r>
            <w:r>
              <w:rPr>
                <w:rFonts w:hint="default" w:ascii="Times New Roman" w:hAnsi="Times New Roman" w:eastAsia="方正兰亭黑简体" w:cs="Times New Roman"/>
                <w:color w:val="auto"/>
                <w:sz w:val="21"/>
                <w:szCs w:val="21"/>
                <w:highlight w:val="none"/>
              </w:rPr>
              <w:t>0</w:t>
            </w:r>
          </w:p>
        </w:tc>
        <w:tc>
          <w:tcPr>
            <w:tcW w:w="3533" w:type="pct"/>
            <w:vAlign w:val="center"/>
          </w:tcPr>
          <w:p w14:paraId="37E3F714">
            <w:pPr>
              <w:jc w:val="left"/>
              <w:rPr>
                <w:rFonts w:hint="default" w:ascii="Times New Roman" w:hAnsi="Times New Roman" w:eastAsia="方正兰亭黑简体" w:cs="Times New Roman"/>
                <w:color w:val="auto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eastAsia="方正兰亭黑简体" w:cs="Times New Roman"/>
                <w:color w:val="auto"/>
                <w:sz w:val="21"/>
                <w:szCs w:val="21"/>
                <w:highlight w:val="none"/>
              </w:rPr>
              <w:t>根据响应人提供的服务方案，包括但不限于线路设计、工作计划、运营保障、安全保障、突发应急预案、重大事项保障、服务承诺等内容进行综合评审。</w:t>
            </w:r>
          </w:p>
        </w:tc>
      </w:tr>
      <w:tr w14:paraId="0246D3E9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398" w:type="pct"/>
            <w:vAlign w:val="center"/>
          </w:tcPr>
          <w:p w14:paraId="75DB58D2">
            <w:pPr>
              <w:pStyle w:val="22"/>
              <w:numPr>
                <w:ilvl w:val="0"/>
                <w:numId w:val="0"/>
              </w:numPr>
              <w:adjustRightInd w:val="0"/>
              <w:spacing w:line="360" w:lineRule="atLeast"/>
              <w:ind w:leftChars="0"/>
              <w:jc w:val="center"/>
              <w:rPr>
                <w:rFonts w:hint="eastAsia" w:ascii="Times New Roman" w:hAnsi="Times New Roman" w:eastAsia="方正兰亭黑简体" w:cs="Times New Roman"/>
                <w:color w:val="auto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方正兰亭黑简体" w:cs="Times New Roman"/>
                <w:color w:val="auto"/>
                <w:sz w:val="21"/>
                <w:szCs w:val="21"/>
                <w:highlight w:val="none"/>
                <w:lang w:val="en-US" w:eastAsia="zh-CN"/>
              </w:rPr>
              <w:t>4</w:t>
            </w:r>
          </w:p>
        </w:tc>
        <w:tc>
          <w:tcPr>
            <w:tcW w:w="648" w:type="pct"/>
            <w:vAlign w:val="center"/>
          </w:tcPr>
          <w:p w14:paraId="2CBDAA1A">
            <w:pPr>
              <w:jc w:val="center"/>
              <w:rPr>
                <w:rFonts w:hint="default" w:ascii="Times New Roman" w:hAnsi="Times New Roman" w:eastAsia="方正兰亭黑简体" w:cs="Times New Roman"/>
                <w:bCs/>
                <w:color w:val="auto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eastAsia="方正兰亭黑简体" w:cs="Times New Roman"/>
                <w:bCs/>
                <w:color w:val="auto"/>
                <w:sz w:val="21"/>
                <w:szCs w:val="21"/>
                <w:highlight w:val="none"/>
              </w:rPr>
              <w:t>项目管理与制度</w:t>
            </w:r>
          </w:p>
          <w:p w14:paraId="541E46A5">
            <w:pPr>
              <w:jc w:val="center"/>
              <w:rPr>
                <w:rFonts w:hint="default" w:ascii="Times New Roman" w:hAnsi="Times New Roman" w:eastAsia="方正兰亭黑简体" w:cs="Times New Roman"/>
                <w:bCs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="Times New Roman" w:hAnsi="Times New Roman" w:eastAsia="方正兰亭黑简体" w:cs="Times New Roman"/>
                <w:color w:val="auto"/>
                <w:sz w:val="21"/>
                <w:szCs w:val="21"/>
                <w:highlight w:val="none"/>
                <w:lang w:eastAsia="zh-CN"/>
              </w:rPr>
              <w:t>（</w:t>
            </w:r>
            <w:r>
              <w:rPr>
                <w:rFonts w:hint="eastAsia" w:ascii="Times New Roman" w:hAnsi="Times New Roman" w:eastAsia="方正兰亭黑简体" w:cs="Times New Roman"/>
                <w:color w:val="auto"/>
                <w:sz w:val="21"/>
                <w:szCs w:val="21"/>
                <w:highlight w:val="none"/>
                <w:lang w:val="en-US" w:eastAsia="zh-CN"/>
              </w:rPr>
              <w:t>主观分</w:t>
            </w:r>
            <w:r>
              <w:rPr>
                <w:rFonts w:hint="eastAsia" w:ascii="Times New Roman" w:hAnsi="Times New Roman" w:eastAsia="方正兰亭黑简体" w:cs="Times New Roman"/>
                <w:color w:val="auto"/>
                <w:sz w:val="21"/>
                <w:szCs w:val="21"/>
                <w:highlight w:val="none"/>
                <w:lang w:eastAsia="zh-CN"/>
              </w:rPr>
              <w:t>）</w:t>
            </w:r>
          </w:p>
        </w:tc>
        <w:tc>
          <w:tcPr>
            <w:tcW w:w="420" w:type="pct"/>
            <w:vAlign w:val="center"/>
          </w:tcPr>
          <w:p w14:paraId="2896BF07">
            <w:pPr>
              <w:jc w:val="center"/>
              <w:rPr>
                <w:rFonts w:hint="default" w:ascii="Times New Roman" w:hAnsi="Times New Roman" w:eastAsia="方正兰亭黑简体" w:cs="Times New Roman"/>
                <w:color w:val="auto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eastAsia="方正兰亭黑简体" w:cs="Times New Roman"/>
                <w:color w:val="auto"/>
                <w:sz w:val="21"/>
                <w:szCs w:val="21"/>
                <w:highlight w:val="none"/>
              </w:rPr>
              <w:t>10</w:t>
            </w:r>
          </w:p>
        </w:tc>
        <w:tc>
          <w:tcPr>
            <w:tcW w:w="3533" w:type="pct"/>
            <w:vAlign w:val="center"/>
          </w:tcPr>
          <w:p w14:paraId="54DFC892">
            <w:pPr>
              <w:jc w:val="left"/>
              <w:rPr>
                <w:rFonts w:hint="default" w:ascii="Times New Roman" w:hAnsi="Times New Roman" w:eastAsia="方正兰亭黑简体" w:cs="Times New Roman"/>
                <w:color w:val="auto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eastAsia="方正兰亭黑简体" w:cs="Times New Roman"/>
                <w:color w:val="auto"/>
                <w:sz w:val="21"/>
                <w:szCs w:val="21"/>
                <w:highlight w:val="none"/>
              </w:rPr>
              <w:t>公司组织架构与规章制度完善，各项工作职责明确，考核机制健全规范，安全管理制度周详，有完善的激励机制、监督机制、自我约束机制、信息反馈渠道及处理机制，投入的团队成员具备针对性等。</w:t>
            </w:r>
          </w:p>
          <w:p w14:paraId="59E1D432">
            <w:pPr>
              <w:jc w:val="left"/>
              <w:rPr>
                <w:rFonts w:hint="default" w:ascii="Times New Roman" w:hAnsi="Times New Roman" w:eastAsia="方正兰亭黑简体" w:cs="Times New Roman"/>
                <w:color w:val="auto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eastAsia="方正兰亭黑简体" w:cs="Times New Roman"/>
                <w:color w:val="auto"/>
                <w:sz w:val="21"/>
                <w:szCs w:val="21"/>
                <w:highlight w:val="none"/>
              </w:rPr>
              <w:t>需提供团队人员的简历资料。</w:t>
            </w:r>
          </w:p>
        </w:tc>
      </w:tr>
      <w:tr w14:paraId="1BBC3317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398" w:type="pct"/>
            <w:vAlign w:val="center"/>
          </w:tcPr>
          <w:p w14:paraId="6B8ED165">
            <w:pPr>
              <w:pStyle w:val="22"/>
              <w:numPr>
                <w:ilvl w:val="0"/>
                <w:numId w:val="0"/>
              </w:numPr>
              <w:adjustRightInd w:val="0"/>
              <w:spacing w:line="360" w:lineRule="atLeast"/>
              <w:ind w:leftChars="0"/>
              <w:jc w:val="center"/>
              <w:rPr>
                <w:rFonts w:hint="eastAsia" w:ascii="Times New Roman" w:hAnsi="Times New Roman" w:eastAsia="方正兰亭黑简体" w:cs="Times New Roman"/>
                <w:color w:val="auto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方正兰亭黑简体" w:cs="Times New Roman"/>
                <w:color w:val="auto"/>
                <w:sz w:val="21"/>
                <w:szCs w:val="21"/>
                <w:highlight w:val="none"/>
                <w:lang w:val="en-US" w:eastAsia="zh-CN"/>
              </w:rPr>
              <w:t>5</w:t>
            </w:r>
          </w:p>
        </w:tc>
        <w:tc>
          <w:tcPr>
            <w:tcW w:w="648" w:type="pct"/>
            <w:vAlign w:val="center"/>
          </w:tcPr>
          <w:p w14:paraId="45E778BD">
            <w:pPr>
              <w:jc w:val="center"/>
              <w:rPr>
                <w:rFonts w:hint="default" w:ascii="Times New Roman" w:hAnsi="Times New Roman" w:eastAsia="方正兰亭黑简体" w:cs="Times New Roman"/>
                <w:color w:val="auto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eastAsia="方正兰亭黑简体" w:cs="Times New Roman"/>
                <w:color w:val="auto"/>
                <w:sz w:val="21"/>
                <w:szCs w:val="21"/>
                <w:highlight w:val="none"/>
              </w:rPr>
              <w:t>驾驶员配置</w:t>
            </w:r>
          </w:p>
          <w:p w14:paraId="0EB240D1">
            <w:pPr>
              <w:jc w:val="center"/>
              <w:rPr>
                <w:rFonts w:hint="default" w:ascii="Times New Roman" w:hAnsi="Times New Roman" w:eastAsia="方正兰亭黑简体" w:cs="Times New Roman"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="Times New Roman" w:hAnsi="Times New Roman" w:eastAsia="方正兰亭黑简体" w:cs="Times New Roman"/>
                <w:color w:val="auto"/>
                <w:sz w:val="21"/>
                <w:szCs w:val="21"/>
                <w:highlight w:val="none"/>
                <w:lang w:eastAsia="zh-CN"/>
              </w:rPr>
              <w:t>（</w:t>
            </w:r>
            <w:r>
              <w:rPr>
                <w:rFonts w:hint="eastAsia" w:ascii="Times New Roman" w:hAnsi="Times New Roman" w:eastAsia="方正兰亭黑简体" w:cs="Times New Roman"/>
                <w:color w:val="auto"/>
                <w:sz w:val="21"/>
                <w:szCs w:val="21"/>
                <w:highlight w:val="none"/>
                <w:lang w:val="en-US" w:eastAsia="zh-CN"/>
              </w:rPr>
              <w:t>主观分</w:t>
            </w:r>
            <w:r>
              <w:rPr>
                <w:rFonts w:hint="eastAsia" w:ascii="Times New Roman" w:hAnsi="Times New Roman" w:eastAsia="方正兰亭黑简体" w:cs="Times New Roman"/>
                <w:color w:val="auto"/>
                <w:sz w:val="21"/>
                <w:szCs w:val="21"/>
                <w:highlight w:val="none"/>
                <w:lang w:eastAsia="zh-CN"/>
              </w:rPr>
              <w:t>）</w:t>
            </w:r>
          </w:p>
        </w:tc>
        <w:tc>
          <w:tcPr>
            <w:tcW w:w="420" w:type="pct"/>
            <w:vAlign w:val="center"/>
          </w:tcPr>
          <w:p w14:paraId="7BD3ABA2">
            <w:pPr>
              <w:jc w:val="center"/>
              <w:rPr>
                <w:rFonts w:hint="default" w:ascii="Times New Roman" w:hAnsi="Times New Roman" w:eastAsia="方正兰亭黑简体" w:cs="Times New Roman"/>
                <w:color w:val="auto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eastAsia="方正兰亭黑简体" w:cs="Times New Roman"/>
                <w:color w:val="auto"/>
                <w:sz w:val="21"/>
                <w:szCs w:val="21"/>
                <w:highlight w:val="none"/>
              </w:rPr>
              <w:t>15</w:t>
            </w:r>
          </w:p>
        </w:tc>
        <w:tc>
          <w:tcPr>
            <w:tcW w:w="3533" w:type="pct"/>
            <w:vAlign w:val="center"/>
          </w:tcPr>
          <w:p w14:paraId="0CD04F3E">
            <w:pPr>
              <w:jc w:val="left"/>
              <w:rPr>
                <w:rFonts w:hint="default" w:ascii="Times New Roman" w:hAnsi="Times New Roman" w:eastAsia="方正兰亭黑简体" w:cs="Times New Roman"/>
                <w:color w:val="auto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eastAsia="方正兰亭黑简体" w:cs="Times New Roman"/>
                <w:color w:val="auto"/>
                <w:sz w:val="21"/>
                <w:szCs w:val="21"/>
                <w:highlight w:val="none"/>
              </w:rPr>
              <w:t>根据提供的驾驶员配置、年龄、驾龄、事故情况等内容进行综合评审。</w:t>
            </w:r>
          </w:p>
          <w:p w14:paraId="57EC84B7">
            <w:pPr>
              <w:jc w:val="left"/>
              <w:rPr>
                <w:rFonts w:hint="default" w:ascii="Times New Roman" w:hAnsi="Times New Roman" w:eastAsia="方正兰亭黑简体" w:cs="Times New Roman"/>
                <w:color w:val="auto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eastAsia="方正兰亭黑简体" w:cs="Times New Roman"/>
                <w:color w:val="auto"/>
                <w:sz w:val="21"/>
                <w:szCs w:val="21"/>
                <w:highlight w:val="none"/>
              </w:rPr>
              <w:t>需提供驾驶员的简历资料、近3个月社保缴纳证明资料、驾驶证资料。</w:t>
            </w:r>
          </w:p>
        </w:tc>
      </w:tr>
      <w:tr w14:paraId="60915F48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398" w:type="pct"/>
            <w:vAlign w:val="center"/>
          </w:tcPr>
          <w:p w14:paraId="2C358970">
            <w:pPr>
              <w:pStyle w:val="22"/>
              <w:numPr>
                <w:ilvl w:val="0"/>
                <w:numId w:val="0"/>
              </w:numPr>
              <w:adjustRightInd w:val="0"/>
              <w:spacing w:line="360" w:lineRule="atLeast"/>
              <w:ind w:leftChars="0"/>
              <w:jc w:val="center"/>
              <w:rPr>
                <w:rFonts w:hint="eastAsia" w:ascii="Times New Roman" w:hAnsi="Times New Roman" w:eastAsia="方正兰亭黑简体" w:cs="Times New Roman"/>
                <w:color w:val="auto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方正兰亭黑简体" w:cs="Times New Roman"/>
                <w:color w:val="auto"/>
                <w:sz w:val="21"/>
                <w:szCs w:val="21"/>
                <w:highlight w:val="none"/>
                <w:lang w:val="en-US" w:eastAsia="zh-CN"/>
              </w:rPr>
              <w:t>6</w:t>
            </w:r>
          </w:p>
        </w:tc>
        <w:tc>
          <w:tcPr>
            <w:tcW w:w="648" w:type="pct"/>
            <w:vAlign w:val="center"/>
          </w:tcPr>
          <w:p w14:paraId="40FADED6">
            <w:pPr>
              <w:jc w:val="center"/>
              <w:rPr>
                <w:rFonts w:hint="default" w:ascii="Times New Roman" w:hAnsi="Times New Roman" w:eastAsia="方正兰亭黑简体" w:cs="Times New Roman"/>
                <w:color w:val="auto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eastAsia="方正兰亭黑简体" w:cs="Times New Roman"/>
                <w:color w:val="auto"/>
                <w:sz w:val="21"/>
                <w:szCs w:val="21"/>
                <w:highlight w:val="none"/>
              </w:rPr>
              <w:t>车辆保险</w:t>
            </w:r>
          </w:p>
          <w:p w14:paraId="3AB678FB">
            <w:pPr>
              <w:jc w:val="center"/>
              <w:rPr>
                <w:rFonts w:hint="default" w:ascii="Times New Roman" w:hAnsi="Times New Roman" w:eastAsia="方正兰亭黑简体" w:cs="Times New Roman"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="Times New Roman" w:hAnsi="Times New Roman" w:eastAsia="方正兰亭黑简体" w:cs="Times New Roman"/>
                <w:color w:val="auto"/>
                <w:sz w:val="21"/>
                <w:szCs w:val="21"/>
                <w:highlight w:val="none"/>
                <w:lang w:eastAsia="zh-CN"/>
              </w:rPr>
              <w:t>（</w:t>
            </w:r>
            <w:r>
              <w:rPr>
                <w:rFonts w:hint="eastAsia" w:ascii="Times New Roman" w:hAnsi="Times New Roman" w:eastAsia="方正兰亭黑简体" w:cs="Times New Roman"/>
                <w:color w:val="auto"/>
                <w:sz w:val="21"/>
                <w:szCs w:val="21"/>
                <w:highlight w:val="none"/>
                <w:lang w:val="en-US" w:eastAsia="zh-CN"/>
              </w:rPr>
              <w:t>主观分</w:t>
            </w:r>
            <w:r>
              <w:rPr>
                <w:rFonts w:hint="eastAsia" w:ascii="Times New Roman" w:hAnsi="Times New Roman" w:eastAsia="方正兰亭黑简体" w:cs="Times New Roman"/>
                <w:color w:val="auto"/>
                <w:sz w:val="21"/>
                <w:szCs w:val="21"/>
                <w:highlight w:val="none"/>
                <w:lang w:eastAsia="zh-CN"/>
              </w:rPr>
              <w:t>）</w:t>
            </w:r>
          </w:p>
        </w:tc>
        <w:tc>
          <w:tcPr>
            <w:tcW w:w="420" w:type="pct"/>
            <w:vAlign w:val="center"/>
          </w:tcPr>
          <w:p w14:paraId="61D563AC">
            <w:pPr>
              <w:jc w:val="center"/>
              <w:rPr>
                <w:rFonts w:hint="default" w:ascii="Times New Roman" w:hAnsi="Times New Roman" w:eastAsia="方正兰亭黑简体" w:cs="Times New Roman"/>
                <w:color w:val="auto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eastAsia="方正兰亭黑简体" w:cs="Times New Roman"/>
                <w:color w:val="auto"/>
                <w:sz w:val="21"/>
                <w:szCs w:val="21"/>
                <w:highlight w:val="none"/>
              </w:rPr>
              <w:t>10</w:t>
            </w:r>
          </w:p>
        </w:tc>
        <w:tc>
          <w:tcPr>
            <w:tcW w:w="3533" w:type="pct"/>
            <w:vAlign w:val="center"/>
          </w:tcPr>
          <w:p w14:paraId="7565AEA4">
            <w:pPr>
              <w:jc w:val="left"/>
              <w:rPr>
                <w:rFonts w:hint="default" w:ascii="Times New Roman" w:hAnsi="Times New Roman" w:eastAsia="方正兰亭黑简体" w:cs="Times New Roman"/>
                <w:color w:val="auto"/>
                <w:sz w:val="21"/>
                <w:szCs w:val="21"/>
                <w:highlight w:val="none"/>
              </w:rPr>
            </w:pPr>
            <w:bookmarkStart w:id="9" w:name="OLE_LINK11"/>
            <w:bookmarkStart w:id="10" w:name="OLE_LINK12"/>
            <w:r>
              <w:rPr>
                <w:rFonts w:hint="default" w:ascii="Times New Roman" w:hAnsi="Times New Roman" w:eastAsia="方正兰亭黑简体" w:cs="Times New Roman"/>
                <w:color w:val="auto"/>
                <w:sz w:val="21"/>
                <w:szCs w:val="21"/>
                <w:highlight w:val="none"/>
              </w:rPr>
              <w:t>根据</w:t>
            </w:r>
            <w:bookmarkEnd w:id="9"/>
            <w:bookmarkEnd w:id="10"/>
            <w:r>
              <w:rPr>
                <w:rFonts w:hint="default" w:ascii="Times New Roman" w:hAnsi="Times New Roman" w:eastAsia="方正兰亭黑简体" w:cs="Times New Roman"/>
                <w:color w:val="auto"/>
                <w:sz w:val="21"/>
                <w:szCs w:val="21"/>
                <w:highlight w:val="none"/>
              </w:rPr>
              <w:t>提供的车辆保险方案进行综合评审。</w:t>
            </w:r>
          </w:p>
        </w:tc>
      </w:tr>
      <w:tr w14:paraId="6206C514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398" w:type="pct"/>
            <w:vAlign w:val="center"/>
          </w:tcPr>
          <w:p w14:paraId="1BE44703">
            <w:pPr>
              <w:pStyle w:val="22"/>
              <w:numPr>
                <w:ilvl w:val="0"/>
                <w:numId w:val="0"/>
              </w:numPr>
              <w:adjustRightInd w:val="0"/>
              <w:spacing w:line="360" w:lineRule="atLeast"/>
              <w:ind w:leftChars="0"/>
              <w:jc w:val="center"/>
              <w:rPr>
                <w:rFonts w:hint="eastAsia" w:ascii="Times New Roman" w:hAnsi="Times New Roman" w:eastAsia="方正兰亭黑简体" w:cs="Times New Roman"/>
                <w:color w:val="auto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方正兰亭黑简体" w:cs="Times New Roman"/>
                <w:color w:val="auto"/>
                <w:sz w:val="21"/>
                <w:szCs w:val="21"/>
                <w:highlight w:val="none"/>
                <w:lang w:val="en-US" w:eastAsia="zh-CN"/>
              </w:rPr>
              <w:t>7</w:t>
            </w:r>
          </w:p>
        </w:tc>
        <w:tc>
          <w:tcPr>
            <w:tcW w:w="648" w:type="pct"/>
            <w:vAlign w:val="center"/>
          </w:tcPr>
          <w:p w14:paraId="2FDC63F5">
            <w:pPr>
              <w:jc w:val="center"/>
              <w:rPr>
                <w:rFonts w:hint="default" w:ascii="Times New Roman" w:hAnsi="Times New Roman" w:eastAsia="方正兰亭黑简体" w:cs="Times New Roman"/>
                <w:color w:val="auto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eastAsia="方正兰亭黑简体" w:cs="Times New Roman"/>
                <w:color w:val="auto"/>
                <w:sz w:val="21"/>
                <w:szCs w:val="21"/>
                <w:highlight w:val="none"/>
              </w:rPr>
              <w:t>车辆配置</w:t>
            </w:r>
          </w:p>
          <w:p w14:paraId="5556E131">
            <w:pPr>
              <w:jc w:val="center"/>
              <w:rPr>
                <w:rFonts w:hint="default" w:ascii="Times New Roman" w:hAnsi="Times New Roman" w:eastAsia="方正兰亭黑简体" w:cs="Times New Roman"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="Times New Roman" w:hAnsi="Times New Roman" w:eastAsia="方正兰亭黑简体" w:cs="Times New Roman"/>
                <w:color w:val="auto"/>
                <w:sz w:val="21"/>
                <w:szCs w:val="21"/>
                <w:highlight w:val="none"/>
                <w:lang w:eastAsia="zh-CN"/>
              </w:rPr>
              <w:t>（</w:t>
            </w:r>
            <w:r>
              <w:rPr>
                <w:rFonts w:hint="eastAsia" w:ascii="Times New Roman" w:hAnsi="Times New Roman" w:eastAsia="方正兰亭黑简体" w:cs="Times New Roman"/>
                <w:color w:val="auto"/>
                <w:sz w:val="21"/>
                <w:szCs w:val="21"/>
                <w:highlight w:val="none"/>
                <w:lang w:val="en-US" w:eastAsia="zh-CN"/>
              </w:rPr>
              <w:t>主观分</w:t>
            </w:r>
            <w:r>
              <w:rPr>
                <w:rFonts w:hint="eastAsia" w:ascii="Times New Roman" w:hAnsi="Times New Roman" w:eastAsia="方正兰亭黑简体" w:cs="Times New Roman"/>
                <w:color w:val="auto"/>
                <w:sz w:val="21"/>
                <w:szCs w:val="21"/>
                <w:highlight w:val="none"/>
                <w:lang w:eastAsia="zh-CN"/>
              </w:rPr>
              <w:t>）</w:t>
            </w:r>
          </w:p>
        </w:tc>
        <w:tc>
          <w:tcPr>
            <w:tcW w:w="420" w:type="pct"/>
            <w:vAlign w:val="center"/>
          </w:tcPr>
          <w:p w14:paraId="03DBF09E">
            <w:pPr>
              <w:jc w:val="center"/>
              <w:rPr>
                <w:rFonts w:hint="default" w:ascii="Times New Roman" w:hAnsi="Times New Roman" w:eastAsia="方正兰亭黑简体" w:cs="Times New Roman"/>
                <w:color w:val="auto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eastAsia="方正兰亭黑简体" w:cs="Times New Roman"/>
                <w:color w:val="auto"/>
                <w:sz w:val="21"/>
                <w:szCs w:val="21"/>
                <w:highlight w:val="none"/>
              </w:rPr>
              <w:t>10</w:t>
            </w:r>
          </w:p>
        </w:tc>
        <w:tc>
          <w:tcPr>
            <w:tcW w:w="3533" w:type="pct"/>
            <w:vAlign w:val="center"/>
          </w:tcPr>
          <w:p w14:paraId="15D2B1E0">
            <w:pPr>
              <w:jc w:val="left"/>
              <w:rPr>
                <w:rFonts w:hint="default" w:ascii="Times New Roman" w:hAnsi="Times New Roman" w:eastAsia="方正兰亭黑简体" w:cs="Times New Roman"/>
                <w:color w:val="auto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eastAsia="方正兰亭黑简体" w:cs="Times New Roman"/>
                <w:color w:val="auto"/>
                <w:sz w:val="21"/>
                <w:szCs w:val="21"/>
                <w:highlight w:val="none"/>
              </w:rPr>
              <w:t>根据提供的车辆配置情况、车辆维修保养措施等进行综合评审。</w:t>
            </w:r>
          </w:p>
        </w:tc>
      </w:tr>
      <w:tr w14:paraId="16BDF869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398" w:type="pct"/>
            <w:vAlign w:val="center"/>
          </w:tcPr>
          <w:p w14:paraId="21574F97">
            <w:pPr>
              <w:pStyle w:val="22"/>
              <w:numPr>
                <w:ilvl w:val="0"/>
                <w:numId w:val="0"/>
              </w:numPr>
              <w:adjustRightInd w:val="0"/>
              <w:spacing w:line="360" w:lineRule="atLeast"/>
              <w:ind w:leftChars="0"/>
              <w:jc w:val="center"/>
              <w:rPr>
                <w:rFonts w:hint="eastAsia" w:ascii="Times New Roman" w:hAnsi="Times New Roman" w:eastAsia="方正兰亭黑简体" w:cs="Times New Roman"/>
                <w:color w:val="auto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方正兰亭黑简体" w:cs="Times New Roman"/>
                <w:color w:val="auto"/>
                <w:sz w:val="21"/>
                <w:szCs w:val="21"/>
                <w:highlight w:val="none"/>
                <w:lang w:val="en-US" w:eastAsia="zh-CN"/>
              </w:rPr>
              <w:t>8</w:t>
            </w:r>
          </w:p>
        </w:tc>
        <w:tc>
          <w:tcPr>
            <w:tcW w:w="648" w:type="pct"/>
            <w:vAlign w:val="center"/>
          </w:tcPr>
          <w:p w14:paraId="0ADD072C">
            <w:pPr>
              <w:jc w:val="center"/>
              <w:rPr>
                <w:rFonts w:hint="default" w:ascii="Times New Roman" w:hAnsi="Times New Roman" w:eastAsia="方正兰亭黑简体" w:cs="Times New Roman"/>
                <w:color w:val="auto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eastAsia="方正兰亭黑简体" w:cs="Times New Roman"/>
                <w:color w:val="auto"/>
                <w:sz w:val="21"/>
                <w:szCs w:val="21"/>
                <w:highlight w:val="none"/>
              </w:rPr>
              <w:t>价格分</w:t>
            </w:r>
          </w:p>
          <w:p w14:paraId="564CF9E6">
            <w:pPr>
              <w:jc w:val="center"/>
              <w:rPr>
                <w:rFonts w:hint="default" w:ascii="Times New Roman" w:hAnsi="Times New Roman" w:eastAsia="方正兰亭黑简体" w:cs="Times New Roman"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="Times New Roman" w:hAnsi="Times New Roman" w:eastAsia="方正兰亭黑简体" w:cs="Times New Roman"/>
                <w:color w:val="auto"/>
                <w:sz w:val="21"/>
                <w:szCs w:val="21"/>
                <w:highlight w:val="none"/>
                <w:lang w:eastAsia="zh-CN"/>
              </w:rPr>
              <w:t>（</w:t>
            </w:r>
            <w:r>
              <w:rPr>
                <w:rFonts w:hint="eastAsia" w:ascii="Times New Roman" w:hAnsi="Times New Roman" w:eastAsia="方正兰亭黑简体" w:cs="Times New Roman"/>
                <w:color w:val="auto"/>
                <w:sz w:val="21"/>
                <w:szCs w:val="21"/>
                <w:highlight w:val="none"/>
                <w:lang w:val="en-US" w:eastAsia="zh-CN"/>
              </w:rPr>
              <w:t>客观分</w:t>
            </w:r>
            <w:r>
              <w:rPr>
                <w:rFonts w:hint="eastAsia" w:ascii="Times New Roman" w:hAnsi="Times New Roman" w:eastAsia="方正兰亭黑简体" w:cs="Times New Roman"/>
                <w:color w:val="auto"/>
                <w:sz w:val="21"/>
                <w:szCs w:val="21"/>
                <w:highlight w:val="none"/>
                <w:lang w:eastAsia="zh-CN"/>
              </w:rPr>
              <w:t>）</w:t>
            </w:r>
          </w:p>
        </w:tc>
        <w:tc>
          <w:tcPr>
            <w:tcW w:w="420" w:type="pct"/>
            <w:vAlign w:val="center"/>
          </w:tcPr>
          <w:p w14:paraId="675DAD4E">
            <w:pPr>
              <w:jc w:val="center"/>
              <w:rPr>
                <w:rFonts w:hint="default" w:ascii="Times New Roman" w:hAnsi="Times New Roman" w:eastAsia="方正兰亭黑简体" w:cs="Times New Roman"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="Times New Roman" w:hAnsi="Times New Roman" w:eastAsia="方正兰亭黑简体" w:cs="Times New Roman"/>
                <w:bCs/>
                <w:color w:val="auto"/>
                <w:sz w:val="21"/>
                <w:szCs w:val="21"/>
                <w:highlight w:val="none"/>
                <w:lang w:val="en-US" w:eastAsia="zh-CN"/>
              </w:rPr>
              <w:t>2</w:t>
            </w:r>
            <w:r>
              <w:rPr>
                <w:rFonts w:hint="default" w:ascii="Times New Roman" w:hAnsi="Times New Roman" w:eastAsia="方正兰亭黑简体" w:cs="Times New Roman"/>
                <w:bCs/>
                <w:color w:val="auto"/>
                <w:sz w:val="21"/>
                <w:szCs w:val="21"/>
                <w:highlight w:val="none"/>
              </w:rPr>
              <w:t>0</w:t>
            </w:r>
          </w:p>
        </w:tc>
        <w:tc>
          <w:tcPr>
            <w:tcW w:w="3533" w:type="pct"/>
            <w:vAlign w:val="center"/>
          </w:tcPr>
          <w:p w14:paraId="78B04568">
            <w:pPr>
              <w:jc w:val="left"/>
              <w:rPr>
                <w:rFonts w:hint="default" w:ascii="Times New Roman" w:hAnsi="Times New Roman" w:eastAsia="方正兰亭黑简体" w:cs="Times New Roman"/>
                <w:color w:val="auto"/>
                <w:sz w:val="21"/>
                <w:szCs w:val="21"/>
                <w:highlight w:val="none"/>
              </w:rPr>
            </w:pPr>
            <w:bookmarkStart w:id="11" w:name="OLE_LINK2"/>
            <w:bookmarkStart w:id="12" w:name="OLE_LINK3"/>
            <w:r>
              <w:rPr>
                <w:rFonts w:hint="default" w:ascii="Times New Roman" w:hAnsi="Times New Roman" w:eastAsia="方正兰亭黑简体" w:cs="Times New Roman"/>
                <w:color w:val="auto"/>
                <w:sz w:val="21"/>
                <w:szCs w:val="21"/>
                <w:highlight w:val="none"/>
              </w:rPr>
              <w:t>采用低价优先法计算，即满足采购文件要求且评审价最低的报价为基准价，其价格分为满分</w:t>
            </w:r>
            <w:r>
              <w:rPr>
                <w:rFonts w:hint="eastAsia" w:ascii="Times New Roman" w:hAnsi="Times New Roman" w:eastAsia="方正兰亭黑简体" w:cs="Times New Roman"/>
                <w:color w:val="auto"/>
                <w:sz w:val="21"/>
                <w:szCs w:val="21"/>
                <w:highlight w:val="none"/>
                <w:lang w:val="en-US" w:eastAsia="zh-CN"/>
              </w:rPr>
              <w:t>2</w:t>
            </w:r>
            <w:r>
              <w:rPr>
                <w:rFonts w:hint="default" w:ascii="Times New Roman" w:hAnsi="Times New Roman" w:eastAsia="方正兰亭黑简体" w:cs="Times New Roman"/>
                <w:color w:val="auto"/>
                <w:sz w:val="21"/>
                <w:szCs w:val="21"/>
                <w:highlight w:val="none"/>
              </w:rPr>
              <w:t>0分。其他报价人的报价得分计算公式如下：报价得分＝</w:t>
            </w:r>
            <w:r>
              <w:rPr>
                <w:rFonts w:hint="eastAsia" w:ascii="Times New Roman" w:hAnsi="Times New Roman" w:eastAsia="方正兰亭黑简体" w:cs="Times New Roman"/>
                <w:color w:val="auto"/>
                <w:sz w:val="21"/>
                <w:szCs w:val="21"/>
                <w:highlight w:val="none"/>
                <w:lang w:val="en-US" w:eastAsia="zh-CN"/>
              </w:rPr>
              <w:t>2</w:t>
            </w:r>
            <w:r>
              <w:rPr>
                <w:rFonts w:hint="default" w:ascii="Times New Roman" w:hAnsi="Times New Roman" w:eastAsia="方正兰亭黑简体" w:cs="Times New Roman"/>
                <w:color w:val="auto"/>
                <w:sz w:val="21"/>
                <w:szCs w:val="21"/>
                <w:highlight w:val="none"/>
              </w:rPr>
              <w:t>0×（评审基准价/响应报价）</w:t>
            </w:r>
            <w:bookmarkEnd w:id="11"/>
            <w:bookmarkEnd w:id="12"/>
            <w:r>
              <w:rPr>
                <w:rFonts w:hint="default" w:ascii="Times New Roman" w:hAnsi="Times New Roman" w:eastAsia="方正兰亭黑简体" w:cs="Times New Roman"/>
                <w:color w:val="auto"/>
                <w:sz w:val="21"/>
                <w:szCs w:val="21"/>
                <w:highlight w:val="none"/>
              </w:rPr>
              <w:t>。</w:t>
            </w:r>
          </w:p>
        </w:tc>
      </w:tr>
      <w:bookmarkEnd w:id="4"/>
      <w:bookmarkEnd w:id="5"/>
      <w:bookmarkEnd w:id="6"/>
    </w:tbl>
    <w:p w14:paraId="07B2BD1D">
      <w:pP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  <w:lang w:val="en-US" w:eastAsia="zh-CN"/>
        </w:rPr>
      </w:pP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  <w:lang w:val="en-US" w:eastAsia="zh-CN"/>
        </w:rPr>
        <w:br w:type="page"/>
      </w:r>
    </w:p>
    <w:p w14:paraId="71E5B026">
      <w:pPr>
        <w:jc w:val="center"/>
        <w:rPr>
          <w:rFonts w:hint="eastAsia" w:ascii="方正兰亭黑简体" w:hAnsi="方正兰亭黑简体" w:eastAsia="方正兰亭黑简体" w:cs="方正兰亭黑简体"/>
          <w:b/>
          <w:bCs/>
          <w:color w:val="auto"/>
          <w:sz w:val="24"/>
          <w:szCs w:val="32"/>
          <w:highlight w:val="none"/>
          <w:lang w:val="en-US" w:eastAsia="zh-CN"/>
        </w:rPr>
        <w:sectPr>
          <w:footerReference r:id="rId3" w:type="default"/>
          <w:pgSz w:w="11906" w:h="16838"/>
          <w:pgMar w:top="1440" w:right="1080" w:bottom="1440" w:left="1080" w:header="851" w:footer="992" w:gutter="0"/>
          <w:pgNumType w:fmt="decimal"/>
          <w:cols w:space="425" w:num="1"/>
          <w:docGrid w:type="lines" w:linePitch="312" w:charSpace="0"/>
        </w:sectPr>
      </w:pPr>
    </w:p>
    <w:p w14:paraId="3E74C2BD">
      <w:pPr>
        <w:jc w:val="center"/>
        <w:rPr>
          <w:rFonts w:hint="default" w:ascii="方正兰亭黑简体" w:hAnsi="方正兰亭黑简体" w:eastAsia="方正兰亭黑简体" w:cs="方正兰亭黑简体"/>
          <w:b/>
          <w:bCs/>
          <w:color w:val="auto"/>
          <w:sz w:val="24"/>
          <w:szCs w:val="32"/>
          <w:highlight w:val="none"/>
          <w:lang w:val="en-US" w:eastAsia="zh-CN"/>
        </w:rPr>
      </w:pPr>
      <w:r>
        <w:rPr>
          <w:rFonts w:hint="eastAsia" w:ascii="方正兰亭黑简体" w:hAnsi="方正兰亭黑简体" w:eastAsia="方正兰亭黑简体" w:cs="方正兰亭黑简体"/>
          <w:b/>
          <w:bCs/>
          <w:color w:val="auto"/>
          <w:sz w:val="24"/>
          <w:szCs w:val="32"/>
          <w:highlight w:val="none"/>
          <w:lang w:val="en-US" w:eastAsia="zh-CN"/>
        </w:rPr>
        <w:t>第四章 格式附件</w:t>
      </w:r>
    </w:p>
    <w:p w14:paraId="636BB61B">
      <w:pPr>
        <w:jc w:val="left"/>
        <w:rPr>
          <w:rFonts w:hint="eastAsia" w:ascii="方正兰亭黑简体" w:hAnsi="方正兰亭黑简体" w:eastAsia="方正兰亭黑简体" w:cs="方正兰亭黑简体"/>
          <w:b/>
          <w:bCs/>
          <w:color w:val="auto"/>
          <w:sz w:val="22"/>
          <w:szCs w:val="28"/>
          <w:highlight w:val="none"/>
          <w:lang w:val="en-US" w:eastAsia="zh-CN"/>
        </w:rPr>
      </w:pPr>
      <w:r>
        <w:rPr>
          <w:rFonts w:hint="eastAsia" w:ascii="方正兰亭黑简体" w:hAnsi="方正兰亭黑简体" w:eastAsia="方正兰亭黑简体" w:cs="方正兰亭黑简体"/>
          <w:b/>
          <w:bCs/>
          <w:color w:val="auto"/>
          <w:sz w:val="22"/>
          <w:szCs w:val="28"/>
          <w:highlight w:val="none"/>
          <w:lang w:val="en-US" w:eastAsia="zh-CN"/>
        </w:rPr>
        <w:t>附件1：报价单</w:t>
      </w:r>
    </w:p>
    <w:p w14:paraId="52D9A168">
      <w:pPr>
        <w:spacing w:line="440" w:lineRule="exact"/>
        <w:jc w:val="center"/>
        <w:rPr>
          <w:rFonts w:hint="default" w:ascii="宋体" w:hAnsi="宋体" w:eastAsia="宋体"/>
          <w:color w:val="auto"/>
          <w:sz w:val="24"/>
          <w:highlight w:val="none"/>
          <w:lang w:val="en-US" w:eastAsia="zh-CN"/>
        </w:rPr>
      </w:pPr>
      <w:r>
        <w:rPr>
          <w:rFonts w:hint="eastAsia" w:ascii="黑体" w:hAnsi="华文楷体" w:eastAsia="黑体"/>
          <w:b/>
          <w:color w:val="auto"/>
          <w:sz w:val="36"/>
          <w:szCs w:val="36"/>
          <w:highlight w:val="none"/>
        </w:rPr>
        <w:t>报   价   单</w:t>
      </w:r>
    </w:p>
    <w:p w14:paraId="50E6B72B">
      <w:pPr>
        <w:spacing w:line="440" w:lineRule="exact"/>
        <w:jc w:val="left"/>
        <w:rPr>
          <w:rFonts w:hint="default" w:ascii="黑体" w:hAnsi="华文楷体" w:eastAsia="黑体"/>
          <w:color w:val="auto"/>
          <w:sz w:val="24"/>
          <w:highlight w:val="none"/>
          <w:lang w:val="en-US" w:eastAsia="zh-CN"/>
        </w:rPr>
      </w:pPr>
      <w:r>
        <w:rPr>
          <w:rFonts w:hint="eastAsia" w:ascii="黑体" w:hAnsi="华文楷体" w:eastAsia="黑体"/>
          <w:b/>
          <w:color w:val="auto"/>
          <w:sz w:val="24"/>
          <w:highlight w:val="none"/>
        </w:rPr>
        <w:t xml:space="preserve">TO: </w:t>
      </w:r>
      <w:r>
        <w:rPr>
          <w:rFonts w:hint="eastAsia" w:ascii="黑体" w:hAnsi="华文楷体" w:eastAsia="黑体"/>
          <w:color w:val="auto"/>
          <w:sz w:val="24"/>
          <w:highlight w:val="none"/>
        </w:rPr>
        <w:t xml:space="preserve"> 上海海事大学 </w:t>
      </w:r>
      <w:r>
        <w:rPr>
          <w:rFonts w:hint="eastAsia" w:ascii="黑体" w:hAnsi="华文楷体" w:eastAsia="黑体"/>
          <w:color w:val="auto"/>
          <w:sz w:val="24"/>
          <w:highlight w:val="none"/>
          <w:lang w:val="en-US" w:eastAsia="zh-CN"/>
        </w:rPr>
        <w:t>采购与招投标管理中心</w:t>
      </w:r>
      <w:r>
        <w:rPr>
          <w:rFonts w:hint="eastAsia" w:ascii="黑体" w:hAnsi="华文楷体" w:eastAsia="黑体"/>
          <w:b/>
          <w:color w:val="auto"/>
          <w:sz w:val="36"/>
          <w:szCs w:val="36"/>
          <w:highlight w:val="none"/>
        </w:rPr>
        <w:t xml:space="preserve">           </w:t>
      </w:r>
      <w:r>
        <w:rPr>
          <w:rFonts w:hint="eastAsia" w:ascii="黑体" w:hAnsi="华文楷体" w:eastAsia="黑体"/>
          <w:b/>
          <w:color w:val="auto"/>
          <w:sz w:val="36"/>
          <w:szCs w:val="36"/>
          <w:highlight w:val="none"/>
          <w:lang w:val="en-US" w:eastAsia="zh-CN"/>
        </w:rPr>
        <w:t xml:space="preserve">  </w:t>
      </w:r>
      <w:r>
        <w:rPr>
          <w:rFonts w:hint="eastAsia" w:ascii="黑体" w:hAnsi="华文楷体" w:eastAsia="黑体"/>
          <w:color w:val="auto"/>
          <w:sz w:val="24"/>
          <w:highlight w:val="none"/>
          <w:lang w:val="en-US" w:eastAsia="zh-CN"/>
        </w:rPr>
        <w:t>项目编号：HFBX2026017</w:t>
      </w:r>
      <w:r>
        <w:rPr>
          <w:rFonts w:hint="eastAsia" w:ascii="黑体" w:hAnsi="华文楷体" w:eastAsia="黑体"/>
          <w:b/>
          <w:color w:val="auto"/>
          <w:sz w:val="36"/>
          <w:szCs w:val="36"/>
          <w:highlight w:val="none"/>
        </w:rPr>
        <w:t xml:space="preserve"> </w:t>
      </w:r>
      <w:r>
        <w:rPr>
          <w:rFonts w:hint="eastAsia" w:ascii="黑体" w:hAnsi="华文楷体" w:eastAsia="黑体"/>
          <w:b/>
          <w:color w:val="auto"/>
          <w:sz w:val="36"/>
          <w:szCs w:val="36"/>
          <w:highlight w:val="none"/>
          <w:lang w:val="en-US" w:eastAsia="zh-CN"/>
        </w:rPr>
        <w:t xml:space="preserve">                    </w:t>
      </w:r>
    </w:p>
    <w:p w14:paraId="192C9FAF">
      <w:pPr>
        <w:spacing w:line="440" w:lineRule="exact"/>
        <w:rPr>
          <w:rFonts w:hint="eastAsia" w:ascii="方正仿宋_GB2312" w:hAnsi="方正仿宋_GB2312" w:eastAsia="方正仿宋_GB2312" w:cs="方正仿宋_GB2312"/>
          <w:b/>
          <w:color w:val="auto"/>
          <w:sz w:val="24"/>
          <w:highlight w:val="none"/>
        </w:rPr>
      </w:pPr>
      <w:r>
        <w:rPr>
          <w:rFonts w:hint="eastAsia" w:ascii="黑体" w:hAnsi="华文楷体" w:eastAsia="黑体"/>
          <w:b/>
          <w:color w:val="auto"/>
          <w:sz w:val="24"/>
          <w:highlight w:val="none"/>
        </w:rPr>
        <w:t>电子邮箱：</w:t>
      </w:r>
      <w:r>
        <w:rPr>
          <w:rFonts w:ascii="黑体" w:hAnsi="华文楷体" w:eastAsia="黑体"/>
          <w:b/>
          <w:color w:val="auto"/>
          <w:sz w:val="24"/>
          <w:highlight w:val="none"/>
        </w:rPr>
        <w:fldChar w:fldCharType="begin"/>
      </w:r>
      <w:r>
        <w:rPr>
          <w:rFonts w:ascii="黑体" w:hAnsi="华文楷体" w:eastAsia="黑体"/>
          <w:b/>
          <w:color w:val="auto"/>
          <w:sz w:val="24"/>
          <w:highlight w:val="none"/>
        </w:rPr>
        <w:instrText xml:space="preserve"> HYPERLINK "mailto:quotation@shmtu.edu.cn" </w:instrText>
      </w:r>
      <w:r>
        <w:rPr>
          <w:rFonts w:ascii="黑体" w:hAnsi="华文楷体" w:eastAsia="黑体"/>
          <w:b/>
          <w:color w:val="auto"/>
          <w:sz w:val="24"/>
          <w:highlight w:val="none"/>
        </w:rPr>
        <w:fldChar w:fldCharType="separate"/>
      </w:r>
      <w:r>
        <w:rPr>
          <w:rStyle w:val="18"/>
          <w:rFonts w:ascii="黑体" w:hAnsi="华文楷体" w:eastAsia="黑体"/>
          <w:b/>
          <w:color w:val="auto"/>
          <w:sz w:val="24"/>
          <w:highlight w:val="none"/>
        </w:rPr>
        <w:t>quotation@shmtu.edu.cn</w:t>
      </w:r>
      <w:r>
        <w:rPr>
          <w:rFonts w:ascii="黑体" w:hAnsi="华文楷体" w:eastAsia="黑体"/>
          <w:b/>
          <w:color w:val="auto"/>
          <w:sz w:val="24"/>
          <w:highlight w:val="none"/>
        </w:rPr>
        <w:fldChar w:fldCharType="end"/>
      </w:r>
    </w:p>
    <w:p w14:paraId="1D25A65B">
      <w:pPr>
        <w:spacing w:line="440" w:lineRule="exact"/>
        <w:rPr>
          <w:rFonts w:ascii="黑体" w:hAnsi="华文楷体" w:eastAsia="黑体"/>
          <w:b/>
          <w:color w:val="auto"/>
          <w:sz w:val="24"/>
          <w:highlight w:val="none"/>
        </w:rPr>
      </w:pPr>
      <w:r>
        <w:rPr>
          <w:rFonts w:hint="eastAsia" w:ascii="黑体" w:hAnsi="华文楷体" w:eastAsia="黑体"/>
          <w:b/>
          <w:color w:val="auto"/>
          <w:sz w:val="24"/>
          <w:highlight w:val="none"/>
        </w:rPr>
        <w:t>公司名称：</w:t>
      </w:r>
      <w:r>
        <w:rPr>
          <w:rFonts w:hint="eastAsia" w:ascii="黑体" w:hAnsi="华文楷体" w:eastAsia="黑体"/>
          <w:color w:val="auto"/>
          <w:sz w:val="24"/>
          <w:highlight w:val="none"/>
        </w:rPr>
        <w:t xml:space="preserve">                                                </w:t>
      </w:r>
      <w:r>
        <w:rPr>
          <w:rFonts w:hint="eastAsia" w:ascii="黑体" w:hAnsi="华文楷体" w:eastAsia="黑体"/>
          <w:b/>
          <w:color w:val="auto"/>
          <w:sz w:val="24"/>
          <w:highlight w:val="none"/>
        </w:rPr>
        <w:t>联系人：</w:t>
      </w:r>
    </w:p>
    <w:p w14:paraId="0416696A">
      <w:pPr>
        <w:spacing w:line="440" w:lineRule="exact"/>
        <w:rPr>
          <w:rFonts w:ascii="黑体" w:hAnsi="华文楷体" w:eastAsia="黑体"/>
          <w:b/>
          <w:color w:val="auto"/>
          <w:sz w:val="24"/>
          <w:highlight w:val="none"/>
        </w:rPr>
      </w:pPr>
      <w:r>
        <w:rPr>
          <w:rFonts w:hint="eastAsia" w:ascii="黑体" w:hAnsi="华文楷体" w:eastAsia="黑体"/>
          <w:b/>
          <w:color w:val="auto"/>
          <w:sz w:val="24"/>
          <w:highlight w:val="none"/>
        </w:rPr>
        <w:t>电子邮箱：                                                公司地址：</w:t>
      </w:r>
    </w:p>
    <w:p w14:paraId="096E10B9">
      <w:pPr>
        <w:spacing w:line="440" w:lineRule="exact"/>
        <w:rPr>
          <w:rFonts w:hint="eastAsia" w:ascii="黑体" w:hAnsi="华文楷体" w:eastAsia="黑体"/>
          <w:b/>
          <w:color w:val="auto"/>
          <w:sz w:val="24"/>
          <w:highlight w:val="none"/>
        </w:rPr>
      </w:pPr>
      <w:r>
        <w:rPr>
          <w:rFonts w:hint="eastAsia" w:ascii="黑体" w:hAnsi="华文楷体" w:eastAsia="黑体"/>
          <w:b/>
          <w:color w:val="auto"/>
          <w:sz w:val="24"/>
          <w:highlight w:val="none"/>
        </w:rPr>
        <w:t>电话：                                                    联系人手机：</w:t>
      </w:r>
    </w:p>
    <w:p w14:paraId="5C334B55">
      <w:pPr>
        <w:spacing w:line="440" w:lineRule="exact"/>
        <w:rPr>
          <w:rFonts w:hint="eastAsia" w:ascii="黑体" w:hAnsi="华文楷体" w:eastAsia="黑体"/>
          <w:b/>
          <w:color w:val="auto"/>
          <w:sz w:val="24"/>
          <w:highlight w:val="none"/>
        </w:rPr>
      </w:pPr>
    </w:p>
    <w:tbl>
      <w:tblPr>
        <w:tblStyle w:val="15"/>
        <w:tblW w:w="5000" w:type="pct"/>
        <w:tblInd w:w="0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481"/>
        <w:gridCol w:w="2113"/>
        <w:gridCol w:w="2867"/>
        <w:gridCol w:w="2495"/>
      </w:tblGrid>
      <w:tr w14:paraId="11E6288A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9" w:hRule="atLeast"/>
        </w:trPr>
        <w:tc>
          <w:tcPr>
            <w:tcW w:w="1246" w:type="pct"/>
            <w:vAlign w:val="center"/>
          </w:tcPr>
          <w:p w14:paraId="2469553B">
            <w:pPr>
              <w:jc w:val="center"/>
              <w:rPr>
                <w:rFonts w:hint="eastAsia" w:ascii="黑体" w:hAnsi="黑体" w:eastAsia="黑体" w:cs="黑体"/>
                <w:b/>
                <w:color w:val="auto"/>
                <w:sz w:val="24"/>
                <w:szCs w:val="32"/>
                <w:highlight w:val="none"/>
              </w:rPr>
            </w:pPr>
            <w:r>
              <w:rPr>
                <w:rFonts w:hint="eastAsia" w:ascii="黑体" w:hAnsi="黑体" w:eastAsia="黑体" w:cs="黑体"/>
                <w:b/>
                <w:color w:val="auto"/>
                <w:sz w:val="24"/>
                <w:szCs w:val="32"/>
                <w:highlight w:val="none"/>
              </w:rPr>
              <w:t>线路</w:t>
            </w:r>
          </w:p>
        </w:tc>
        <w:tc>
          <w:tcPr>
            <w:tcW w:w="1061" w:type="pct"/>
            <w:vAlign w:val="center"/>
          </w:tcPr>
          <w:p w14:paraId="693D4A3B">
            <w:pPr>
              <w:jc w:val="center"/>
              <w:rPr>
                <w:rFonts w:hint="eastAsia" w:ascii="黑体" w:hAnsi="黑体" w:eastAsia="黑体" w:cs="黑体"/>
                <w:b/>
                <w:color w:val="auto"/>
                <w:sz w:val="24"/>
                <w:szCs w:val="32"/>
                <w:highlight w:val="none"/>
              </w:rPr>
            </w:pPr>
            <w:r>
              <w:rPr>
                <w:rFonts w:hint="eastAsia" w:ascii="黑体" w:hAnsi="黑体" w:eastAsia="黑体" w:cs="黑体"/>
                <w:b/>
                <w:color w:val="auto"/>
                <w:sz w:val="24"/>
                <w:szCs w:val="32"/>
                <w:highlight w:val="none"/>
              </w:rPr>
              <w:t>全年预计次数</w:t>
            </w:r>
          </w:p>
        </w:tc>
        <w:tc>
          <w:tcPr>
            <w:tcW w:w="1440" w:type="pct"/>
            <w:vAlign w:val="center"/>
          </w:tcPr>
          <w:p w14:paraId="398EE980">
            <w:pPr>
              <w:jc w:val="center"/>
              <w:rPr>
                <w:rFonts w:hint="eastAsia" w:ascii="黑体" w:hAnsi="黑体" w:eastAsia="黑体" w:cs="黑体"/>
                <w:b/>
                <w:color w:val="auto"/>
                <w:sz w:val="24"/>
                <w:szCs w:val="32"/>
                <w:highlight w:val="none"/>
              </w:rPr>
            </w:pPr>
            <w:r>
              <w:rPr>
                <w:rFonts w:hint="eastAsia" w:ascii="黑体" w:hAnsi="黑体" w:eastAsia="黑体" w:cs="黑体"/>
                <w:b/>
                <w:color w:val="auto"/>
                <w:sz w:val="24"/>
                <w:szCs w:val="32"/>
                <w:highlight w:val="none"/>
              </w:rPr>
              <w:t>单程价格（元/次/车）</w:t>
            </w:r>
          </w:p>
        </w:tc>
        <w:tc>
          <w:tcPr>
            <w:tcW w:w="1254" w:type="pct"/>
            <w:vAlign w:val="center"/>
          </w:tcPr>
          <w:p w14:paraId="71F2D9F2">
            <w:pPr>
              <w:jc w:val="center"/>
              <w:rPr>
                <w:rFonts w:hint="eastAsia" w:ascii="黑体" w:hAnsi="黑体" w:eastAsia="黑体" w:cs="黑体"/>
                <w:b/>
                <w:color w:val="auto"/>
                <w:sz w:val="24"/>
                <w:szCs w:val="32"/>
                <w:highlight w:val="none"/>
              </w:rPr>
            </w:pPr>
            <w:r>
              <w:rPr>
                <w:rFonts w:hint="eastAsia" w:ascii="黑体" w:hAnsi="黑体" w:eastAsia="黑体" w:cs="黑体"/>
                <w:b/>
                <w:color w:val="auto"/>
                <w:sz w:val="24"/>
                <w:szCs w:val="32"/>
                <w:highlight w:val="none"/>
              </w:rPr>
              <w:t>小计（元）</w:t>
            </w:r>
          </w:p>
        </w:tc>
      </w:tr>
      <w:tr w14:paraId="09E3C699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9" w:hRule="atLeast"/>
        </w:trPr>
        <w:tc>
          <w:tcPr>
            <w:tcW w:w="1246" w:type="pct"/>
            <w:vAlign w:val="center"/>
          </w:tcPr>
          <w:p w14:paraId="656AF66D">
            <w:pPr>
              <w:rPr>
                <w:rFonts w:hint="eastAsia" w:ascii="黑体" w:hAnsi="黑体" w:eastAsia="黑体" w:cs="黑体"/>
                <w:color w:val="auto"/>
                <w:sz w:val="24"/>
                <w:szCs w:val="32"/>
                <w:highlight w:val="none"/>
              </w:rPr>
            </w:pPr>
            <w:r>
              <w:rPr>
                <w:rFonts w:hint="eastAsia" w:ascii="黑体" w:hAnsi="黑体" w:eastAsia="黑体" w:cs="黑体"/>
                <w:color w:val="auto"/>
                <w:sz w:val="24"/>
                <w:szCs w:val="32"/>
                <w:highlight w:val="none"/>
              </w:rPr>
              <w:t>线路一、二（接/送）</w:t>
            </w:r>
          </w:p>
        </w:tc>
        <w:tc>
          <w:tcPr>
            <w:tcW w:w="1061" w:type="pct"/>
            <w:vAlign w:val="center"/>
          </w:tcPr>
          <w:p w14:paraId="6FA9F28F">
            <w:pPr>
              <w:jc w:val="center"/>
              <w:rPr>
                <w:rFonts w:hint="eastAsia" w:ascii="黑体" w:hAnsi="黑体" w:eastAsia="黑体" w:cs="黑体"/>
                <w:color w:val="auto"/>
                <w:sz w:val="24"/>
                <w:szCs w:val="32"/>
                <w:highlight w:val="none"/>
              </w:rPr>
            </w:pPr>
            <w:r>
              <w:rPr>
                <w:rFonts w:hint="eastAsia" w:ascii="黑体" w:hAnsi="黑体" w:eastAsia="黑体" w:cs="黑体"/>
                <w:color w:val="auto"/>
                <w:sz w:val="24"/>
                <w:szCs w:val="32"/>
                <w:highlight w:val="none"/>
              </w:rPr>
              <w:t>1100</w:t>
            </w:r>
          </w:p>
        </w:tc>
        <w:tc>
          <w:tcPr>
            <w:tcW w:w="1440" w:type="pct"/>
            <w:vAlign w:val="center"/>
          </w:tcPr>
          <w:p w14:paraId="0DE987A8">
            <w:pPr>
              <w:jc w:val="center"/>
              <w:rPr>
                <w:rFonts w:hint="eastAsia" w:ascii="黑体" w:hAnsi="黑体" w:eastAsia="黑体" w:cs="黑体"/>
                <w:color w:val="auto"/>
                <w:sz w:val="24"/>
                <w:szCs w:val="32"/>
                <w:highlight w:val="none"/>
              </w:rPr>
            </w:pPr>
          </w:p>
        </w:tc>
        <w:tc>
          <w:tcPr>
            <w:tcW w:w="1254" w:type="pct"/>
            <w:vAlign w:val="center"/>
          </w:tcPr>
          <w:p w14:paraId="5D1D3DDD">
            <w:pPr>
              <w:jc w:val="center"/>
              <w:rPr>
                <w:rFonts w:hint="eastAsia" w:ascii="黑体" w:hAnsi="黑体" w:eastAsia="黑体" w:cs="黑体"/>
                <w:color w:val="auto"/>
                <w:sz w:val="24"/>
                <w:szCs w:val="32"/>
                <w:highlight w:val="none"/>
              </w:rPr>
            </w:pPr>
          </w:p>
        </w:tc>
      </w:tr>
      <w:tr w14:paraId="12754310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9" w:hRule="atLeast"/>
        </w:trPr>
        <w:tc>
          <w:tcPr>
            <w:tcW w:w="2306" w:type="pct"/>
            <w:gridSpan w:val="2"/>
            <w:vAlign w:val="center"/>
          </w:tcPr>
          <w:p w14:paraId="324A3B69">
            <w:pPr>
              <w:jc w:val="center"/>
              <w:rPr>
                <w:rFonts w:hint="eastAsia" w:ascii="黑体" w:hAnsi="黑体" w:eastAsia="黑体" w:cs="黑体"/>
                <w:b/>
                <w:color w:val="auto"/>
                <w:sz w:val="24"/>
                <w:szCs w:val="32"/>
                <w:highlight w:val="none"/>
              </w:rPr>
            </w:pPr>
            <w:r>
              <w:rPr>
                <w:rFonts w:hint="eastAsia" w:ascii="黑体" w:hAnsi="黑体" w:eastAsia="黑体" w:cs="黑体"/>
                <w:b/>
                <w:color w:val="auto"/>
                <w:sz w:val="24"/>
                <w:szCs w:val="32"/>
                <w:highlight w:val="none"/>
              </w:rPr>
              <w:t>（首年）总价</w:t>
            </w:r>
          </w:p>
        </w:tc>
        <w:tc>
          <w:tcPr>
            <w:tcW w:w="2694" w:type="pct"/>
            <w:gridSpan w:val="2"/>
            <w:vAlign w:val="center"/>
          </w:tcPr>
          <w:p w14:paraId="0E245C9C">
            <w:pPr>
              <w:jc w:val="center"/>
              <w:rPr>
                <w:rFonts w:hint="eastAsia" w:ascii="黑体" w:hAnsi="黑体" w:eastAsia="黑体" w:cs="黑体"/>
                <w:b/>
                <w:color w:val="auto"/>
                <w:sz w:val="24"/>
                <w:szCs w:val="32"/>
                <w:highlight w:val="none"/>
              </w:rPr>
            </w:pPr>
          </w:p>
        </w:tc>
      </w:tr>
      <w:tr w14:paraId="5D6CB0B8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9" w:hRule="atLeast"/>
        </w:trPr>
        <w:tc>
          <w:tcPr>
            <w:tcW w:w="5000" w:type="pct"/>
            <w:gridSpan w:val="4"/>
            <w:vAlign w:val="center"/>
          </w:tcPr>
          <w:p w14:paraId="630C0234">
            <w:pPr>
              <w:rPr>
                <w:rFonts w:hint="eastAsia" w:ascii="黑体" w:hAnsi="黑体" w:eastAsia="黑体" w:cs="黑体"/>
                <w:color w:val="auto"/>
                <w:sz w:val="24"/>
                <w:szCs w:val="32"/>
                <w:highlight w:val="none"/>
              </w:rPr>
            </w:pPr>
            <w:r>
              <w:rPr>
                <w:rFonts w:hint="eastAsia" w:ascii="黑体" w:hAnsi="黑体" w:eastAsia="黑体" w:cs="黑体"/>
                <w:color w:val="auto"/>
                <w:sz w:val="24"/>
                <w:szCs w:val="32"/>
                <w:highlight w:val="none"/>
              </w:rPr>
              <w:t>线路一、线路二接送价格一致。</w:t>
            </w:r>
          </w:p>
        </w:tc>
      </w:tr>
    </w:tbl>
    <w:p w14:paraId="2C52BC05">
      <w:pPr>
        <w:spacing w:line="440" w:lineRule="exact"/>
        <w:rPr>
          <w:rFonts w:hint="eastAsia" w:ascii="黑体" w:hAnsi="华文楷体" w:eastAsia="黑体"/>
          <w:b/>
          <w:color w:val="auto"/>
          <w:sz w:val="24"/>
          <w:highlight w:val="none"/>
        </w:rPr>
      </w:pPr>
    </w:p>
    <w:p w14:paraId="6CB3215C">
      <w:pPr>
        <w:spacing w:line="440" w:lineRule="exact"/>
        <w:rPr>
          <w:rFonts w:ascii="黑体" w:hAnsi="华文楷体" w:eastAsia="黑体"/>
          <w:color w:val="auto"/>
          <w:sz w:val="24"/>
          <w:highlight w:val="none"/>
        </w:rPr>
      </w:pPr>
    </w:p>
    <w:p w14:paraId="2983B437">
      <w:pPr>
        <w:spacing w:line="440" w:lineRule="exact"/>
        <w:rPr>
          <w:rFonts w:hint="eastAsia" w:ascii="黑体" w:hAnsi="华文楷体" w:eastAsia="黑体"/>
          <w:color w:val="auto"/>
          <w:sz w:val="24"/>
          <w:highlight w:val="none"/>
        </w:rPr>
      </w:pPr>
      <w:r>
        <w:rPr>
          <w:rFonts w:hint="eastAsia" w:ascii="黑体" w:hAnsi="华文楷体" w:eastAsia="黑体"/>
          <w:color w:val="auto"/>
          <w:sz w:val="24"/>
          <w:highlight w:val="none"/>
        </w:rPr>
        <w:t>公司名称（盖章）：           委托代理人（签字）：        报价日期：      年    月   日</w:t>
      </w:r>
    </w:p>
    <w:p w14:paraId="3D1E3BE6">
      <w:pPr>
        <w:spacing w:line="440" w:lineRule="exact"/>
        <w:rPr>
          <w:rFonts w:hint="eastAsia" w:ascii="黑体" w:hAnsi="华文楷体" w:eastAsia="黑体"/>
          <w:color w:val="auto"/>
          <w:sz w:val="24"/>
          <w:highlight w:val="none"/>
        </w:rPr>
      </w:pPr>
    </w:p>
    <w:p w14:paraId="0AB850DE">
      <w:pPr>
        <w:rPr>
          <w:rFonts w:ascii="黑体" w:hAnsi="华文楷体" w:eastAsia="黑体"/>
          <w:color w:val="auto"/>
          <w:szCs w:val="21"/>
          <w:highlight w:val="none"/>
        </w:rPr>
      </w:pPr>
      <w:r>
        <w:rPr>
          <w:rFonts w:hint="eastAsia" w:ascii="黑体" w:hAnsi="华文楷体" w:eastAsia="黑体"/>
          <w:color w:val="auto"/>
          <w:szCs w:val="21"/>
          <w:highlight w:val="none"/>
        </w:rPr>
        <w:t>报价说明：1、报价公司提供的上述产品，应完全满足或者优于我校提出的需求。</w:t>
      </w:r>
    </w:p>
    <w:p w14:paraId="2BC4FDED">
      <w:pPr>
        <w:rPr>
          <w:rFonts w:ascii="黑体" w:hAnsi="华文楷体" w:eastAsia="黑体"/>
          <w:color w:val="auto"/>
          <w:szCs w:val="21"/>
          <w:highlight w:val="none"/>
        </w:rPr>
      </w:pPr>
      <w:r>
        <w:rPr>
          <w:rFonts w:hint="eastAsia" w:ascii="黑体" w:hAnsi="华文楷体" w:eastAsia="黑体"/>
          <w:color w:val="auto"/>
          <w:szCs w:val="21"/>
          <w:highlight w:val="none"/>
        </w:rPr>
        <w:t xml:space="preserve">          2、如属非标配产品，其技术指标（特别是优于我校需求的部分）请另行附页说明。</w:t>
      </w:r>
    </w:p>
    <w:p w14:paraId="38CF93AD">
      <w:pPr>
        <w:rPr>
          <w:rFonts w:ascii="黑体" w:hAnsi="华文楷体" w:eastAsia="黑体"/>
          <w:color w:val="auto"/>
          <w:szCs w:val="21"/>
          <w:highlight w:val="none"/>
        </w:rPr>
      </w:pPr>
      <w:r>
        <w:rPr>
          <w:rFonts w:hint="eastAsia" w:ascii="黑体" w:hAnsi="华文楷体" w:eastAsia="黑体"/>
          <w:color w:val="auto"/>
          <w:szCs w:val="21"/>
          <w:highlight w:val="none"/>
        </w:rPr>
        <w:t xml:space="preserve">          3、特殊的售后服务措施、代理证明情况等需要说明的，请另行附页说明。</w:t>
      </w:r>
    </w:p>
    <w:p w14:paraId="020FDD5C">
      <w:pPr>
        <w:rPr>
          <w:rFonts w:hint="eastAsia" w:ascii="黑体" w:hAnsi="华文楷体" w:eastAsia="黑体"/>
          <w:color w:val="auto"/>
          <w:szCs w:val="21"/>
          <w:highlight w:val="none"/>
        </w:rPr>
      </w:pPr>
      <w:r>
        <w:rPr>
          <w:rFonts w:hint="eastAsia" w:ascii="黑体" w:hAnsi="华文楷体" w:eastAsia="黑体"/>
          <w:color w:val="auto"/>
          <w:szCs w:val="21"/>
          <w:highlight w:val="none"/>
        </w:rPr>
        <w:t xml:space="preserve">          4、报价单附页（如有）共</w:t>
      </w:r>
      <w:r>
        <w:rPr>
          <w:rFonts w:hint="eastAsia" w:ascii="黑体" w:hAnsi="华文楷体" w:eastAsia="黑体"/>
          <w:color w:val="auto"/>
          <w:szCs w:val="21"/>
          <w:highlight w:val="none"/>
          <w:u w:val="single"/>
        </w:rPr>
        <w:t xml:space="preserve">      </w:t>
      </w:r>
      <w:r>
        <w:rPr>
          <w:rFonts w:hint="eastAsia" w:ascii="黑体" w:hAnsi="华文楷体" w:eastAsia="黑体"/>
          <w:color w:val="auto"/>
          <w:szCs w:val="21"/>
          <w:highlight w:val="none"/>
        </w:rPr>
        <w:t>页。</w:t>
      </w:r>
    </w:p>
    <w:p w14:paraId="71A36308">
      <w:pPr>
        <w:rPr>
          <w:rFonts w:hint="eastAsia" w:ascii="仿宋" w:hAnsi="仿宋" w:eastAsia="仿宋"/>
          <w:b/>
          <w:bCs/>
          <w:color w:val="auto"/>
          <w:kern w:val="0"/>
          <w:sz w:val="36"/>
          <w:szCs w:val="36"/>
          <w:highlight w:val="none"/>
          <w:lang w:val="en-US" w:eastAsia="zh-CN"/>
        </w:rPr>
      </w:pPr>
      <w:r>
        <w:rPr>
          <w:rFonts w:hint="eastAsia" w:ascii="仿宋" w:hAnsi="仿宋" w:eastAsia="仿宋"/>
          <w:b/>
          <w:bCs/>
          <w:color w:val="auto"/>
          <w:kern w:val="0"/>
          <w:sz w:val="36"/>
          <w:szCs w:val="36"/>
          <w:highlight w:val="none"/>
          <w:lang w:val="en-US" w:eastAsia="zh-CN"/>
        </w:rPr>
        <w:br w:type="page"/>
      </w:r>
    </w:p>
    <w:p w14:paraId="0D7FB27B">
      <w:pPr>
        <w:spacing w:after="120" w:afterLines="50" w:line="240" w:lineRule="auto"/>
        <w:ind w:left="0" w:leftChars="0" w:firstLine="0" w:firstLineChars="0"/>
        <w:jc w:val="center"/>
        <w:rPr>
          <w:rFonts w:ascii="仿宋" w:hAnsi="仿宋" w:eastAsia="仿宋"/>
          <w:b/>
          <w:bCs/>
          <w:color w:val="auto"/>
          <w:kern w:val="0"/>
          <w:sz w:val="36"/>
          <w:szCs w:val="36"/>
          <w:highlight w:val="none"/>
        </w:rPr>
      </w:pPr>
      <w:r>
        <w:rPr>
          <w:rFonts w:hint="eastAsia" w:ascii="仿宋" w:hAnsi="仿宋" w:eastAsia="仿宋"/>
          <w:b/>
          <w:bCs/>
          <w:color w:val="auto"/>
          <w:kern w:val="0"/>
          <w:sz w:val="36"/>
          <w:szCs w:val="36"/>
          <w:highlight w:val="none"/>
          <w:lang w:val="en-US" w:eastAsia="zh-CN"/>
        </w:rPr>
        <w:t>报价</w:t>
      </w:r>
      <w:r>
        <w:rPr>
          <w:rFonts w:hint="eastAsia" w:ascii="仿宋" w:hAnsi="仿宋" w:eastAsia="仿宋"/>
          <w:b/>
          <w:bCs/>
          <w:color w:val="auto"/>
          <w:kern w:val="0"/>
          <w:sz w:val="36"/>
          <w:szCs w:val="36"/>
          <w:highlight w:val="none"/>
        </w:rPr>
        <w:t>承诺函</w:t>
      </w:r>
    </w:p>
    <w:p w14:paraId="154139ED">
      <w:pPr>
        <w:spacing w:after="120" w:afterLines="50" w:line="240" w:lineRule="auto"/>
        <w:rPr>
          <w:rFonts w:hint="default" w:ascii="仿宋" w:hAnsi="仿宋" w:eastAsia="仿宋" w:cs="宋体"/>
          <w:color w:val="auto"/>
          <w:sz w:val="24"/>
          <w:szCs w:val="24"/>
          <w:highlight w:val="none"/>
          <w:lang w:val="en-US" w:eastAsia="zh-CN"/>
        </w:rPr>
      </w:pPr>
      <w:r>
        <w:rPr>
          <w:rFonts w:hint="eastAsia" w:ascii="仿宋" w:hAnsi="仿宋" w:eastAsia="仿宋" w:cs="宋体"/>
          <w:color w:val="auto"/>
          <w:sz w:val="24"/>
          <w:szCs w:val="24"/>
          <w:highlight w:val="none"/>
          <w:lang w:val="zh-CN"/>
        </w:rPr>
        <w:t>致：</w:t>
      </w:r>
      <w:r>
        <w:rPr>
          <w:rFonts w:hint="eastAsia" w:ascii="仿宋" w:hAnsi="仿宋" w:eastAsia="仿宋" w:cs="宋体"/>
          <w:color w:val="auto"/>
          <w:sz w:val="24"/>
          <w:szCs w:val="24"/>
          <w:highlight w:val="none"/>
          <w:lang w:val="en-US" w:eastAsia="zh-CN"/>
        </w:rPr>
        <w:t>上海海事大学</w:t>
      </w:r>
    </w:p>
    <w:p w14:paraId="37C42137">
      <w:pPr>
        <w:spacing w:after="120" w:afterLines="50" w:line="240" w:lineRule="auto"/>
        <w:ind w:left="0" w:leftChars="0" w:firstLine="480" w:firstLineChars="200"/>
        <w:rPr>
          <w:rFonts w:ascii="仿宋" w:hAnsi="仿宋" w:eastAsia="仿宋" w:cs="宋体"/>
          <w:color w:val="auto"/>
          <w:sz w:val="24"/>
          <w:szCs w:val="24"/>
          <w:highlight w:val="none"/>
          <w:lang w:val="zh-CN"/>
        </w:rPr>
      </w:pPr>
      <w:r>
        <w:rPr>
          <w:rFonts w:hint="eastAsia" w:ascii="仿宋" w:hAnsi="仿宋" w:eastAsia="仿宋" w:cs="宋体"/>
          <w:color w:val="auto"/>
          <w:sz w:val="24"/>
          <w:szCs w:val="24"/>
          <w:highlight w:val="none"/>
          <w:lang w:val="zh-CN"/>
        </w:rPr>
        <w:t>我</w:t>
      </w:r>
      <w:r>
        <w:rPr>
          <w:rFonts w:ascii="仿宋" w:hAnsi="仿宋" w:eastAsia="仿宋" w:cs="宋体"/>
          <w:color w:val="auto"/>
          <w:sz w:val="24"/>
          <w:szCs w:val="24"/>
          <w:highlight w:val="none"/>
          <w:lang w:val="zh-CN"/>
        </w:rPr>
        <w:t>公司在参加本次</w:t>
      </w:r>
      <w:r>
        <w:rPr>
          <w:rFonts w:hint="eastAsia" w:ascii="仿宋" w:hAnsi="仿宋" w:eastAsia="仿宋" w:cs="宋体"/>
          <w:color w:val="auto"/>
          <w:sz w:val="24"/>
          <w:szCs w:val="24"/>
          <w:highlight w:val="none"/>
          <w:lang w:val="en-US" w:eastAsia="zh-CN"/>
        </w:rPr>
        <w:t>比选采购</w:t>
      </w:r>
      <w:r>
        <w:rPr>
          <w:rFonts w:ascii="仿宋" w:hAnsi="仿宋" w:eastAsia="仿宋" w:cs="宋体"/>
          <w:color w:val="auto"/>
          <w:sz w:val="24"/>
          <w:szCs w:val="24"/>
          <w:highlight w:val="none"/>
          <w:lang w:val="zh-CN"/>
        </w:rPr>
        <w:t>活动中，</w:t>
      </w:r>
      <w:r>
        <w:rPr>
          <w:rFonts w:hint="eastAsia" w:ascii="仿宋" w:hAnsi="仿宋" w:eastAsia="仿宋" w:cs="宋体"/>
          <w:color w:val="auto"/>
          <w:sz w:val="24"/>
          <w:szCs w:val="24"/>
          <w:highlight w:val="none"/>
          <w:lang w:val="zh-CN"/>
        </w:rPr>
        <w:t>做出如下</w:t>
      </w:r>
      <w:r>
        <w:rPr>
          <w:rFonts w:ascii="仿宋" w:hAnsi="仿宋" w:eastAsia="仿宋" w:cs="宋体"/>
          <w:color w:val="auto"/>
          <w:sz w:val="24"/>
          <w:szCs w:val="24"/>
          <w:highlight w:val="none"/>
          <w:lang w:val="zh-CN"/>
        </w:rPr>
        <w:t>承诺：</w:t>
      </w:r>
    </w:p>
    <w:p w14:paraId="46C0BB39">
      <w:pPr>
        <w:spacing w:after="120" w:afterLines="50" w:line="240" w:lineRule="auto"/>
        <w:ind w:left="0" w:leftChars="0" w:firstLine="480" w:firstLineChars="200"/>
        <w:rPr>
          <w:rFonts w:hint="default" w:ascii="仿宋" w:hAnsi="仿宋" w:eastAsia="仿宋" w:cs="宋体"/>
          <w:color w:val="auto"/>
          <w:sz w:val="24"/>
          <w:szCs w:val="24"/>
          <w:highlight w:val="none"/>
          <w:lang w:val="en-US" w:eastAsia="zh-CN"/>
        </w:rPr>
      </w:pPr>
      <w:r>
        <w:rPr>
          <w:rFonts w:hint="eastAsia" w:ascii="仿宋" w:hAnsi="仿宋" w:eastAsia="仿宋" w:cs="宋体"/>
          <w:color w:val="auto"/>
          <w:sz w:val="24"/>
          <w:szCs w:val="24"/>
          <w:highlight w:val="none"/>
          <w:lang w:val="zh-CN" w:eastAsia="zh-CN"/>
        </w:rPr>
        <w:t>一、</w:t>
      </w:r>
      <w:r>
        <w:rPr>
          <w:rFonts w:hint="eastAsia" w:ascii="仿宋" w:hAnsi="仿宋" w:eastAsia="仿宋" w:cs="宋体"/>
          <w:color w:val="auto"/>
          <w:sz w:val="24"/>
          <w:szCs w:val="24"/>
          <w:highlight w:val="none"/>
          <w:lang w:val="en-US" w:eastAsia="zh-CN"/>
        </w:rPr>
        <w:t>我</w:t>
      </w:r>
      <w:r>
        <w:rPr>
          <w:rFonts w:hint="eastAsia" w:ascii="仿宋" w:hAnsi="仿宋" w:eastAsia="仿宋" w:cs="宋体"/>
          <w:color w:val="auto"/>
          <w:sz w:val="24"/>
          <w:szCs w:val="24"/>
          <w:highlight w:val="none"/>
          <w:lang w:val="zh-CN"/>
        </w:rPr>
        <w:t>公司</w:t>
      </w:r>
      <w:r>
        <w:rPr>
          <w:rFonts w:hint="eastAsia" w:ascii="仿宋" w:hAnsi="仿宋" w:eastAsia="仿宋" w:cs="宋体"/>
          <w:color w:val="auto"/>
          <w:sz w:val="24"/>
          <w:szCs w:val="24"/>
          <w:highlight w:val="none"/>
          <w:lang w:val="en-US" w:eastAsia="zh-CN"/>
        </w:rPr>
        <w:t>具备独立法人资格，能够独立承担民事责任。</w:t>
      </w:r>
    </w:p>
    <w:p w14:paraId="50EE2300">
      <w:pPr>
        <w:spacing w:after="120" w:afterLines="50" w:line="240" w:lineRule="auto"/>
        <w:ind w:left="0" w:leftChars="0" w:firstLine="480" w:firstLineChars="200"/>
        <w:rPr>
          <w:rFonts w:hint="default" w:ascii="仿宋" w:hAnsi="仿宋" w:eastAsia="仿宋" w:cs="宋体"/>
          <w:color w:val="auto"/>
          <w:sz w:val="24"/>
          <w:szCs w:val="24"/>
          <w:highlight w:val="none"/>
          <w:lang w:val="en-US" w:eastAsia="zh-CN"/>
        </w:rPr>
      </w:pPr>
      <w:r>
        <w:rPr>
          <w:rFonts w:hint="eastAsia" w:ascii="仿宋" w:hAnsi="仿宋" w:eastAsia="仿宋" w:cs="宋体"/>
          <w:color w:val="auto"/>
          <w:sz w:val="24"/>
          <w:szCs w:val="24"/>
          <w:highlight w:val="none"/>
          <w:lang w:val="en-US" w:eastAsia="zh-CN"/>
        </w:rPr>
        <w:t>二、我</w:t>
      </w:r>
      <w:r>
        <w:rPr>
          <w:rFonts w:hint="eastAsia" w:ascii="仿宋" w:hAnsi="仿宋" w:eastAsia="仿宋" w:cs="宋体"/>
          <w:color w:val="auto"/>
          <w:sz w:val="24"/>
          <w:szCs w:val="24"/>
          <w:highlight w:val="none"/>
          <w:lang w:val="zh-CN"/>
        </w:rPr>
        <w:t>公司</w:t>
      </w:r>
      <w:r>
        <w:rPr>
          <w:rFonts w:hint="eastAsia" w:ascii="仿宋" w:hAnsi="仿宋" w:eastAsia="仿宋" w:cs="宋体"/>
          <w:color w:val="auto"/>
          <w:sz w:val="24"/>
          <w:szCs w:val="24"/>
          <w:highlight w:val="none"/>
          <w:lang w:val="en-US" w:eastAsia="zh-CN"/>
        </w:rPr>
        <w:t>财务状况良好，具备履行合同所需资金实力。</w:t>
      </w:r>
    </w:p>
    <w:p w14:paraId="3F8FCAE5">
      <w:pPr>
        <w:spacing w:after="120" w:afterLines="50" w:line="240" w:lineRule="auto"/>
        <w:ind w:left="0" w:leftChars="0" w:firstLine="480" w:firstLineChars="200"/>
        <w:rPr>
          <w:rFonts w:hint="default" w:ascii="仿宋" w:hAnsi="仿宋" w:eastAsia="仿宋" w:cs="宋体"/>
          <w:color w:val="auto"/>
          <w:sz w:val="24"/>
          <w:szCs w:val="24"/>
          <w:highlight w:val="none"/>
          <w:lang w:val="en-US" w:eastAsia="zh-CN"/>
        </w:rPr>
      </w:pPr>
      <w:r>
        <w:rPr>
          <w:rFonts w:hint="eastAsia" w:ascii="仿宋" w:hAnsi="仿宋" w:eastAsia="仿宋" w:cs="宋体"/>
          <w:color w:val="auto"/>
          <w:sz w:val="24"/>
          <w:szCs w:val="24"/>
          <w:highlight w:val="none"/>
          <w:lang w:val="en-US" w:eastAsia="zh-CN"/>
        </w:rPr>
        <w:t>三、我</w:t>
      </w:r>
      <w:r>
        <w:rPr>
          <w:rFonts w:hint="eastAsia" w:ascii="仿宋" w:hAnsi="仿宋" w:eastAsia="仿宋" w:cs="宋体"/>
          <w:color w:val="auto"/>
          <w:sz w:val="24"/>
          <w:szCs w:val="24"/>
          <w:highlight w:val="none"/>
          <w:lang w:val="zh-CN"/>
        </w:rPr>
        <w:t>公司</w:t>
      </w:r>
      <w:r>
        <w:rPr>
          <w:rFonts w:hint="eastAsia" w:ascii="仿宋" w:hAnsi="仿宋" w:eastAsia="仿宋" w:cs="宋体"/>
          <w:color w:val="auto"/>
          <w:sz w:val="24"/>
          <w:szCs w:val="24"/>
          <w:highlight w:val="none"/>
          <w:lang w:val="en-US" w:eastAsia="zh-CN"/>
        </w:rPr>
        <w:t>拥有履行项目所需的专业技术人员和先进的生产设备。</w:t>
      </w:r>
    </w:p>
    <w:p w14:paraId="45943AA8">
      <w:pPr>
        <w:spacing w:after="120" w:afterLines="50" w:line="240" w:lineRule="auto"/>
        <w:ind w:left="0" w:leftChars="0" w:firstLine="480" w:firstLineChars="200"/>
        <w:rPr>
          <w:rFonts w:hint="default" w:ascii="仿宋" w:hAnsi="仿宋" w:eastAsia="仿宋" w:cs="宋体"/>
          <w:color w:val="auto"/>
          <w:sz w:val="24"/>
          <w:szCs w:val="24"/>
          <w:highlight w:val="none"/>
          <w:lang w:val="en-US" w:eastAsia="zh-CN"/>
        </w:rPr>
      </w:pPr>
      <w:r>
        <w:rPr>
          <w:rFonts w:hint="eastAsia" w:ascii="仿宋" w:hAnsi="仿宋" w:eastAsia="仿宋" w:cs="宋体"/>
          <w:color w:val="auto"/>
          <w:sz w:val="24"/>
          <w:szCs w:val="24"/>
          <w:highlight w:val="none"/>
          <w:lang w:val="en-US" w:eastAsia="zh-CN"/>
        </w:rPr>
        <w:t>四、我</w:t>
      </w:r>
      <w:r>
        <w:rPr>
          <w:rFonts w:hint="eastAsia" w:ascii="仿宋" w:hAnsi="仿宋" w:eastAsia="仿宋" w:cs="宋体"/>
          <w:color w:val="auto"/>
          <w:sz w:val="24"/>
          <w:szCs w:val="24"/>
          <w:highlight w:val="none"/>
          <w:lang w:val="zh-CN" w:eastAsia="zh-CN"/>
        </w:rPr>
        <w:t>公司</w:t>
      </w:r>
      <w:r>
        <w:rPr>
          <w:rFonts w:hint="eastAsia" w:ascii="仿宋" w:hAnsi="仿宋" w:eastAsia="仿宋" w:cs="宋体"/>
          <w:color w:val="auto"/>
          <w:sz w:val="24"/>
          <w:szCs w:val="24"/>
          <w:highlight w:val="none"/>
          <w:lang w:val="en-US" w:eastAsia="zh-CN"/>
        </w:rPr>
        <w:t>依法纳税，并按时缴纳社会保险费。</w:t>
      </w:r>
    </w:p>
    <w:p w14:paraId="0F0C6E90">
      <w:pPr>
        <w:spacing w:after="120" w:afterLines="50" w:line="240" w:lineRule="auto"/>
        <w:ind w:left="0" w:leftChars="0" w:firstLine="480" w:firstLineChars="200"/>
        <w:rPr>
          <w:rFonts w:hint="eastAsia" w:ascii="仿宋" w:hAnsi="仿宋" w:eastAsia="仿宋" w:cs="宋体"/>
          <w:color w:val="auto"/>
          <w:sz w:val="24"/>
          <w:szCs w:val="24"/>
          <w:highlight w:val="none"/>
          <w:lang w:val="en-US" w:eastAsia="zh-CN"/>
        </w:rPr>
      </w:pPr>
      <w:r>
        <w:rPr>
          <w:rFonts w:hint="eastAsia" w:ascii="仿宋" w:hAnsi="仿宋" w:eastAsia="仿宋" w:cs="宋体"/>
          <w:color w:val="auto"/>
          <w:sz w:val="24"/>
          <w:szCs w:val="24"/>
          <w:highlight w:val="none"/>
          <w:lang w:val="en-US" w:eastAsia="zh-CN"/>
        </w:rPr>
        <w:t>五、我</w:t>
      </w:r>
      <w:r>
        <w:rPr>
          <w:rFonts w:hint="eastAsia" w:ascii="仿宋" w:hAnsi="仿宋" w:eastAsia="仿宋" w:cs="宋体"/>
          <w:color w:val="auto"/>
          <w:sz w:val="24"/>
          <w:szCs w:val="24"/>
          <w:highlight w:val="none"/>
          <w:lang w:val="zh-CN" w:eastAsia="zh-CN"/>
        </w:rPr>
        <w:t>公司</w:t>
      </w:r>
      <w:r>
        <w:rPr>
          <w:rFonts w:hint="eastAsia" w:ascii="仿宋" w:hAnsi="仿宋" w:eastAsia="仿宋" w:cs="宋体"/>
          <w:color w:val="auto"/>
          <w:sz w:val="24"/>
          <w:szCs w:val="24"/>
          <w:highlight w:val="none"/>
          <w:lang w:val="en-US" w:eastAsia="zh-CN"/>
        </w:rPr>
        <w:t>在最近三年内无任何违法违规行为，信誉良好。</w:t>
      </w:r>
    </w:p>
    <w:p w14:paraId="3EF4200C">
      <w:pPr>
        <w:spacing w:after="120" w:afterLines="50" w:line="240" w:lineRule="auto"/>
        <w:ind w:left="0" w:leftChars="0" w:firstLine="480" w:firstLineChars="200"/>
        <w:rPr>
          <w:rFonts w:hint="default" w:ascii="仿宋" w:hAnsi="仿宋" w:eastAsia="仿宋" w:cs="宋体"/>
          <w:color w:val="auto"/>
          <w:sz w:val="24"/>
          <w:szCs w:val="24"/>
          <w:highlight w:val="none"/>
          <w:lang w:val="en-US" w:eastAsia="zh-CN"/>
        </w:rPr>
      </w:pPr>
      <w:r>
        <w:rPr>
          <w:rFonts w:hint="eastAsia" w:ascii="仿宋" w:hAnsi="仿宋" w:eastAsia="仿宋" w:cs="宋体"/>
          <w:color w:val="auto"/>
          <w:sz w:val="24"/>
          <w:szCs w:val="24"/>
          <w:highlight w:val="none"/>
          <w:lang w:val="en-US" w:eastAsia="zh-CN"/>
        </w:rPr>
        <w:t>六、我</w:t>
      </w:r>
      <w:r>
        <w:rPr>
          <w:rFonts w:hint="eastAsia" w:ascii="仿宋" w:hAnsi="仿宋" w:eastAsia="仿宋" w:cs="宋体"/>
          <w:color w:val="auto"/>
          <w:sz w:val="24"/>
          <w:szCs w:val="24"/>
          <w:highlight w:val="none"/>
          <w:lang w:val="zh-CN" w:eastAsia="zh-CN"/>
        </w:rPr>
        <w:t>公司</w:t>
      </w:r>
      <w:r>
        <w:rPr>
          <w:rFonts w:hint="eastAsia" w:ascii="仿宋" w:hAnsi="仿宋" w:eastAsia="仿宋" w:cs="宋体"/>
          <w:color w:val="auto"/>
          <w:sz w:val="24"/>
          <w:szCs w:val="24"/>
          <w:highlight w:val="none"/>
          <w:lang w:val="en-US" w:eastAsia="zh-CN"/>
        </w:rPr>
        <w:t>完全符合政府采购法及其他相关法律法规的规定。</w:t>
      </w:r>
    </w:p>
    <w:p w14:paraId="072F3ABB">
      <w:pPr>
        <w:spacing w:after="120" w:afterLines="50" w:line="240" w:lineRule="auto"/>
        <w:ind w:left="0" w:leftChars="0" w:firstLine="480" w:firstLineChars="200"/>
        <w:rPr>
          <w:rFonts w:hint="eastAsia" w:ascii="仿宋" w:hAnsi="仿宋" w:eastAsia="仿宋" w:cs="宋体"/>
          <w:color w:val="auto"/>
          <w:sz w:val="24"/>
          <w:szCs w:val="24"/>
          <w:highlight w:val="none"/>
          <w:lang w:val="zh-CN" w:eastAsia="zh-CN"/>
        </w:rPr>
      </w:pPr>
      <w:r>
        <w:rPr>
          <w:rFonts w:hint="eastAsia" w:ascii="仿宋" w:hAnsi="仿宋" w:eastAsia="仿宋" w:cs="宋体"/>
          <w:color w:val="auto"/>
          <w:sz w:val="24"/>
          <w:szCs w:val="24"/>
          <w:highlight w:val="none"/>
          <w:lang w:val="en-US" w:eastAsia="zh-CN"/>
        </w:rPr>
        <w:t>七</w:t>
      </w:r>
      <w:r>
        <w:rPr>
          <w:rFonts w:hint="eastAsia" w:ascii="仿宋" w:hAnsi="仿宋" w:eastAsia="仿宋" w:cs="宋体"/>
          <w:color w:val="auto"/>
          <w:sz w:val="24"/>
          <w:szCs w:val="24"/>
          <w:highlight w:val="none"/>
          <w:lang w:val="zh-CN" w:eastAsia="zh-CN"/>
        </w:rPr>
        <w:t>、</w:t>
      </w:r>
      <w:r>
        <w:rPr>
          <w:rFonts w:hint="eastAsia" w:ascii="仿宋" w:hAnsi="仿宋" w:eastAsia="仿宋" w:cs="宋体"/>
          <w:color w:val="auto"/>
          <w:sz w:val="24"/>
          <w:szCs w:val="24"/>
          <w:highlight w:val="none"/>
          <w:lang w:val="en-US" w:eastAsia="zh-CN"/>
        </w:rPr>
        <w:t>我</w:t>
      </w:r>
      <w:r>
        <w:rPr>
          <w:rFonts w:hint="eastAsia" w:ascii="仿宋" w:hAnsi="仿宋" w:eastAsia="仿宋" w:cs="宋体"/>
          <w:color w:val="auto"/>
          <w:sz w:val="24"/>
          <w:szCs w:val="24"/>
          <w:highlight w:val="none"/>
          <w:lang w:val="zh-CN" w:eastAsia="zh-CN"/>
        </w:rPr>
        <w:t>公司提供的相关文件均真实、有效。</w:t>
      </w:r>
    </w:p>
    <w:p w14:paraId="1E86BCEA">
      <w:pPr>
        <w:spacing w:after="120" w:afterLines="50" w:line="240" w:lineRule="auto"/>
        <w:ind w:left="0" w:leftChars="0" w:firstLine="480" w:firstLineChars="200"/>
        <w:rPr>
          <w:rFonts w:hint="eastAsia" w:ascii="仿宋" w:hAnsi="仿宋" w:eastAsia="仿宋" w:cs="宋体"/>
          <w:color w:val="auto"/>
          <w:sz w:val="24"/>
          <w:szCs w:val="24"/>
          <w:highlight w:val="none"/>
          <w:lang w:val="en-US" w:eastAsia="zh-CN"/>
        </w:rPr>
      </w:pPr>
      <w:r>
        <w:rPr>
          <w:rFonts w:hint="eastAsia" w:ascii="仿宋" w:hAnsi="仿宋" w:eastAsia="仿宋" w:cs="宋体"/>
          <w:color w:val="auto"/>
          <w:sz w:val="24"/>
          <w:szCs w:val="24"/>
          <w:highlight w:val="none"/>
          <w:lang w:val="en-US" w:eastAsia="zh-CN"/>
        </w:rPr>
        <w:t>八、我</w:t>
      </w:r>
      <w:r>
        <w:rPr>
          <w:rFonts w:hint="eastAsia" w:ascii="仿宋" w:hAnsi="仿宋" w:eastAsia="仿宋" w:cs="宋体"/>
          <w:color w:val="auto"/>
          <w:sz w:val="24"/>
          <w:szCs w:val="24"/>
          <w:highlight w:val="none"/>
          <w:lang w:val="zh-CN" w:eastAsia="zh-CN"/>
        </w:rPr>
        <w:t>公司未挂靠、借用资质进行投标等违法违规行为。</w:t>
      </w:r>
    </w:p>
    <w:p w14:paraId="1961C25F">
      <w:pPr>
        <w:spacing w:after="120" w:afterLines="50" w:line="240" w:lineRule="auto"/>
        <w:ind w:left="0" w:leftChars="0" w:firstLine="480" w:firstLineChars="200"/>
        <w:rPr>
          <w:rFonts w:hint="eastAsia" w:ascii="仿宋" w:hAnsi="仿宋" w:eastAsia="仿宋" w:cs="宋体"/>
          <w:color w:val="auto"/>
          <w:sz w:val="24"/>
          <w:szCs w:val="24"/>
          <w:highlight w:val="none"/>
          <w:lang w:val="zh-CN" w:eastAsia="zh-CN"/>
        </w:rPr>
      </w:pPr>
      <w:r>
        <w:rPr>
          <w:rFonts w:hint="eastAsia" w:ascii="仿宋" w:hAnsi="仿宋" w:eastAsia="仿宋" w:cs="宋体"/>
          <w:color w:val="auto"/>
          <w:sz w:val="24"/>
          <w:szCs w:val="24"/>
          <w:highlight w:val="none"/>
          <w:lang w:val="en-US" w:eastAsia="zh-CN"/>
        </w:rPr>
        <w:t>九、</w:t>
      </w:r>
      <w:r>
        <w:rPr>
          <w:rFonts w:hint="eastAsia" w:ascii="仿宋" w:hAnsi="仿宋" w:eastAsia="仿宋" w:cs="宋体"/>
          <w:color w:val="auto"/>
          <w:sz w:val="24"/>
          <w:szCs w:val="24"/>
          <w:highlight w:val="none"/>
          <w:lang w:val="zh-CN" w:eastAsia="zh-CN"/>
        </w:rPr>
        <w:t>我公司承诺在参加本</w:t>
      </w:r>
      <w:r>
        <w:rPr>
          <w:rFonts w:hint="eastAsia" w:ascii="仿宋" w:hAnsi="仿宋" w:eastAsia="仿宋" w:cs="宋体"/>
          <w:color w:val="auto"/>
          <w:sz w:val="24"/>
          <w:szCs w:val="24"/>
          <w:highlight w:val="none"/>
          <w:lang w:val="en-US" w:eastAsia="zh-CN"/>
        </w:rPr>
        <w:t>次</w:t>
      </w:r>
      <w:r>
        <w:rPr>
          <w:rFonts w:hint="eastAsia" w:ascii="仿宋" w:hAnsi="仿宋" w:eastAsia="仿宋" w:cs="宋体"/>
          <w:color w:val="auto"/>
          <w:sz w:val="24"/>
          <w:szCs w:val="24"/>
          <w:highlight w:val="none"/>
          <w:lang w:val="zh-CN" w:eastAsia="zh-CN"/>
        </w:rPr>
        <w:t>采购活动中，</w:t>
      </w:r>
      <w:r>
        <w:rPr>
          <w:rFonts w:hint="eastAsia" w:ascii="仿宋" w:hAnsi="仿宋" w:eastAsia="仿宋" w:cs="宋体"/>
          <w:color w:val="auto"/>
          <w:sz w:val="24"/>
          <w:szCs w:val="24"/>
          <w:highlight w:val="none"/>
          <w:lang w:val="en-US" w:eastAsia="zh-CN"/>
        </w:rPr>
        <w:t>不存在串标围标行为</w:t>
      </w:r>
      <w:r>
        <w:rPr>
          <w:rFonts w:hint="eastAsia" w:ascii="仿宋" w:hAnsi="仿宋" w:eastAsia="仿宋" w:cs="宋体"/>
          <w:color w:val="auto"/>
          <w:sz w:val="24"/>
          <w:szCs w:val="24"/>
          <w:highlight w:val="none"/>
          <w:lang w:val="zh-CN" w:eastAsia="zh-CN"/>
        </w:rPr>
        <w:t>，</w:t>
      </w:r>
      <w:r>
        <w:rPr>
          <w:rFonts w:hint="eastAsia" w:ascii="仿宋" w:hAnsi="仿宋" w:eastAsia="仿宋" w:cs="宋体"/>
          <w:color w:val="auto"/>
          <w:sz w:val="24"/>
          <w:szCs w:val="24"/>
          <w:highlight w:val="none"/>
          <w:lang w:val="en-US" w:eastAsia="zh-CN"/>
        </w:rPr>
        <w:t>不存在</w:t>
      </w:r>
      <w:r>
        <w:rPr>
          <w:rFonts w:hint="eastAsia" w:ascii="仿宋" w:hAnsi="仿宋" w:eastAsia="仿宋" w:cs="宋体"/>
          <w:color w:val="auto"/>
          <w:sz w:val="24"/>
          <w:szCs w:val="24"/>
          <w:highlight w:val="none"/>
          <w:lang w:val="zh-CN" w:eastAsia="zh-CN"/>
        </w:rPr>
        <w:t>损害</w:t>
      </w:r>
      <w:r>
        <w:rPr>
          <w:rFonts w:hint="eastAsia" w:ascii="仿宋" w:hAnsi="仿宋" w:eastAsia="仿宋" w:cs="宋体"/>
          <w:color w:val="auto"/>
          <w:sz w:val="24"/>
          <w:szCs w:val="24"/>
          <w:highlight w:val="none"/>
          <w:lang w:val="en-US" w:eastAsia="zh-CN"/>
        </w:rPr>
        <w:t>校方</w:t>
      </w:r>
      <w:r>
        <w:rPr>
          <w:rFonts w:hint="eastAsia" w:ascii="仿宋" w:hAnsi="仿宋" w:eastAsia="仿宋" w:cs="宋体"/>
          <w:color w:val="auto"/>
          <w:sz w:val="24"/>
          <w:szCs w:val="24"/>
          <w:highlight w:val="none"/>
          <w:lang w:val="zh-CN" w:eastAsia="zh-CN"/>
        </w:rPr>
        <w:t>或者其他</w:t>
      </w:r>
      <w:r>
        <w:rPr>
          <w:rFonts w:hint="eastAsia" w:ascii="仿宋" w:hAnsi="仿宋" w:eastAsia="仿宋" w:cs="宋体"/>
          <w:color w:val="auto"/>
          <w:sz w:val="24"/>
          <w:szCs w:val="24"/>
          <w:highlight w:val="none"/>
          <w:lang w:val="en-US" w:eastAsia="zh-CN"/>
        </w:rPr>
        <w:t>报价单位</w:t>
      </w:r>
      <w:r>
        <w:rPr>
          <w:rFonts w:hint="eastAsia" w:ascii="仿宋" w:hAnsi="仿宋" w:eastAsia="仿宋" w:cs="宋体"/>
          <w:color w:val="auto"/>
          <w:sz w:val="24"/>
          <w:szCs w:val="24"/>
          <w:highlight w:val="none"/>
          <w:lang w:val="zh-CN" w:eastAsia="zh-CN"/>
        </w:rPr>
        <w:t>利益的行为。</w:t>
      </w:r>
    </w:p>
    <w:p w14:paraId="1B3C8AA7">
      <w:pPr>
        <w:spacing w:after="120" w:afterLines="50" w:line="240" w:lineRule="auto"/>
        <w:ind w:left="0" w:leftChars="0" w:firstLine="480" w:firstLineChars="200"/>
        <w:rPr>
          <w:rFonts w:hint="eastAsia" w:ascii="仿宋" w:hAnsi="仿宋" w:eastAsia="仿宋" w:cs="宋体"/>
          <w:color w:val="auto"/>
          <w:sz w:val="24"/>
          <w:szCs w:val="24"/>
          <w:highlight w:val="none"/>
          <w:lang w:val="zh-CN" w:eastAsia="zh-CN"/>
        </w:rPr>
      </w:pPr>
      <w:r>
        <w:rPr>
          <w:rFonts w:hint="eastAsia" w:ascii="仿宋" w:hAnsi="仿宋" w:eastAsia="仿宋" w:cs="宋体"/>
          <w:color w:val="auto"/>
          <w:sz w:val="24"/>
          <w:szCs w:val="24"/>
          <w:highlight w:val="none"/>
          <w:lang w:val="en-US" w:eastAsia="zh-CN"/>
        </w:rPr>
        <w:t>十、</w:t>
      </w:r>
      <w:r>
        <w:rPr>
          <w:rFonts w:hint="eastAsia" w:ascii="仿宋" w:hAnsi="仿宋" w:eastAsia="仿宋" w:cs="宋体"/>
          <w:color w:val="auto"/>
          <w:sz w:val="24"/>
          <w:szCs w:val="24"/>
          <w:highlight w:val="none"/>
          <w:lang w:val="zh-CN" w:eastAsia="zh-CN"/>
        </w:rPr>
        <w:t>我</w:t>
      </w:r>
      <w:r>
        <w:rPr>
          <w:rFonts w:hint="eastAsia" w:ascii="仿宋" w:hAnsi="仿宋" w:eastAsia="仿宋" w:cs="宋体"/>
          <w:color w:val="auto"/>
          <w:sz w:val="24"/>
          <w:szCs w:val="24"/>
          <w:highlight w:val="none"/>
          <w:lang w:val="en-US" w:eastAsia="zh-CN"/>
        </w:rPr>
        <w:t>公司管理层中</w:t>
      </w:r>
      <w:r>
        <w:rPr>
          <w:rFonts w:hint="eastAsia" w:ascii="仿宋" w:hAnsi="仿宋" w:eastAsia="仿宋" w:cs="宋体"/>
          <w:color w:val="auto"/>
          <w:sz w:val="24"/>
          <w:szCs w:val="24"/>
          <w:highlight w:val="none"/>
          <w:lang w:val="zh-CN" w:eastAsia="zh-CN"/>
        </w:rPr>
        <w:t>没有从</w:t>
      </w:r>
      <w:r>
        <w:rPr>
          <w:rFonts w:hint="eastAsia" w:ascii="仿宋" w:hAnsi="仿宋" w:eastAsia="仿宋" w:cs="宋体"/>
          <w:color w:val="auto"/>
          <w:sz w:val="24"/>
          <w:szCs w:val="24"/>
          <w:highlight w:val="none"/>
          <w:lang w:val="en-US" w:eastAsia="zh-CN"/>
        </w:rPr>
        <w:t>贵校</w:t>
      </w:r>
      <w:r>
        <w:rPr>
          <w:rFonts w:hint="eastAsia" w:ascii="仿宋" w:hAnsi="仿宋" w:eastAsia="仿宋" w:cs="宋体"/>
          <w:color w:val="auto"/>
          <w:sz w:val="24"/>
          <w:szCs w:val="24"/>
          <w:highlight w:val="none"/>
          <w:lang w:val="zh-CN" w:eastAsia="zh-CN"/>
        </w:rPr>
        <w:t>离职或退休3年以内的人员担任控股股东或实际控股人、董事、监事，也没有聘用从</w:t>
      </w:r>
      <w:r>
        <w:rPr>
          <w:rFonts w:hint="eastAsia" w:ascii="仿宋" w:hAnsi="仿宋" w:eastAsia="仿宋" w:cs="宋体"/>
          <w:color w:val="auto"/>
          <w:sz w:val="24"/>
          <w:szCs w:val="24"/>
          <w:highlight w:val="none"/>
          <w:lang w:val="en-US" w:eastAsia="zh-CN"/>
        </w:rPr>
        <w:t>贵校</w:t>
      </w:r>
      <w:r>
        <w:rPr>
          <w:rFonts w:hint="eastAsia" w:ascii="仿宋" w:hAnsi="仿宋" w:eastAsia="仿宋" w:cs="宋体"/>
          <w:color w:val="auto"/>
          <w:sz w:val="24"/>
          <w:szCs w:val="24"/>
          <w:highlight w:val="none"/>
          <w:lang w:val="zh-CN" w:eastAsia="zh-CN"/>
        </w:rPr>
        <w:t>离职或退休3年以内的人员。</w:t>
      </w:r>
    </w:p>
    <w:p w14:paraId="3FE2B1FA">
      <w:pPr>
        <w:spacing w:after="120" w:afterLines="50" w:line="240" w:lineRule="auto"/>
        <w:ind w:left="0" w:leftChars="0" w:firstLine="480" w:firstLineChars="200"/>
        <w:rPr>
          <w:rFonts w:ascii="仿宋" w:hAnsi="仿宋" w:eastAsia="仿宋" w:cs="宋体"/>
          <w:color w:val="auto"/>
          <w:sz w:val="24"/>
          <w:szCs w:val="24"/>
          <w:highlight w:val="none"/>
          <w:lang w:val="zh-CN"/>
        </w:rPr>
      </w:pPr>
      <w:r>
        <w:rPr>
          <w:rFonts w:hint="eastAsia" w:ascii="仿宋" w:hAnsi="仿宋" w:eastAsia="仿宋" w:cs="宋体"/>
          <w:color w:val="auto"/>
          <w:sz w:val="24"/>
          <w:szCs w:val="24"/>
          <w:highlight w:val="none"/>
          <w:lang w:val="en-US" w:eastAsia="zh-CN"/>
        </w:rPr>
        <w:t>我公司保证上述声明真实无误，如有不实，愿承担相应法律责任。</w:t>
      </w:r>
    </w:p>
    <w:p w14:paraId="2C38F8B9">
      <w:pPr>
        <w:spacing w:after="120" w:afterLines="50" w:line="240" w:lineRule="auto"/>
        <w:ind w:left="0" w:leftChars="0" w:firstLine="0" w:firstLineChars="0"/>
        <w:rPr>
          <w:rFonts w:ascii="仿宋" w:hAnsi="仿宋" w:eastAsia="仿宋" w:cs="宋体"/>
          <w:color w:val="auto"/>
          <w:sz w:val="24"/>
          <w:szCs w:val="24"/>
          <w:highlight w:val="none"/>
          <w:lang w:val="zh-CN"/>
        </w:rPr>
      </w:pPr>
    </w:p>
    <w:p w14:paraId="09B2690C">
      <w:pPr>
        <w:spacing w:after="120" w:afterLines="50" w:line="240" w:lineRule="auto"/>
        <w:ind w:left="0" w:leftChars="0" w:firstLine="0" w:firstLineChars="0"/>
        <w:rPr>
          <w:rFonts w:ascii="黑体" w:hAnsi="华文楷体" w:eastAsia="黑体"/>
          <w:b/>
          <w:bCs/>
          <w:color w:val="auto"/>
          <w:sz w:val="32"/>
          <w:szCs w:val="32"/>
          <w:highlight w:val="none"/>
        </w:rPr>
      </w:pPr>
      <w:r>
        <w:rPr>
          <w:rFonts w:hint="eastAsia" w:ascii="黑体" w:hAnsi="华文楷体" w:eastAsia="黑体"/>
          <w:color w:val="auto"/>
          <w:sz w:val="24"/>
          <w:szCs w:val="24"/>
          <w:highlight w:val="none"/>
        </w:rPr>
        <w:t>公司名称（盖章）：                              委托代理人（签字）：</w:t>
      </w:r>
    </w:p>
    <w:p w14:paraId="2D04C0D2">
      <w:pPr>
        <w:pStyle w:val="5"/>
        <w:rPr>
          <w:rFonts w:hint="default" w:ascii="方正兰亭黑简体" w:hAnsi="方正兰亭黑简体" w:eastAsia="方正兰亭黑简体" w:cs="方正兰亭黑简体"/>
          <w:color w:val="auto"/>
          <w:sz w:val="22"/>
          <w:szCs w:val="28"/>
          <w:highlight w:val="none"/>
          <w:lang w:val="en-US" w:eastAsia="zh-CN"/>
        </w:rPr>
      </w:pPr>
    </w:p>
    <w:p w14:paraId="3F5F1DB4">
      <w:pPr>
        <w:pStyle w:val="5"/>
        <w:rPr>
          <w:rFonts w:hint="default" w:ascii="方正兰亭黑简体" w:hAnsi="方正兰亭黑简体" w:eastAsia="方正兰亭黑简体" w:cs="方正兰亭黑简体"/>
          <w:color w:val="auto"/>
          <w:sz w:val="22"/>
          <w:szCs w:val="28"/>
          <w:highlight w:val="none"/>
          <w:lang w:val="en-US" w:eastAsia="zh-CN"/>
        </w:rPr>
      </w:pPr>
    </w:p>
    <w:p w14:paraId="086B01F9">
      <w:pPr>
        <w:jc w:val="left"/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  <w:lang w:val="en-US" w:eastAsia="zh-CN"/>
        </w:rPr>
        <w:sectPr>
          <w:pgSz w:w="11906" w:h="16838"/>
          <w:pgMar w:top="1440" w:right="1083" w:bottom="1440" w:left="1083" w:header="851" w:footer="992" w:gutter="0"/>
          <w:pgNumType w:fmt="decimal"/>
          <w:cols w:space="0" w:num="1"/>
          <w:rtlGutter w:val="0"/>
          <w:docGrid w:type="lines" w:linePitch="314" w:charSpace="0"/>
        </w:sectPr>
      </w:pPr>
    </w:p>
    <w:p w14:paraId="67BD576D">
      <w:pPr>
        <w:jc w:val="left"/>
        <w:rPr>
          <w:rFonts w:hint="eastAsia" w:ascii="方正兰亭黑简体" w:hAnsi="方正兰亭黑简体" w:eastAsia="方正兰亭黑简体" w:cs="方正兰亭黑简体"/>
          <w:b/>
          <w:bCs/>
          <w:color w:val="auto"/>
          <w:sz w:val="22"/>
          <w:szCs w:val="28"/>
          <w:highlight w:val="none"/>
          <w:lang w:val="en-US" w:eastAsia="zh-CN"/>
        </w:rPr>
      </w:pPr>
      <w:r>
        <w:rPr>
          <w:rFonts w:hint="eastAsia" w:ascii="方正兰亭黑简体" w:hAnsi="方正兰亭黑简体" w:eastAsia="方正兰亭黑简体" w:cs="方正兰亭黑简体"/>
          <w:b/>
          <w:bCs/>
          <w:color w:val="auto"/>
          <w:sz w:val="22"/>
          <w:szCs w:val="28"/>
          <w:highlight w:val="none"/>
          <w:lang w:val="en-US" w:eastAsia="zh-CN"/>
        </w:rPr>
        <w:t>附件2：其他材料</w:t>
      </w:r>
    </w:p>
    <w:p w14:paraId="64950263">
      <w:pPr>
        <w:pStyle w:val="4"/>
        <w:ind w:left="0" w:leftChars="0" w:firstLine="0" w:firstLineChars="0"/>
        <w:rPr>
          <w:rFonts w:hint="default"/>
          <w:color w:val="auto"/>
          <w:highlight w:val="none"/>
          <w:lang w:val="en-US" w:eastAsia="zh-CN"/>
        </w:rPr>
      </w:pP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  <w:lang w:val="en-US" w:eastAsia="zh-CN"/>
        </w:rPr>
        <w:t>包括但不限于：</w:t>
      </w:r>
    </w:p>
    <w:p w14:paraId="0B07932C">
      <w:pPr>
        <w:pStyle w:val="4"/>
        <w:numPr>
          <w:ilvl w:val="0"/>
          <w:numId w:val="0"/>
        </w:numPr>
        <w:ind w:left="0" w:leftChars="0" w:firstLine="0" w:firstLineChars="0"/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  <w:lang w:val="en-US" w:eastAsia="zh-CN"/>
        </w:rPr>
      </w:pPr>
      <w:r>
        <w:rPr>
          <w:rFonts w:hint="eastAsia" w:ascii="方正兰亭黑简体" w:hAnsi="方正兰亭黑简体" w:eastAsia="方正兰亭黑简体" w:cs="方正兰亭黑简体"/>
          <w:color w:val="auto"/>
          <w:kern w:val="2"/>
          <w:sz w:val="22"/>
          <w:szCs w:val="28"/>
          <w:highlight w:val="none"/>
          <w:lang w:val="en-US" w:eastAsia="zh-CN" w:bidi="ar-SA"/>
        </w:rPr>
        <w:t>1、</w:t>
      </w: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  <w:lang w:val="en-US" w:eastAsia="zh-CN"/>
        </w:rPr>
        <w:t>营业执照扫描件</w:t>
      </w:r>
    </w:p>
    <w:p w14:paraId="2B48E574">
      <w:pPr>
        <w:pStyle w:val="4"/>
        <w:numPr>
          <w:ilvl w:val="0"/>
          <w:numId w:val="0"/>
        </w:numPr>
        <w:ind w:left="0" w:leftChars="0" w:firstLine="0" w:firstLineChars="0"/>
        <w:rPr>
          <w:rFonts w:hint="default" w:ascii="方正兰亭黑简体" w:hAnsi="方正兰亭黑简体" w:eastAsia="方正兰亭黑简体" w:cs="方正兰亭黑简体"/>
          <w:color w:val="auto"/>
          <w:sz w:val="22"/>
          <w:szCs w:val="28"/>
          <w:highlight w:val="none"/>
          <w:lang w:val="en-US" w:eastAsia="zh-CN"/>
        </w:rPr>
      </w:pPr>
      <w:r>
        <w:rPr>
          <w:rFonts w:hint="default" w:ascii="方正兰亭黑简体" w:hAnsi="方正兰亭黑简体" w:eastAsia="方正兰亭黑简体" w:cs="方正兰亭黑简体"/>
          <w:color w:val="auto"/>
          <w:kern w:val="2"/>
          <w:sz w:val="22"/>
          <w:szCs w:val="28"/>
          <w:highlight w:val="none"/>
          <w:lang w:val="en-US" w:eastAsia="zh-CN" w:bidi="ar-SA"/>
        </w:rPr>
        <w:t>2</w:t>
      </w:r>
      <w:r>
        <w:rPr>
          <w:rFonts w:hint="eastAsia" w:ascii="方正兰亭黑简体" w:hAnsi="方正兰亭黑简体" w:eastAsia="方正兰亭黑简体" w:cs="方正兰亭黑简体"/>
          <w:color w:val="auto"/>
          <w:kern w:val="2"/>
          <w:sz w:val="22"/>
          <w:szCs w:val="28"/>
          <w:highlight w:val="none"/>
          <w:lang w:val="en-US" w:eastAsia="zh-CN" w:bidi="ar-SA"/>
        </w:rPr>
        <w:t>、项目</w:t>
      </w: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  <w:lang w:val="en-US" w:eastAsia="zh-CN"/>
        </w:rPr>
        <w:t>服务方案（产品介绍）及实施计划</w:t>
      </w:r>
    </w:p>
    <w:p w14:paraId="0492334C">
      <w:pPr>
        <w:pStyle w:val="4"/>
        <w:numPr>
          <w:ilvl w:val="0"/>
          <w:numId w:val="0"/>
        </w:numPr>
        <w:ind w:left="0" w:leftChars="0" w:firstLine="0" w:firstLineChars="0"/>
        <w:rPr>
          <w:rFonts w:hint="eastAsia" w:ascii="方正兰亭黑简体" w:hAnsi="方正兰亭黑简体" w:eastAsia="方正兰亭黑简体" w:cs="方正兰亭黑简体"/>
          <w:color w:val="auto"/>
          <w:kern w:val="2"/>
          <w:sz w:val="22"/>
          <w:szCs w:val="28"/>
          <w:highlight w:val="none"/>
          <w:lang w:val="en-US" w:eastAsia="zh-CN" w:bidi="ar-SA"/>
        </w:rPr>
      </w:pPr>
      <w:r>
        <w:rPr>
          <w:rFonts w:hint="default" w:ascii="方正兰亭黑简体" w:hAnsi="方正兰亭黑简体" w:eastAsia="方正兰亭黑简体" w:cs="方正兰亭黑简体"/>
          <w:color w:val="auto"/>
          <w:kern w:val="2"/>
          <w:sz w:val="22"/>
          <w:szCs w:val="28"/>
          <w:highlight w:val="none"/>
          <w:lang w:val="en-US" w:eastAsia="zh-CN" w:bidi="ar-SA"/>
        </w:rPr>
        <w:t>3、</w:t>
      </w:r>
      <w:r>
        <w:rPr>
          <w:rFonts w:hint="eastAsia" w:ascii="方正兰亭黑简体" w:hAnsi="方正兰亭黑简体" w:eastAsia="方正兰亭黑简体" w:cs="方正兰亭黑简体"/>
          <w:color w:val="auto"/>
          <w:kern w:val="2"/>
          <w:sz w:val="22"/>
          <w:szCs w:val="28"/>
          <w:highlight w:val="none"/>
          <w:lang w:val="en-US" w:eastAsia="zh-CN" w:bidi="ar-SA"/>
        </w:rPr>
        <w:t>服务团队介绍</w:t>
      </w:r>
    </w:p>
    <w:p w14:paraId="5856E4F7">
      <w:pPr>
        <w:pStyle w:val="4"/>
        <w:numPr>
          <w:ilvl w:val="0"/>
          <w:numId w:val="0"/>
        </w:numPr>
        <w:ind w:left="0" w:leftChars="0" w:firstLine="0" w:firstLineChars="0"/>
        <w:rPr>
          <w:rFonts w:hint="default" w:ascii="方正兰亭黑简体" w:hAnsi="方正兰亭黑简体" w:eastAsia="方正兰亭黑简体" w:cs="方正兰亭黑简体"/>
          <w:color w:val="auto"/>
          <w:sz w:val="22"/>
          <w:szCs w:val="28"/>
          <w:highlight w:val="none"/>
          <w:lang w:val="en-US" w:eastAsia="zh-CN"/>
        </w:rPr>
      </w:pPr>
      <w:r>
        <w:rPr>
          <w:rFonts w:hint="default" w:ascii="方正兰亭黑简体" w:hAnsi="方正兰亭黑简体" w:eastAsia="方正兰亭黑简体" w:cs="方正兰亭黑简体"/>
          <w:color w:val="auto"/>
          <w:kern w:val="2"/>
          <w:sz w:val="22"/>
          <w:szCs w:val="28"/>
          <w:highlight w:val="none"/>
          <w:lang w:val="en-US" w:eastAsia="zh-CN" w:bidi="ar-SA"/>
        </w:rPr>
        <w:t>4</w:t>
      </w:r>
      <w:r>
        <w:rPr>
          <w:rFonts w:hint="eastAsia" w:ascii="方正兰亭黑简体" w:hAnsi="方正兰亭黑简体" w:eastAsia="方正兰亭黑简体" w:cs="方正兰亭黑简体"/>
          <w:color w:val="auto"/>
          <w:kern w:val="2"/>
          <w:sz w:val="22"/>
          <w:szCs w:val="28"/>
          <w:highlight w:val="none"/>
          <w:lang w:val="en-US" w:eastAsia="zh-CN" w:bidi="ar-SA"/>
        </w:rPr>
        <w:t>、</w:t>
      </w: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  <w:lang w:val="en-US" w:eastAsia="zh-CN"/>
        </w:rPr>
        <w:t>服务保障承诺</w:t>
      </w:r>
    </w:p>
    <w:p w14:paraId="0E222C46">
      <w:pPr>
        <w:pStyle w:val="4"/>
        <w:numPr>
          <w:ilvl w:val="0"/>
          <w:numId w:val="0"/>
        </w:numPr>
        <w:ind w:left="0" w:leftChars="0" w:firstLine="0" w:firstLineChars="0"/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  <w:lang w:val="en-US" w:eastAsia="zh-CN"/>
        </w:rPr>
      </w:pPr>
      <w:r>
        <w:rPr>
          <w:rFonts w:hint="eastAsia" w:ascii="方正兰亭黑简体" w:hAnsi="方正兰亭黑简体" w:eastAsia="方正兰亭黑简体" w:cs="方正兰亭黑简体"/>
          <w:color w:val="auto"/>
          <w:kern w:val="2"/>
          <w:sz w:val="22"/>
          <w:szCs w:val="28"/>
          <w:highlight w:val="none"/>
          <w:lang w:val="en-US" w:eastAsia="zh-CN" w:bidi="ar-SA"/>
        </w:rPr>
        <w:t>5</w:t>
      </w:r>
      <w:r>
        <w:rPr>
          <w:rFonts w:hint="default" w:ascii="方正兰亭黑简体" w:hAnsi="方正兰亭黑简体" w:eastAsia="方正兰亭黑简体" w:cs="方正兰亭黑简体"/>
          <w:color w:val="auto"/>
          <w:kern w:val="2"/>
          <w:sz w:val="22"/>
          <w:szCs w:val="28"/>
          <w:highlight w:val="none"/>
          <w:lang w:val="en-US" w:eastAsia="zh-CN" w:bidi="ar-SA"/>
        </w:rPr>
        <w:t>、</w:t>
      </w: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  <w:lang w:val="en-US" w:eastAsia="zh-CN"/>
        </w:rPr>
        <w:t>业绩案例</w:t>
      </w:r>
    </w:p>
    <w:p w14:paraId="575220FA">
      <w:pPr>
        <w:pStyle w:val="4"/>
        <w:numPr>
          <w:ilvl w:val="0"/>
          <w:numId w:val="0"/>
        </w:numPr>
        <w:ind w:left="0" w:leftChars="0" w:firstLine="0" w:firstLineChars="0"/>
        <w:rPr>
          <w:rFonts w:hint="default" w:ascii="方正兰亭黑简体" w:hAnsi="方正兰亭黑简体" w:eastAsia="方正兰亭黑简体" w:cs="方正兰亭黑简体"/>
          <w:color w:val="auto"/>
          <w:sz w:val="22"/>
          <w:szCs w:val="28"/>
          <w:highlight w:val="none"/>
          <w:lang w:val="en-US" w:eastAsia="zh-CN"/>
        </w:rPr>
      </w:pP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  <w:lang w:val="en-US" w:eastAsia="zh-CN"/>
        </w:rPr>
        <w:t>6、其他所必需的相关材料</w:t>
      </w:r>
    </w:p>
    <w:sectPr>
      <w:pgSz w:w="11906" w:h="16838"/>
      <w:pgMar w:top="1440" w:right="1083" w:bottom="1440" w:left="1083" w:header="851" w:footer="992" w:gutter="0"/>
      <w:pgNumType w:fmt="decimal"/>
      <w:cols w:space="0" w:num="1"/>
      <w:rtlGutter w:val="0"/>
      <w:docGrid w:type="lines" w:linePitch="314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917C68E5-62EB-49D7-8CE4-0A0A0F987B55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  <w:embedRegular r:id="rId2" w:fontKey="{5112FD45-430E-4EF3-965D-804C8AC28EEF}"/>
  </w:font>
  <w:font w:name="方正兰亭黑简体">
    <w:panose1 w:val="02000000000000000000"/>
    <w:charset w:val="86"/>
    <w:family w:val="auto"/>
    <w:pitch w:val="default"/>
    <w:sig w:usb0="A00002BF" w:usb1="184F6CFA" w:usb2="00000012" w:usb3="00000000" w:csb0="00040001" w:csb1="00000000"/>
    <w:embedRegular r:id="rId3" w:fontKey="{4A385D68-273C-42EF-84A4-F5E5121A101A}"/>
  </w:font>
  <w:font w:name="华文楷体">
    <w:panose1 w:val="02010600040101010101"/>
    <w:charset w:val="86"/>
    <w:family w:val="auto"/>
    <w:pitch w:val="default"/>
    <w:sig w:usb0="A00002BF" w:usb1="78CF7CFB" w:usb2="00000016" w:usb3="00000000" w:csb0="6006009F" w:csb1="DFD70000"/>
    <w:embedRegular r:id="rId4" w:fontKey="{CB579C4E-0A4B-451E-A34F-8C27F49460CF}"/>
  </w:font>
  <w:font w:name="方正仿宋_GB2312">
    <w:panose1 w:val="02000000000000000000"/>
    <w:charset w:val="86"/>
    <w:family w:val="auto"/>
    <w:pitch w:val="default"/>
    <w:sig w:usb0="A00002BF" w:usb1="184F6CFA" w:usb2="00000012" w:usb3="00000000" w:csb0="00040001" w:csb1="00000000"/>
    <w:embedRegular r:id="rId5" w:fontKey="{34A3B102-D0AC-4C22-813A-0CCDFEE3D3DE}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A004925">
    <w:pPr>
      <w:pStyle w:val="7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6C62FB9A">
                          <w:pPr>
                            <w:pStyle w:val="7"/>
                          </w:pPr>
                          <w:r>
                            <w:t xml:space="preserve">第 </w:t>
                          </w: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  <w:r>
                            <w:t xml:space="preserve"> 页 共 </w:t>
                          </w:r>
                          <w:r>
                            <w:fldChar w:fldCharType="begin"/>
                          </w:r>
                          <w:r>
                            <w:instrText xml:space="preserve"> NUMPAGES  \* MERGEFORMAT </w:instrText>
                          </w:r>
                          <w:r>
                            <w:fldChar w:fldCharType="separate"/>
                          </w:r>
                          <w:r>
                            <w:t>14</w:t>
                          </w:r>
                          <w:r>
                            <w:fldChar w:fldCharType="end"/>
                          </w:r>
                          <w:r>
                            <w:t xml:space="preserve"> 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6C62FB9A">
                    <w:pPr>
                      <w:pStyle w:val="7"/>
                    </w:pPr>
                    <w:r>
                      <w:t xml:space="preserve">第 </w:t>
                    </w: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  <w:r>
                      <w:t xml:space="preserve"> 页 共 </w:t>
                    </w:r>
                    <w:r>
                      <w:fldChar w:fldCharType="begin"/>
                    </w:r>
                    <w:r>
                      <w:instrText xml:space="preserve"> NUMPAGES  \* MERGEFORMAT </w:instrText>
                    </w:r>
                    <w:r>
                      <w:fldChar w:fldCharType="separate"/>
                    </w:r>
                    <w:r>
                      <w:t>14</w:t>
                    </w:r>
                    <w:r>
                      <w:fldChar w:fldCharType="end"/>
                    </w:r>
                    <w:r>
                      <w:t xml:space="preserve"> 页</w:t>
                    </w:r>
                  </w:p>
                </w:txbxContent>
              </v:textbox>
            </v:shape>
          </w:pict>
        </mc:Fallback>
      </mc:AlternateContent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B06348DC"/>
    <w:multiLevelType w:val="singleLevel"/>
    <w:tmpl w:val="B06348DC"/>
    <w:lvl w:ilvl="0" w:tentative="0">
      <w:start w:val="1"/>
      <w:numFmt w:val="decimal"/>
      <w:suff w:val="nothing"/>
      <w:lvlText w:val="（%1）"/>
      <w:lvlJc w:val="left"/>
      <w:pPr>
        <w:ind w:left="0" w:firstLine="0"/>
      </w:pPr>
    </w:lvl>
  </w:abstractNum>
  <w:abstractNum w:abstractNumId="1">
    <w:nsid w:val="E8D2EBEB"/>
    <w:multiLevelType w:val="singleLevel"/>
    <w:tmpl w:val="E8D2EBEB"/>
    <w:lvl w:ilvl="0" w:tentative="0">
      <w:start w:val="2"/>
      <w:numFmt w:val="decimal"/>
      <w:suff w:val="nothing"/>
      <w:lvlText w:val="%1、"/>
      <w:lvlJc w:val="left"/>
    </w:lvl>
  </w:abstractNum>
  <w:num w:numId="1">
    <w:abstractNumId w:val="1"/>
  </w:num>
  <w:num w:numId="2">
    <w:abstractNumId w:val="0"/>
    <w:lvlOverride w:ilvl="0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TrueTypeFonts/>
  <w:saveSubsetFonts/>
  <w:bordersDoNotSurroundHeader w:val="0"/>
  <w:bordersDoNotSurroundFooter w:val="0"/>
  <w:documentProtection w:enforcement="0"/>
  <w:defaultTabStop w:val="420"/>
  <w:drawingGridVerticalSpacing w:val="157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2675436"/>
    <w:rsid w:val="029C08D4"/>
    <w:rsid w:val="05A234A9"/>
    <w:rsid w:val="08B545A5"/>
    <w:rsid w:val="0ABA5D58"/>
    <w:rsid w:val="0E9F37E5"/>
    <w:rsid w:val="13353790"/>
    <w:rsid w:val="157E6317"/>
    <w:rsid w:val="19F06820"/>
    <w:rsid w:val="1C91744C"/>
    <w:rsid w:val="1E596D71"/>
    <w:rsid w:val="228D7802"/>
    <w:rsid w:val="24050543"/>
    <w:rsid w:val="25147AC8"/>
    <w:rsid w:val="269F2B16"/>
    <w:rsid w:val="2D7A0D83"/>
    <w:rsid w:val="2FB07FD7"/>
    <w:rsid w:val="33B3033B"/>
    <w:rsid w:val="35906085"/>
    <w:rsid w:val="3A9852E0"/>
    <w:rsid w:val="3B4573C7"/>
    <w:rsid w:val="3D6469F5"/>
    <w:rsid w:val="3FCC680A"/>
    <w:rsid w:val="3FDF48A5"/>
    <w:rsid w:val="40115E5B"/>
    <w:rsid w:val="40134FEB"/>
    <w:rsid w:val="41007DAA"/>
    <w:rsid w:val="42531A0F"/>
    <w:rsid w:val="438704B0"/>
    <w:rsid w:val="480A63EB"/>
    <w:rsid w:val="487158D1"/>
    <w:rsid w:val="488E3B06"/>
    <w:rsid w:val="4A525F67"/>
    <w:rsid w:val="4CCA439B"/>
    <w:rsid w:val="4EFD134C"/>
    <w:rsid w:val="543D6D6A"/>
    <w:rsid w:val="58C4549A"/>
    <w:rsid w:val="5AEA704B"/>
    <w:rsid w:val="5DF2219B"/>
    <w:rsid w:val="5E8720EC"/>
    <w:rsid w:val="5EE9209B"/>
    <w:rsid w:val="5F44384A"/>
    <w:rsid w:val="60BF2A71"/>
    <w:rsid w:val="66CB7D1E"/>
    <w:rsid w:val="66E533C4"/>
    <w:rsid w:val="681A51E0"/>
    <w:rsid w:val="695E3370"/>
    <w:rsid w:val="699D5EE7"/>
    <w:rsid w:val="6B99520C"/>
    <w:rsid w:val="6BE50ED7"/>
    <w:rsid w:val="7AF21F95"/>
    <w:rsid w:val="7CFA52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qFormat="1" w:uiPriority="39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qFormat="1" w:unhideWhenUsed="0" w:uiPriority="99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qFormat="1" w:unhideWhenUsed="0" w:uiPriority="0" w:semiHidden="0" w:name="Body Text 2"/>
    <w:lsdException w:unhideWhenUsed="0" w:uiPriority="0" w:semiHidden="0" w:name="Body Text 3"/>
    <w:lsdException w:qFormat="1" w:uiPriority="0" w:semiHidden="0" w:name="Body Text Indent 2"/>
    <w:lsdException w:qFormat="1" w:unhideWhenUsed="0" w:uiPriority="0" w:semiHidden="0" w:name="Body Text Indent 3"/>
    <w:lsdException w:unhideWhenUsed="0" w:uiPriority="0" w:semiHidden="0" w:name="Block Text"/>
    <w:lsdException w:qFormat="1" w:uiPriority="99" w:semiHidden="0" w:name="Hyperlink"/>
    <w:lsdException w:unhideWhenUsed="0" w:uiPriority="0" w:semiHidden="0" w:name="FollowedHyperlink"/>
    <w:lsdException w:qFormat="1" w:unhideWhenUsed="0" w:uiPriority="22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16">
    <w:name w:val="Default Paragraph Font"/>
    <w:semiHidden/>
    <w:qFormat/>
    <w:uiPriority w:val="0"/>
  </w:style>
  <w:style w:type="table" w:default="1" w:styleId="1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annotation text"/>
    <w:basedOn w:val="1"/>
    <w:qFormat/>
    <w:uiPriority w:val="99"/>
    <w:pPr>
      <w:jc w:val="left"/>
    </w:pPr>
    <w:rPr>
      <w:kern w:val="0"/>
      <w:sz w:val="20"/>
      <w:szCs w:val="20"/>
    </w:rPr>
  </w:style>
  <w:style w:type="paragraph" w:styleId="3">
    <w:name w:val="Body Text"/>
    <w:basedOn w:val="1"/>
    <w:next w:val="1"/>
    <w:qFormat/>
    <w:uiPriority w:val="0"/>
    <w:pPr>
      <w:spacing w:after="120"/>
    </w:pPr>
  </w:style>
  <w:style w:type="paragraph" w:styleId="4">
    <w:name w:val="Body Text Indent"/>
    <w:basedOn w:val="1"/>
    <w:qFormat/>
    <w:uiPriority w:val="0"/>
    <w:pPr>
      <w:ind w:left="420" w:leftChars="200"/>
    </w:pPr>
  </w:style>
  <w:style w:type="paragraph" w:styleId="5">
    <w:name w:val="Plain Text"/>
    <w:basedOn w:val="1"/>
    <w:qFormat/>
    <w:uiPriority w:val="0"/>
    <w:rPr>
      <w:rFonts w:ascii="宋体" w:hAnsi="Courier New"/>
    </w:rPr>
  </w:style>
  <w:style w:type="paragraph" w:styleId="6">
    <w:name w:val="Body Text Indent 2"/>
    <w:basedOn w:val="1"/>
    <w:unhideWhenUsed/>
    <w:qFormat/>
    <w:uiPriority w:val="0"/>
    <w:pPr>
      <w:ind w:firstLine="540"/>
    </w:pPr>
    <w:rPr>
      <w:rFonts w:ascii="Calibri" w:hAnsi="Calibri"/>
      <w:sz w:val="28"/>
      <w:szCs w:val="20"/>
    </w:rPr>
  </w:style>
  <w:style w:type="paragraph" w:styleId="7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8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9">
    <w:name w:val="toc 1"/>
    <w:basedOn w:val="1"/>
    <w:next w:val="1"/>
    <w:unhideWhenUsed/>
    <w:qFormat/>
    <w:uiPriority w:val="39"/>
    <w:rPr>
      <w:rFonts w:ascii="Calibri" w:hAnsi="Calibri" w:eastAsia="宋体" w:cs="Times New Roman"/>
    </w:rPr>
  </w:style>
  <w:style w:type="paragraph" w:styleId="10">
    <w:name w:val="Body Text Indent 3"/>
    <w:basedOn w:val="1"/>
    <w:qFormat/>
    <w:uiPriority w:val="0"/>
    <w:pPr>
      <w:ind w:firstLine="600" w:firstLineChars="200"/>
    </w:pPr>
    <w:rPr>
      <w:color w:val="FF0000"/>
      <w:sz w:val="30"/>
      <w:szCs w:val="20"/>
    </w:rPr>
  </w:style>
  <w:style w:type="paragraph" w:styleId="11">
    <w:name w:val="Body Text 2"/>
    <w:basedOn w:val="1"/>
    <w:qFormat/>
    <w:uiPriority w:val="0"/>
    <w:pPr>
      <w:spacing w:after="120" w:line="480" w:lineRule="auto"/>
    </w:pPr>
    <w:rPr>
      <w:szCs w:val="24"/>
    </w:rPr>
  </w:style>
  <w:style w:type="paragraph" w:styleId="12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paragraph" w:styleId="13">
    <w:name w:val="Body Text First Indent"/>
    <w:basedOn w:val="3"/>
    <w:qFormat/>
    <w:uiPriority w:val="0"/>
    <w:pPr>
      <w:widowControl/>
      <w:spacing w:after="120"/>
      <w:ind w:firstLine="420" w:firstLineChars="100"/>
      <w:jc w:val="left"/>
    </w:pPr>
    <w:rPr>
      <w:rFonts w:ascii="Times New Roman"/>
    </w:rPr>
  </w:style>
  <w:style w:type="table" w:styleId="15">
    <w:name w:val="Table Grid"/>
    <w:basedOn w:val="14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7">
    <w:name w:val="Strong"/>
    <w:qFormat/>
    <w:uiPriority w:val="22"/>
    <w:rPr>
      <w:b/>
      <w:bCs/>
    </w:rPr>
  </w:style>
  <w:style w:type="character" w:styleId="18">
    <w:name w:val="Hyperlink"/>
    <w:basedOn w:val="16"/>
    <w:unhideWhenUsed/>
    <w:qFormat/>
    <w:uiPriority w:val="99"/>
    <w:rPr>
      <w:color w:val="0000FF"/>
      <w:u w:val="single"/>
    </w:rPr>
  </w:style>
  <w:style w:type="paragraph" w:customStyle="1" w:styleId="19">
    <w:name w:val="列表段落1"/>
    <w:basedOn w:val="1"/>
    <w:qFormat/>
    <w:uiPriority w:val="0"/>
    <w:pPr>
      <w:ind w:firstLine="420" w:firstLineChars="200"/>
    </w:pPr>
  </w:style>
  <w:style w:type="paragraph" w:customStyle="1" w:styleId="20">
    <w:name w:val="Default"/>
    <w:qFormat/>
    <w:uiPriority w:val="0"/>
    <w:pPr>
      <w:widowControl w:val="0"/>
      <w:autoSpaceDE w:val="0"/>
      <w:autoSpaceDN w:val="0"/>
      <w:adjustRightInd w:val="0"/>
    </w:pPr>
    <w:rPr>
      <w:rFonts w:ascii="楷体" w:hAnsi="Times New Roman" w:eastAsia="楷体" w:cs="楷体"/>
      <w:color w:val="000000"/>
      <w:sz w:val="24"/>
      <w:szCs w:val="24"/>
      <w:lang w:val="en-US" w:eastAsia="zh-CN" w:bidi="ar-SA"/>
    </w:rPr>
  </w:style>
  <w:style w:type="character" w:customStyle="1" w:styleId="21">
    <w:name w:val="15"/>
    <w:basedOn w:val="16"/>
    <w:qFormat/>
    <w:uiPriority w:val="0"/>
    <w:rPr>
      <w:rFonts w:hint="default" w:ascii="Calibri" w:hAnsi="Calibri" w:cs="Calibri"/>
      <w:b/>
      <w:bCs/>
    </w:rPr>
  </w:style>
  <w:style w:type="paragraph" w:styleId="22">
    <w:name w:val="List Paragraph"/>
    <w:basedOn w:val="1"/>
    <w:qFormat/>
    <w:uiPriority w:val="34"/>
    <w:pPr>
      <w:ind w:left="720"/>
      <w:contextualSpacing/>
    </w:pPr>
  </w:style>
  <w:style w:type="table" w:customStyle="1" w:styleId="23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24">
    <w:name w:val="表格正文内容"/>
    <w:basedOn w:val="1"/>
    <w:next w:val="1"/>
    <w:autoRedefine/>
    <w:qFormat/>
    <w:uiPriority w:val="0"/>
    <w:pPr>
      <w:widowControl/>
      <w:spacing w:line="360" w:lineRule="exact"/>
      <w:jc w:val="left"/>
    </w:pPr>
    <w:rPr>
      <w:rFonts w:ascii="楷体_GB2312" w:hAnsi="方正小标宋简体" w:eastAsia="仿宋_GB2312" w:cs="仿宋"/>
      <w:sz w:val="24"/>
      <w:szCs w:val="32"/>
    </w:rPr>
  </w:style>
  <w:style w:type="character" w:customStyle="1" w:styleId="25">
    <w:name w:val="font91"/>
    <w:qFormat/>
    <w:uiPriority w:val="0"/>
    <w:rPr>
      <w:rFonts w:hint="eastAsia" w:ascii="宋体" w:hAnsi="宋体" w:eastAsia="宋体" w:cs="宋体"/>
      <w:color w:val="1E1E1E"/>
      <w:sz w:val="24"/>
      <w:szCs w:val="24"/>
      <w:u w:val="none"/>
    </w:rPr>
  </w:style>
  <w:style w:type="character" w:customStyle="1" w:styleId="26">
    <w:name w:val="font81"/>
    <w:qFormat/>
    <w:uiPriority w:val="0"/>
    <w:rPr>
      <w:rFonts w:ascii="Wingdings" w:hAnsi="Wingdings" w:cs="Wingdings"/>
      <w:color w:val="1E1E1E"/>
      <w:sz w:val="24"/>
      <w:szCs w:val="24"/>
      <w:u w:val="none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2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2.xml><?xml version="1.0" encoding="utf-8"?>
<contractReview xmlns="http://schemas.wps.cn/vas-ai-hub/contract-review">
  <reviewItems>
    <reviewItem>
      <errorID>27e5aae7-eb4b-48bf-84fc-479d5b32e2f6</errorID>
      <errorWord>1、</errorWord>
      <group>L1_Format</group>
      <groupName>格式问题</groupName>
      <ability>L2_Ordinal</ability>
      <abilityName>序号格式</abilityName>
      <candidateList>
        <item>1.</item>
      </candidateList>
      <explain>中文书写环境建议使用国标要求书写序次语。根据标点符号用法（GB/T 15834—2011）序次语书写要求，通常第一层是带有顿号的汉字数字，如“一、”；第二层是带括号（全角）的汉字数字，如“（一）”；第三层是带下脚点（半角）的阿拉伯数字，如“1.”；第四层是带括号（全角）的阿拉伯数字，如“（1）”“1）”；其后可以按照书写者意愿输入带圈的阿拉伯数字或大小写拉丁字母，如“①”“ a.”。</explain>
      <paraID> 22E8766</paraID>
      <start>0</start>
      <end>2</end>
      <status>unmodified</status>
      <modifiedWord/>
      <trackRevisions>false</trackRevisions>
    </reviewItem>
    <reviewItem>
      <errorID>93647a41-ad5b-4ac4-811b-59a5efe2190b</errorID>
      <errorWord>2、</errorWord>
      <group>L1_Format</group>
      <groupName>格式问题</groupName>
      <ability>L2_Ordinal</ability>
      <abilityName>序号格式</abilityName>
      <candidateList>
        <item>2.</item>
      </candidateList>
      <explain>中文书写环境建议使用国标要求书写序次语。根据标点符号用法（GB/T 15834—2011）序次语书写要求，通常第一层是带有顿号的汉字数字，如“一、”；第二层是带括号（全角）的汉字数字，如“（一）”；第三层是带下脚点（半角）的阿拉伯数字，如“1.”；第四层是带括号（全角）的阿拉伯数字，如“（1）”“1）”；其后可以按照书写者意愿输入带圈的阿拉伯数字或大小写拉丁字母，如“①”“ a.”。</explain>
      <paraID>6441606B</paraID>
      <start>0</start>
      <end>2</end>
      <status>unmodified</status>
      <modifiedWord/>
      <trackRevisions>false</trackRevisions>
    </reviewItem>
    <reviewItem>
      <errorID>9b778bc5-fbb9-4d5e-a137-c3aadf0ce25a</errorID>
      <errorWord>3、</errorWord>
      <group>L1_Format</group>
      <groupName>格式问题</groupName>
      <ability>L2_Ordinal</ability>
      <abilityName>序号格式</abilityName>
      <candidateList>
        <item>3.</item>
      </candidateList>
      <explain>中文书写环境建议使用国标要求书写序次语。根据标点符号用法（GB/T 15834—2011）序次语书写要求，通常第一层是带有顿号的汉字数字，如“一、”；第二层是带括号（全角）的汉字数字，如“（一）”；第三层是带下脚点（半角）的阿拉伯数字，如“1.”；第四层是带括号（全角）的阿拉伯数字，如“（1）”“1）”；其后可以按照书写者意愿输入带圈的阿拉伯数字或大小写拉丁字母，如“①”“ a.”。</explain>
      <paraID>3A3BF07A</paraID>
      <start>0</start>
      <end>2</end>
      <status>unmodified</status>
      <modifiedWord/>
      <trackRevisions>false</trackRevisions>
    </reviewItem>
    <reviewItem>
      <errorID>ea82175a-b7e6-4f53-bbc9-07dd4bd247f1</errorID>
      <errorWord>2026年4月222日</errorWord>
      <group>L1_Knowledge</group>
      <groupName>知识性问题</groupName>
      <ability>L2_Time</ability>
      <abilityName>日期时间</abilityName>
      <candidateList/>
      <explain>每年的四、六、九、十一月仅有30天。</explain>
      <paraID>231DF229</paraID>
      <start>5</start>
      <end>16</end>
      <status>unmodified</status>
      <modifiedWord/>
      <trackRevisions>false</trackRevisions>
    </reviewItem>
    <reviewItem>
      <errorID>37e483b4-0923-4cde-a3fa-f655b6142f8f</errorID>
      <errorWord>1、</errorWord>
      <group>L1_Format</group>
      <groupName>格式问题</groupName>
      <ability>L2_Ordinal</ability>
      <abilityName>序号格式</abilityName>
      <candidateList>
        <item>1.</item>
      </candidateList>
      <explain>中文书写环境建议使用国标要求书写序次语。根据标点符号用法（GB/T 15834—2011）序次语书写要求，通常第一层是带有顿号的汉字数字，如“一、”；第二层是带括号（全角）的汉字数字，如“（一）”；第三层是带下脚点（半角）的阿拉伯数字，如“1.”；第四层是带括号（全角）的阿拉伯数字，如“（1）”“1）”；其后可以按照书写者意愿输入带圈的阿拉伯数字或大小写拉丁字母，如“①”“ a.”。</explain>
      <paraID>79FDE64D</paraID>
      <start>0</start>
      <end>2</end>
      <status>unmodified</status>
      <modifiedWord/>
      <trackRevisions>false</trackRevisions>
    </reviewItem>
    <reviewItem>
      <errorID>56549cdf-1ece-4d57-aa24-1bedc36e707d</errorID>
      <errorWord>2、</errorWord>
      <group>L1_Format</group>
      <groupName>格式问题</groupName>
      <ability>L2_Ordinal</ability>
      <abilityName>序号格式</abilityName>
      <candidateList>
        <item>2.</item>
      </candidateList>
      <explain>中文书写环境建议使用国标要求书写序次语。根据标点符号用法（GB/T 15834—2011）序次语书写要求，通常第一层是带有顿号的汉字数字，如“一、”；第二层是带括号（全角）的汉字数字，如“（一）”；第三层是带下脚点（半角）的阿拉伯数字，如“1.”；第四层是带括号（全角）的阿拉伯数字，如“（1）”“1）”；其后可以按照书写者意愿输入带圈的阿拉伯数字或大小写拉丁字母，如“①”“ a.”。</explain>
      <paraID>1E996F52</paraID>
      <start>0</start>
      <end>2</end>
      <status>unmodified</status>
      <modifiedWord/>
      <trackRevisions>false</trackRevisions>
    </reviewItem>
    <reviewItem>
      <errorID>b76e567a-3f2e-462d-839e-9449f655b00b</errorID>
      <errorWord>1、</errorWord>
      <group>L1_Format</group>
      <groupName>格式问题</groupName>
      <ability>L2_Ordinal</ability>
      <abilityName>序号格式</abilityName>
      <candidateList>
        <item>1.</item>
      </candidateList>
      <explain>中文书写环境建议使用国标要求书写序次语。根据标点符号用法（GB/T 15834—2011）序次语书写要求，通常第一层是带有顿号的汉字数字，如“一、”；第二层是带括号（全角）的汉字数字，如“（一）”；第三层是带下脚点（半角）的阿拉伯数字，如“1.”；第四层是带括号（全角）的阿拉伯数字，如“（1）”“1）”；其后可以按照书写者意愿输入带圈的阿拉伯数字或大小写拉丁字母，如“①”“ a.”。</explain>
      <paraID>479BF904</paraID>
      <start>0</start>
      <end>2</end>
      <status>unmodified</status>
      <modifiedWord/>
      <trackRevisions>false</trackRevisions>
    </reviewItem>
    <reviewItem>
      <errorID>180c93b7-064c-4e7e-b5af-79f828e768ba</errorID>
      <errorWord>2、</errorWord>
      <group>L1_Format</group>
      <groupName>格式问题</groupName>
      <ability>L2_Ordinal</ability>
      <abilityName>序号格式</abilityName>
      <candidateList>
        <item>2.</item>
      </candidateList>
      <explain>中文书写环境建议使用国标要求书写序次语。根据标点符号用法（GB/T 15834—2011）序次语书写要求，通常第一层是带有顿号的汉字数字，如“一、”；第二层是带括号（全角）的汉字数字，如“（一）”；第三层是带下脚点（半角）的阿拉伯数字，如“1.”；第四层是带括号（全角）的阿拉伯数字，如“（1）”“1）”；其后可以按照书写者意愿输入带圈的阿拉伯数字或大小写拉丁字母，如“①”“ a.”。</explain>
      <paraID>5DC893E7</paraID>
      <start>0</start>
      <end>2</end>
      <status>unmodified</status>
      <modifiedWord/>
      <trackRevisions>false</trackRevisions>
    </reviewItem>
    <reviewItem>
      <errorID>2b085734-b2dd-4d0c-9b8c-4ddee8766b41</errorID>
      <errorWord>3、</errorWord>
      <group>L1_Format</group>
      <groupName>格式问题</groupName>
      <ability>L2_Ordinal</ability>
      <abilityName>序号格式</abilityName>
      <candidateList>
        <item>3.</item>
      </candidateList>
      <explain>中文书写环境建议使用国标要求书写序次语。根据标点符号用法（GB/T 15834—2011）序次语书写要求，通常第一层是带有顿号的汉字数字，如“一、”；第二层是带括号（全角）的汉字数字，如“（一）”；第三层是带下脚点（半角）的阿拉伯数字，如“1.”；第四层是带括号（全角）的阿拉伯数字，如“（1）”“1）”；其后可以按照书写者意愿输入带圈的阿拉伯数字或大小写拉丁字母，如“①”“ a.”。</explain>
      <paraID>63605A2B</paraID>
      <start>0</start>
      <end>2</end>
      <status>unmodified</status>
      <modifiedWord/>
      <trackRevisions>false</trackRevisions>
    </reviewItem>
    <reviewItem>
      <errorID>ca580fa2-b664-430d-ab5c-5c32dd9f3329</errorID>
      <errorWord>4、</errorWord>
      <group>L1_Format</group>
      <groupName>格式问题</groupName>
      <ability>L2_Ordinal</ability>
      <abilityName>序号格式</abilityName>
      <candidateList>
        <item>4.</item>
      </candidateList>
      <explain>中文书写环境建议使用国标要求书写序次语。根据标点符号用法（GB/T 15834—2011）序次语书写要求，通常第一层是带有顿号的汉字数字，如“一、”；第二层是带括号（全角）的汉字数字，如“（一）”；第三层是带下脚点（半角）的阿拉伯数字，如“1.”；第四层是带括号（全角）的阿拉伯数字，如“（1）”“1）”；其后可以按照书写者意愿输入带圈的阿拉伯数字或大小写拉丁字母，如“①”“ a.”。</explain>
      <paraID>1637B823</paraID>
      <start>0</start>
      <end>2</end>
      <status>unmodified</status>
      <modifiedWord/>
      <trackRevisions>false</trackRevisions>
    </reviewItem>
    <reviewItem>
      <errorID>8187f386-a9f1-4f8d-93ad-a92342fe451c</errorID>
      <errorWord>1、</errorWord>
      <group>L1_Format</group>
      <groupName>格式问题</groupName>
      <ability>L2_Ordinal</ability>
      <abilityName>序号格式</abilityName>
      <candidateList>
        <item>1.</item>
      </candidateList>
      <explain>中文书写环境建议使用国标要求书写序次语。根据标点符号用法（GB/T 15834—2011）序次语书写要求，通常第一层是带有顿号的汉字数字，如“一、”；第二层是带括号（全角）的汉字数字，如“（一）”；第三层是带下脚点（半角）的阿拉伯数字，如“1.”；第四层是带括号（全角）的阿拉伯数字，如“（1）”“1）”；其后可以按照书写者意愿输入带圈的阿拉伯数字或大小写拉丁字母，如“①”“ a.”。</explain>
      <paraID>2AD7EE93</paraID>
      <start>0</start>
      <end>2</end>
      <status>unmodified</status>
      <modifiedWord/>
      <trackRevisions>false</trackRevisions>
    </reviewItem>
    <reviewItem>
      <errorID>0ce6ba6c-3f3f-45c1-acc4-ce56fa701fb7</errorID>
      <errorWord>2、</errorWord>
      <group>L1_Format</group>
      <groupName>格式问题</groupName>
      <ability>L2_Ordinal</ability>
      <abilityName>序号格式</abilityName>
      <candidateList>
        <item>2.</item>
      </candidateList>
      <explain>中文书写环境建议使用国标要求书写序次语。根据标点符号用法（GB/T 15834—2011）序次语书写要求，通常第一层是带有顿号的汉字数字，如“一、”；第二层是带括号（全角）的汉字数字，如“（一）”；第三层是带下脚点（半角）的阿拉伯数字，如“1.”；第四层是带括号（全角）的阿拉伯数字，如“（1）”“1）”；其后可以按照书写者意愿输入带圈的阿拉伯数字或大小写拉丁字母，如“①”“ a.”。</explain>
      <paraID>44457B6D</paraID>
      <start>0</start>
      <end>2</end>
      <status>unmodified</status>
      <modifiedWord/>
      <trackRevisions>false</trackRevisions>
    </reviewItem>
    <reviewItem>
      <errorID>a8b81ade-3346-403f-8430-ed72a0b139f6</errorID>
      <errorWord>3、</errorWord>
      <group>L1_Format</group>
      <groupName>格式问题</groupName>
      <ability>L2_Ordinal</ability>
      <abilityName>序号格式</abilityName>
      <candidateList>
        <item>3.</item>
      </candidateList>
      <explain>中文书写环境建议使用国标要求书写序次语。根据标点符号用法（GB/T 15834—2011）序次语书写要求，通常第一层是带有顿号的汉字数字，如“一、”；第二层是带括号（全角）的汉字数字，如“（一）”；第三层是带下脚点（半角）的阿拉伯数字，如“1.”；第四层是带括号（全角）的阿拉伯数字，如“（1）”“1）”；其后可以按照书写者意愿输入带圈的阿拉伯数字或大小写拉丁字母，如“①”“ a.”。</explain>
      <paraID>354D8A04</paraID>
      <start>0</start>
      <end>2</end>
      <status>unmodified</status>
      <modifiedWord/>
      <trackRevisions>false</trackRevisions>
    </reviewItem>
    <reviewItem>
      <errorID>ba36c425-e1a5-44c0-97e3-f56e16dd34dd</errorID>
      <errorWord>1、</errorWord>
      <group>L1_Format</group>
      <groupName>格式问题</groupName>
      <ability>L2_Ordinal</ability>
      <abilityName>序号格式</abilityName>
      <candidateList>
        <item>1.</item>
      </candidateList>
      <explain>中文书写环境建议使用国标要求书写序次语。根据标点符号用法（GB/T 15834—2011）序次语书写要求，通常第一层是带有顿号的汉字数字，如“一、”；第二层是带括号（全角）的汉字数字，如“（一）”；第三层是带下脚点（半角）的阿拉伯数字，如“1.”；第四层是带括号（全角）的阿拉伯数字，如“（1）”“1）”；其后可以按照书写者意愿输入带圈的阿拉伯数字或大小写拉丁字母，如“①”“ a.”。</explain>
      <paraID>5CF9CACA</paraID>
      <start>0</start>
      <end>2</end>
      <status>unmodified</status>
      <modifiedWord/>
      <trackRevisions>false</trackRevisions>
    </reviewItem>
    <reviewItem>
      <errorID>49bef78d-1e59-4c50-95fc-e0f8b2ac8b26</errorID>
      <errorWord>2、</errorWord>
      <group>L1_Format</group>
      <groupName>格式问题</groupName>
      <ability>L2_Ordinal</ability>
      <abilityName>序号格式</abilityName>
      <candidateList>
        <item>2.</item>
      </candidateList>
      <explain>中文书写环境建议使用国标要求书写序次语。根据标点符号用法（GB/T 15834—2011）序次语书写要求，通常第一层是带有顿号的汉字数字，如“一、”；第二层是带括号（全角）的汉字数字，如“（一）”；第三层是带下脚点（半角）的阿拉伯数字，如“1.”；第四层是带括号（全角）的阿拉伯数字，如“（1）”“1）”；其后可以按照书写者意愿输入带圈的阿拉伯数字或大小写拉丁字母，如“①”“ a.”。</explain>
      <paraID>1B387048</paraID>
      <start>0</start>
      <end>2</end>
      <status>unmodified</status>
      <modifiedWord/>
      <trackRevisions>false</trackRevisions>
    </reviewItem>
    <reviewItem>
      <errorID>945f21fb-4e24-4a94-829d-73b2583c2564</errorID>
      <errorWord>3、</errorWord>
      <group>L1_Format</group>
      <groupName>格式问题</groupName>
      <ability>L2_Ordinal</ability>
      <abilityName>序号格式</abilityName>
      <candidateList>
        <item>3.</item>
      </candidateList>
      <explain>中文书写环境建议使用国标要求书写序次语。根据标点符号用法（GB/T 15834—2011）序次语书写要求，通常第一层是带有顿号的汉字数字，如“一、”；第二层是带括号（全角）的汉字数字，如“（一）”；第三层是带下脚点（半角）的阿拉伯数字，如“1.”；第四层是带括号（全角）的阿拉伯数字，如“（1）”“1）”；其后可以按照书写者意愿输入带圈的阿拉伯数字或大小写拉丁字母，如“①”“ a.”。</explain>
      <paraID>73DB214C</paraID>
      <start>0</start>
      <end>2</end>
      <status>unmodified</status>
      <modifiedWord/>
      <trackRevisions>false</trackRevisions>
    </reviewItem>
    <reviewItem>
      <errorID>33dc07c5-f47a-4e04-ac48-91ee915e3f5c</errorID>
      <errorWord>1、</errorWord>
      <group>L1_Format</group>
      <groupName>格式问题</groupName>
      <ability>L2_Ordinal</ability>
      <abilityName>序号格式</abilityName>
      <candidateList>
        <item>1.</item>
      </candidateList>
      <explain>中文书写环境建议使用国标要求书写序次语。根据标点符号用法（GB/T 15834—2011）序次语书写要求，通常第一层是带有顿号的汉字数字，如“一、”；第二层是带括号（全角）的汉字数字，如“（一）”；第三层是带下脚点（半角）的阿拉伯数字，如“1.”；第四层是带括号（全角）的阿拉伯数字，如“（1）”“1）”；其后可以按照书写者意愿输入带圈的阿拉伯数字或大小写拉丁字母，如“①”“ a.”。</explain>
      <paraID>66F6DFD7</paraID>
      <start>0</start>
      <end>2</end>
      <status>unmodified</status>
      <modifiedWord/>
      <trackRevisions>false</trackRevisions>
    </reviewItem>
    <reviewItem>
      <errorID>bdf15716-7d98-4388-b67f-1bf00b88093b</errorID>
      <errorWord>2、</errorWord>
      <group>L1_Format</group>
      <groupName>格式问题</groupName>
      <ability>L2_Ordinal</ability>
      <abilityName>序号格式</abilityName>
      <candidateList>
        <item>2.</item>
      </candidateList>
      <explain>中文书写环境建议使用国标要求书写序次语。根据标点符号用法（GB/T 15834—2011）序次语书写要求，通常第一层是带有顿号的汉字数字，如“一、”；第二层是带括号（全角）的汉字数字，如“（一）”；第三层是带下脚点（半角）的阿拉伯数字，如“1.”；第四层是带括号（全角）的阿拉伯数字，如“（1）”“1）”；其后可以按照书写者意愿输入带圈的阿拉伯数字或大小写拉丁字母，如“①”“ a.”。</explain>
      <paraID>4CDBB760</paraID>
      <start>0</start>
      <end>2</end>
      <status>unmodified</status>
      <modifiedWord/>
      <trackRevisions>false</trackRevisions>
    </reviewItem>
    <reviewItem>
      <errorID>cf89fa2a-5897-4846-b891-c6abdf8f801b</errorID>
      <errorWord>3、</errorWord>
      <group>L1_Format</group>
      <groupName>格式问题</groupName>
      <ability>L2_Ordinal</ability>
      <abilityName>序号格式</abilityName>
      <candidateList>
        <item>3.</item>
      </candidateList>
      <explain>中文书写环境建议使用国标要求书写序次语。根据标点符号用法（GB/T 15834—2011）序次语书写要求，通常第一层是带有顿号的汉字数字，如“一、”；第二层是带括号（全角）的汉字数字，如“（一）”；第三层是带下脚点（半角）的阿拉伯数字，如“1.”；第四层是带括号（全角）的阿拉伯数字，如“（1）”“1）”；其后可以按照书写者意愿输入带圈的阿拉伯数字或大小写拉丁字母，如“①”“ a.”。</explain>
      <paraID>5E3F11F5</paraID>
      <start>0</start>
      <end>2</end>
      <status>unmodified</status>
      <modifiedWord/>
      <trackRevisions>false</trackRevisions>
    </reviewItem>
    <reviewItem>
      <errorID>cf89bb09-3d26-4589-95ff-5718d4b1f29a</errorID>
      <errorWord>4、</errorWord>
      <group>L1_Format</group>
      <groupName>格式问题</groupName>
      <ability>L2_Ordinal</ability>
      <abilityName>序号格式</abilityName>
      <candidateList>
        <item>4.</item>
      </candidateList>
      <explain>中文书写环境建议使用国标要求书写序次语。根据标点符号用法（GB/T 15834—2011）序次语书写要求，通常第一层是带有顿号的汉字数字，如“一、”；第二层是带括号（全角）的汉字数字，如“（一）”；第三层是带下脚点（半角）的阿拉伯数字，如“1.”；第四层是带括号（全角）的阿拉伯数字，如“（1）”“1）”；其后可以按照书写者意愿输入带圈的阿拉伯数字或大小写拉丁字母，如“①”“ a.”。</explain>
      <paraID>11FA3586</paraID>
      <start>0</start>
      <end>2</end>
      <status>unmodified</status>
      <modifiedWord/>
      <trackRevisions>false</trackRevisions>
    </reviewItem>
    <reviewItem>
      <errorID>8bcd709f-b861-4b7d-9404-6da7b14864cb</errorID>
      <errorWord>5、</errorWord>
      <group>L1_Format</group>
      <groupName>格式问题</groupName>
      <ability>L2_Ordinal</ability>
      <abilityName>序号格式</abilityName>
      <candidateList>
        <item>5.</item>
      </candidateList>
      <explain>中文书写环境建议使用国标要求书写序次语。根据标点符号用法（GB/T 15834—2011）序次语书写要求，通常第一层是带有顿号的汉字数字，如“一、”；第二层是带括号（全角）的汉字数字，如“（一）”；第三层是带下脚点（半角）的阿拉伯数字，如“1.”；第四层是带括号（全角）的阿拉伯数字，如“（1）”“1）”；其后可以按照书写者意愿输入带圈的阿拉伯数字或大小写拉丁字母，如“①”“ a.”。</explain>
      <paraID>389BAB5E</paraID>
      <start>0</start>
      <end>2</end>
      <status>unmodified</status>
      <modifiedWord/>
      <trackRevisions>false</trackRevisions>
    </reviewItem>
    <reviewItem>
      <errorID>4d80f5b0-7048-4764-a3f8-18b6b786a5e8</errorID>
      <errorWord>6、</errorWord>
      <group>L1_Format</group>
      <groupName>格式问题</groupName>
      <ability>L2_Ordinal</ability>
      <abilityName>序号格式</abilityName>
      <candidateList>
        <item>6.</item>
      </candidateList>
      <explain>中文书写环境建议使用国标要求书写序次语。根据标点符号用法（GB/T 15834—2011）序次语书写要求，通常第一层是带有顿号的汉字数字，如“一、”；第二层是带括号（全角）的汉字数字，如“（一）”；第三层是带下脚点（半角）的阿拉伯数字，如“1.”；第四层是带括号（全角）的阿拉伯数字，如“（1）”“1）”；其后可以按照书写者意愿输入带圈的阿拉伯数字或大小写拉丁字母，如“①”“ a.”。</explain>
      <paraID>53862EF8</paraID>
      <start>0</start>
      <end>2</end>
      <status>unmodified</status>
      <modifiedWord/>
      <trackRevisions>false</trackRevisions>
    </reviewItem>
    <reviewItem>
      <errorID>cb861833-66d3-40b8-943f-cd20193d2310</errorID>
      <errorWord>7、</errorWord>
      <group>L1_Format</group>
      <groupName>格式问题</groupName>
      <ability>L2_Ordinal</ability>
      <abilityName>序号格式</abilityName>
      <candidateList>
        <item>7.</item>
      </candidateList>
      <explain>中文书写环境建议使用国标要求书写序次语。根据标点符号用法（GB/T 15834—2011）序次语书写要求，通常第一层是带有顿号的汉字数字，如“一、”；第二层是带括号（全角）的汉字数字，如“（一）”；第三层是带下脚点（半角）的阿拉伯数字，如“1.”；第四层是带括号（全角）的阿拉伯数字，如“（1）”“1）”；其后可以按照书写者意愿输入带圈的阿拉伯数字或大小写拉丁字母，如“①”“ a.”。</explain>
      <paraID>21AA83B1</paraID>
      <start>0</start>
      <end>2</end>
      <status>unmodified</status>
      <modifiedWord/>
      <trackRevisions>false</trackRevisions>
    </reviewItem>
    <reviewItem>
      <errorID>824b118f-106e-4664-be99-b6aa06cce2a4</errorID>
      <errorWord>8、</errorWord>
      <group>L1_Format</group>
      <groupName>格式问题</groupName>
      <ability>L2_Ordinal</ability>
      <abilityName>序号格式</abilityName>
      <candidateList>
        <item>8.</item>
      </candidateList>
      <explain>中文书写环境建议使用国标要求书写序次语。根据标点符号用法（GB/T 15834—2011）序次语书写要求，通常第一层是带有顿号的汉字数字，如“一、”；第二层是带括号（全角）的汉字数字，如“（一）”；第三层是带下脚点（半角）的阿拉伯数字，如“1.”；第四层是带括号（全角）的阿拉伯数字，如“（1）”“1）”；其后可以按照书写者意愿输入带圈的阿拉伯数字或大小写拉丁字母，如“①”“ a.”。</explain>
      <paraID>1D5BEA22</paraID>
      <start>0</start>
      <end>2</end>
      <status>unmodified</status>
      <modifiedWord/>
      <trackRevisions>false</trackRevisions>
    </reviewItem>
    <reviewItem>
      <errorID>a88ae886-40d3-491f-910b-8f6c02e422a9</errorID>
      <errorWord>1、</errorWord>
      <group>L1_Format</group>
      <groupName>格式问题</groupName>
      <ability>L2_Ordinal</ability>
      <abilityName>序号格式</abilityName>
      <candidateList>
        <item>1.</item>
      </candidateList>
      <explain>中文书写环境建议使用国标要求书写序次语。根据标点符号用法（GB/T 15834—2011）序次语书写要求，通常第一层是带有顿号的汉字数字，如“一、”；第二层是带括号（全角）的汉字数字，如“（一）”；第三层是带下脚点（半角）的阿拉伯数字，如“1.”；第四层是带括号（全角）的阿拉伯数字，如“（1）”“1）”；其后可以按照书写者意愿输入带圈的阿拉伯数字或大小写拉丁字母，如“①”“ a.”。</explain>
      <paraID>117C4525</paraID>
      <start>0</start>
      <end>2</end>
      <status>unmodified</status>
      <modifiedWord/>
      <trackRevisions>false</trackRevisions>
    </reviewItem>
    <reviewItem>
      <errorID>6f6f2604-7b32-4227-981d-5ffb24df362e</errorID>
      <errorWord>响应响应</errorWord>
      <group>L1_Word</group>
      <groupName>字词问题</groupName>
      <ability>L2_Typo</ability>
      <abilityName>字词错误</abilityName>
      <candidateList>
        <item>响应</item>
      </candidateList>
      <explain>〈动〉回声相应，比喻用言语行动表示赞同、支持某种号召或倡议：～号召。</explain>
      <paraID>4A565C27</paraID>
      <start>3</start>
      <end>7</end>
      <status>unmodified</status>
      <modifiedWord/>
      <trackRevisions>false</trackRevisions>
    </reviewItem>
    <reviewItem>
      <errorID>606e2f4c-ae8e-4663-9182-aacf0d71e60f</errorID>
      <errorWord>1、</errorWord>
      <group>L1_Format</group>
      <groupName>格式问题</groupName>
      <ability>L2_Ordinal</ability>
      <abilityName>序号格式</abilityName>
      <candidateList>
        <item>1.</item>
      </candidateList>
      <explain>中文书写环境建议使用国标要求书写序次语。根据标点符号用法（GB/T 15834—2011）序次语书写要求，通常第一层是带有顿号的汉字数字，如“一、”；第二层是带括号（全角）的汉字数字，如“（一）”；第三层是带下脚点（半角）的阿拉伯数字，如“1.”；第四层是带括号（全角）的阿拉伯数字，如“（1）”“1）”；其后可以按照书写者意愿输入带圈的阿拉伯数字或大小写拉丁字母，如“①”“ a.”。</explain>
      <paraID> B07932C</paraID>
      <start>0</start>
      <end>2</end>
      <status>unmodified</status>
      <modifiedWord/>
      <trackRevisions>false</trackRevisions>
    </reviewItem>
    <reviewItem>
      <errorID>e3dd8882-20bf-4e85-90d2-8a6bb4319379</errorID>
      <errorWord>2、</errorWord>
      <group>L1_Format</group>
      <groupName>格式问题</groupName>
      <ability>L2_Ordinal</ability>
      <abilityName>序号格式</abilityName>
      <candidateList>
        <item>2.</item>
      </candidateList>
      <explain>中文书写环境建议使用国标要求书写序次语。根据标点符号用法（GB/T 15834—2011）序次语书写要求，通常第一层是带有顿号的汉字数字，如“一、”；第二层是带括号（全角）的汉字数字，如“（一）”；第三层是带下脚点（半角）的阿拉伯数字，如“1.”；第四层是带括号（全角）的阿拉伯数字，如“（1）”“1）”；其后可以按照书写者意愿输入带圈的阿拉伯数字或大小写拉丁字母，如“①”“ a.”。</explain>
      <paraID>2B48E574</paraID>
      <start>0</start>
      <end>2</end>
      <status>unmodified</status>
      <modifiedWord/>
      <trackRevisions>false</trackRevisions>
    </reviewItem>
    <reviewItem>
      <errorID>0b211598-fcc6-4f0f-a553-01ebe976f5f3</errorID>
      <errorWord>3、</errorWord>
      <group>L1_Format</group>
      <groupName>格式问题</groupName>
      <ability>L2_Ordinal</ability>
      <abilityName>序号格式</abilityName>
      <candidateList>
        <item>3.</item>
      </candidateList>
      <explain>中文书写环境建议使用国标要求书写序次语。根据标点符号用法（GB/T 15834—2011）序次语书写要求，通常第一层是带有顿号的汉字数字，如“一、”；第二层是带括号（全角）的汉字数字，如“（一）”；第三层是带下脚点（半角）的阿拉伯数字，如“1.”；第四层是带括号（全角）的阿拉伯数字，如“（1）”“1）”；其后可以按照书写者意愿输入带圈的阿拉伯数字或大小写拉丁字母，如“①”“ a.”。</explain>
      <paraID> 492334C</paraID>
      <start>0</start>
      <end>2</end>
      <status>unmodified</status>
      <modifiedWord/>
      <trackRevisions>false</trackRevisions>
    </reviewItem>
    <reviewItem>
      <errorID>40b23155-d612-4229-95bd-abd44f31d1d5</errorID>
      <errorWord>4、</errorWord>
      <group>L1_Format</group>
      <groupName>格式问题</groupName>
      <ability>L2_Ordinal</ability>
      <abilityName>序号格式</abilityName>
      <candidateList>
        <item>4.</item>
      </candidateList>
      <explain>中文书写环境建议使用国标要求书写序次语。根据标点符号用法（GB/T 15834—2011）序次语书写要求，通常第一层是带有顿号的汉字数字，如“一、”；第二层是带括号（全角）的汉字数字，如“（一）”；第三层是带下脚点（半角）的阿拉伯数字，如“1.”；第四层是带括号（全角）的阿拉伯数字，如“（1）”“1）”；其后可以按照书写者意愿输入带圈的阿拉伯数字或大小写拉丁字母，如“①”“ a.”。</explain>
      <paraID>5856E4F7</paraID>
      <start>0</start>
      <end>2</end>
      <status>unmodified</status>
      <modifiedWord/>
      <trackRevisions>false</trackRevisions>
    </reviewItem>
    <reviewItem>
      <errorID>1d732b66-5cc6-45b0-929b-6d7d88221a13</errorID>
      <errorWord>5、</errorWord>
      <group>L1_Format</group>
      <groupName>格式问题</groupName>
      <ability>L2_Ordinal</ability>
      <abilityName>序号格式</abilityName>
      <candidateList>
        <item>5.</item>
      </candidateList>
      <explain>中文书写环境建议使用国标要求书写序次语。根据标点符号用法（GB/T 15834—2011）序次语书写要求，通常第一层是带有顿号的汉字数字，如“一、”；第二层是带括号（全角）的汉字数字，如“（一）”；第三层是带下脚点（半角）的阿拉伯数字，如“1.”；第四层是带括号（全角）的阿拉伯数字，如“（1）”“1）”；其后可以按照书写者意愿输入带圈的阿拉伯数字或大小写拉丁字母，如“①”“ a.”。</explain>
      <paraID> E222C46</paraID>
      <start>0</start>
      <end>2</end>
      <status>unmodified</status>
      <modifiedWord/>
      <trackRevisions>false</trackRevisions>
    </reviewItem>
    <reviewItem>
      <errorID>6f483b41-39f3-4a4e-8b49-c2931df94528</errorID>
      <errorWord>6、</errorWord>
      <group>L1_Format</group>
      <groupName>格式问题</groupName>
      <ability>L2_Ordinal</ability>
      <abilityName>序号格式</abilityName>
      <candidateList>
        <item>6.</item>
      </candidateList>
      <explain>中文书写环境建议使用国标要求书写序次语。根据标点符号用法（GB/T 15834—2011）序次语书写要求，通常第一层是带有顿号的汉字数字，如“一、”；第二层是带括号（全角）的汉字数字，如“（一）”；第三层是带下脚点（半角）的阿拉伯数字，如“1.”；第四层是带括号（全角）的阿拉伯数字，如“（1）”“1）”；其后可以按照书写者意愿输入带圈的阿拉伯数字或大小写拉丁字母，如“①”“ a.”。</explain>
      <paraID>575220FA</paraID>
      <start>0</start>
      <end>2</end>
      <status>unmodified</status>
      <modifiedWord/>
      <trackRevisions>false</trackRevisions>
    </reviewItem>
  </reviewItems>
  <config/>
</contractReview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effbd6d5-d80a-43f8-a7eb-4ddd557d3bd4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11</Pages>
  <Words>3007</Words>
  <Characters>3181</Characters>
  <Lines>0</Lines>
  <Paragraphs>0</Paragraphs>
  <TotalTime>31</TotalTime>
  <ScaleCrop>false</ScaleCrop>
  <LinksUpToDate>false</LinksUpToDate>
  <CharactersWithSpaces>3184</CharactersWithSpaces>
  <Application>WPS Office_12.1.0.25225_F1E327BC-269C-435d-A152-05C5408002CA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2025-04-03T05:09:00Z</dcterms:created>
  <dc:creator>HP</dc:creator>
  <cp:lastModifiedBy>仲杰</cp:lastModifiedBy>
  <dcterms:modified xsi:type="dcterms:W3CDTF">2026-04-20T01:37:12Z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2052-12.1.0.25225</vt:lpwstr>
  </property>
  <property fmtid="{D5CDD505-2E9C-101B-9397-08002B2CF9AE}" pid="3" name="KSOTemplateDocerSaveRecord">
    <vt:lpwstr>eyJoZGlkIjoiMjQzMjJjYTEzYzEzMjVjOGIxYWQwMTc0ZTUwZGE2YjIiLCJ1c2VySWQiOiIyOTgyOTgyOTEifQ==</vt:lpwstr>
  </property>
  <property fmtid="{D5CDD505-2E9C-101B-9397-08002B2CF9AE}" pid="4" name="ICV">
    <vt:lpwstr>2BFD31D5F3FB4B709DBC969892577809_12</vt:lpwstr>
  </property>
</Properties>
</file>