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D282B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</w:rPr>
      </w:pPr>
    </w:p>
    <w:p w14:paraId="006AC946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</w:rPr>
      </w:pPr>
    </w:p>
    <w:p w14:paraId="1BB83921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</w:rPr>
      </w:pPr>
    </w:p>
    <w:p w14:paraId="05747166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eastAsia="zh-CN"/>
        </w:rPr>
        <w:t>交通运输学院物流管理专业航行实习项目</w:t>
      </w:r>
    </w:p>
    <w:p w14:paraId="5F2EFCD4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</w:rPr>
        <w:t>比选文件</w:t>
      </w:r>
    </w:p>
    <w:p w14:paraId="28A63E00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</w:rPr>
      </w:pPr>
    </w:p>
    <w:p w14:paraId="0CA5543B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</w:rPr>
      </w:pPr>
    </w:p>
    <w:p w14:paraId="3D9D00D3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8"/>
          <w:szCs w:val="28"/>
          <w:highlight w:val="none"/>
          <w:lang w:eastAsia="zh-CN"/>
        </w:rPr>
        <w:t>HFBX2026074</w:t>
      </w:r>
    </w:p>
    <w:p w14:paraId="4B356AA1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</w:p>
    <w:p w14:paraId="5B48835F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</w:p>
    <w:p w14:paraId="07E4A809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</w:p>
    <w:p w14:paraId="6A0F108C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</w:p>
    <w:p w14:paraId="5EFABC4D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</w:p>
    <w:p w14:paraId="5416AFF6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</w:p>
    <w:p w14:paraId="05694FFB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</w:p>
    <w:p w14:paraId="342DFAF8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t>采购人：上海海事大学</w:t>
      </w:r>
    </w:p>
    <w:p w14:paraId="6301CB11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t>二〇二六年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八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t>月</w:t>
      </w:r>
    </w:p>
    <w:p w14:paraId="56D8363F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br w:type="page"/>
      </w:r>
    </w:p>
    <w:p w14:paraId="3FA5FE61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t>第一章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 xml:space="preserve"> 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t>比选公告</w:t>
      </w:r>
    </w:p>
    <w:p w14:paraId="5E1CB3DE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为公开、公正、公平地做好各项货物与服务的采购工作，进一步提高采购过程的透明度，有利于我校选择性价比更高的产品及更优质的服务，欢迎各供应单位本着务实友好的工作态度，积极参与，并做好成本核算，进行一次性报价。我校将本着公开、公正、公平的工作原则，对各供应单位所提供的资料，进行综合评议，择优选购。为确保本次比选采购项目采购工作的顺利开展，请各报价单位按照下述要求提供报价单等相关资料。具体要求及相关注意事项如下：</w:t>
      </w:r>
    </w:p>
    <w:p w14:paraId="0E2D235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一、项目基本情况</w:t>
      </w:r>
    </w:p>
    <w:p w14:paraId="74B0A1D4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HFBX2026074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；</w:t>
      </w:r>
    </w:p>
    <w:p w14:paraId="373D4631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项目名称：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交通运输学院物流管理专业航行实习项目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；</w:t>
      </w:r>
    </w:p>
    <w:p w14:paraId="44BA892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采购方式：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学校比选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；</w:t>
      </w:r>
    </w:p>
    <w:p w14:paraId="432CCF0C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预算金额（亦是最高限价）：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人民币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16.48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万元；</w:t>
      </w:r>
    </w:p>
    <w:p w14:paraId="290FE171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本项目是上海海事大学交通运输学院面向物流管理（港航物流）专业开设的特色实践项目，以5天左右的跨境航线为主要载体，通过实船观摩驾驶台与机舱作业、港口参访、安全演习等环节，让学生沉浸式体验真实航海场景，打通港航物流专业理论与航运实操的壁垒，直观了解航运全链条运作逻辑，为后续从事航运相关岗位积累实践认知，是培养复合型航运人才的重要实践环节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拟采取比选方式实施采购。（具体要求详见比选文件—第二章节采购需求）。</w:t>
      </w:r>
    </w:p>
    <w:p w14:paraId="6F22B905">
      <w:pPr>
        <w:pStyle w:val="19"/>
        <w:tabs>
          <w:tab w:val="left" w:pos="0"/>
        </w:tabs>
        <w:spacing w:line="360" w:lineRule="auto"/>
        <w:ind w:firstLine="0" w:firstLineChars="0"/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服务期限：</w:t>
      </w: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实习航次必须为5天4晚，所有航行实习服务活动须在2026年9月10日起至2026年9月30日内完成，不可延后或提前至该时段外；</w:t>
      </w:r>
    </w:p>
    <w:p w14:paraId="627DD869">
      <w:pPr>
        <w:pStyle w:val="19"/>
        <w:numPr>
          <w:ilvl w:val="0"/>
          <w:numId w:val="0"/>
        </w:numPr>
        <w:tabs>
          <w:tab w:val="left" w:pos="0"/>
        </w:tabs>
        <w:spacing w:line="360" w:lineRule="auto"/>
        <w:ind w:firstLine="0" w:firstLineChars="0"/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付款方式：</w:t>
      </w: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合同签订后十个工作日内，甲方一次性支付合同全款。</w:t>
      </w:r>
    </w:p>
    <w:p w14:paraId="34EF3CE4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二、报价人的资格要求</w:t>
      </w:r>
    </w:p>
    <w:p w14:paraId="58FFC7E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1、符合《中华人民共和国政府采购法》第二十二条之供应商资格规定。</w:t>
      </w:r>
    </w:p>
    <w:p w14:paraId="67A4B0EC">
      <w:pPr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2、供应商未被列入“信用中国”网站（www.creditchina.gov.cn）失信执行人名单、重大税收违法案件当事人名单，和中国政府采购网（www.ccgp.gov.cn）政府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严重违法失信行为记录名单的供应商。</w:t>
      </w:r>
    </w:p>
    <w:p w14:paraId="34243CE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3、经营范围及拟投标货物（服务）符合本次比选要求，具有与本次投标货物（服务）相应的经营、代理（经销）资质，能全程参与并完成本项目，且具有较强的服务能力，以及畅通的问题响应机制和渠道等。</w:t>
      </w:r>
    </w:p>
    <w:p w14:paraId="6D423F37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三、报名要求</w:t>
      </w:r>
    </w:p>
    <w:p w14:paraId="2180092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报名邮箱、时间：不单独组织报名，意向单位可在截止日期前递交响应文件。</w:t>
      </w:r>
    </w:p>
    <w:p w14:paraId="47EB2369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四、获取采购文件</w:t>
      </w:r>
    </w:p>
    <w:p w14:paraId="22BA469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获取方式：公告页面下方自行下载</w:t>
      </w:r>
    </w:p>
    <w:p w14:paraId="5F33DC36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bookmarkStart w:id="0" w:name="_Toc28359005"/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五、现场踏勘</w:t>
      </w:r>
      <w:bookmarkEnd w:id="0"/>
      <w:bookmarkStart w:id="6" w:name="_GoBack"/>
      <w:bookmarkEnd w:id="6"/>
    </w:p>
    <w:p w14:paraId="6393E20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不组织</w:t>
      </w:r>
    </w:p>
    <w:p w14:paraId="3B52FB4A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六、响应文件提交</w:t>
      </w:r>
    </w:p>
    <w:p w14:paraId="797F0A10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bookmarkStart w:id="1" w:name="_Toc35393795"/>
      <w:bookmarkEnd w:id="1"/>
      <w:bookmarkStart w:id="2" w:name="_Toc35393626"/>
      <w:bookmarkStart w:id="3" w:name="OLE_LINK2"/>
      <w:bookmarkStart w:id="4" w:name="OLE_LINK1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截止</w:t>
      </w:r>
      <w:bookmarkEnd w:id="2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时间：2026年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9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日（周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）</w:t>
      </w:r>
      <w:bookmarkEnd w:id="3"/>
      <w:bookmarkEnd w:id="4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上午11时00分</w:t>
      </w:r>
    </w:p>
    <w:p w14:paraId="19B2134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提交方式：发送盖章扫描版PDF到指定邮箱，邮件名称：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项目编号+公司名称</w:t>
      </w:r>
    </w:p>
    <w:p w14:paraId="5F997FCD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邮箱地址：quotation@shmtu.edu.cn</w:t>
      </w:r>
    </w:p>
    <w:p w14:paraId="1EC8B77D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七、其他补充事宜</w:t>
      </w:r>
    </w:p>
    <w:p w14:paraId="1533EBFD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1.中标结果将通过发布比选公告的媒介进行公示，公示期为1个工作日，公示期内如对中标结果有异议可向校方提出书面质疑。</w:t>
      </w:r>
      <w:bookmarkStart w:id="5" w:name="_Toc35393627"/>
    </w:p>
    <w:p w14:paraId="03F0F78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2.</w:t>
      </w:r>
      <w:bookmarkEnd w:id="5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凡对本次采购提出询问，请按以下方式联系：</w:t>
      </w:r>
    </w:p>
    <w:p w14:paraId="4E545C0B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商务信息：仲老师021-38284707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13764131075</w:t>
      </w:r>
    </w:p>
    <w:p w14:paraId="155BEAB7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技术信息：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魏老师021-38282308、18001966550</w:t>
      </w:r>
    </w:p>
    <w:p w14:paraId="0248245C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br w:type="page"/>
      </w:r>
    </w:p>
    <w:p w14:paraId="24A7818A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t>第二章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 xml:space="preserve"> 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t>采购需求</w:t>
      </w:r>
    </w:p>
    <w:p w14:paraId="39E2A589">
      <w:pPr>
        <w:spacing w:line="360" w:lineRule="auto"/>
        <w:rPr>
          <w:rFonts w:hint="default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一</w:t>
      </w:r>
      <w:r>
        <w:rPr>
          <w:rFonts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</w:rPr>
        <w:t>、</w:t>
      </w: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项目概况</w:t>
      </w:r>
    </w:p>
    <w:p w14:paraId="6D46828C">
      <w:pPr>
        <w:spacing w:line="360" w:lineRule="auto"/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本项目是上海海事大学交通运输学院面向物流管理（港航物流）专业开设的特色实践项目，以5天左右的跨境航线为主要载体，通过实船观摩驾驶台与机舱作业、港口参访、安全演习等环节，让学生沉浸式体验真实航海场景，打通港航物流专业理论与航运实操的壁垒，直观了解航运全链条运作逻辑，为后续从事航运相关岗位积累实践认知，是培养复合型航运人才的重要实践环节。本次报价包含本项目全部教学服务费用，以及项目实施所需人员、场地、设备、教学耗材等配套成本；包含船票、港务费、船舶全部配套相关支出、人身意外保险、船上住宿、船上免费餐食等为完成本项目所发生的一切相关费用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报价含增值税。</w:t>
      </w:r>
    </w:p>
    <w:p w14:paraId="7CFFD12F">
      <w:pPr>
        <w:widowControl/>
        <w:numPr>
          <w:ilvl w:val="0"/>
          <w:numId w:val="0"/>
        </w:numPr>
        <w:shd w:val="clear" w:color="auto" w:fill="FFFFFF"/>
        <w:spacing w:line="360" w:lineRule="auto"/>
        <w:ind w:left="0" w:leftChars="0" w:firstLine="0" w:firstLineChars="0"/>
        <w:jc w:val="left"/>
        <w:rPr>
          <w:rFonts w:hint="eastAsia" w:ascii="Times New Roman" w:hAnsi="Times New Roman" w:eastAsia="方正兰亭黑简体" w:cs="Times New Roman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</w:pPr>
    </w:p>
    <w:p w14:paraId="2564B485">
      <w:pPr>
        <w:widowControl/>
        <w:numPr>
          <w:ilvl w:val="0"/>
          <w:numId w:val="0"/>
        </w:numPr>
        <w:shd w:val="clear" w:color="auto" w:fill="FFFFFF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二、服务摘要</w:t>
      </w:r>
    </w:p>
    <w:p w14:paraId="266D9CB2">
      <w:pPr>
        <w:spacing w:line="360" w:lineRule="auto"/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通过海上航行实习，学生熟悉船舶的结构和营运组织管理过程，全面了解船舶运行的特点，并了解船舶的分类、性能、舱室、设备等基本常识，了解航运业务知识。</w:t>
      </w:r>
    </w:p>
    <w:p w14:paraId="13F673C6">
      <w:pPr>
        <w:spacing w:line="360" w:lineRule="auto"/>
        <w:ind w:firstLine="440" w:firstLineChars="200"/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航行实习服务主要包括体验船舶海上航行，在船组织学生观摩离泊、出港业务，参观学习甲板部、轮机部以及组织至少一次的离船上岸文化体验活动。</w:t>
      </w:r>
    </w:p>
    <w:p w14:paraId="445C400B">
      <w:pPr>
        <w:spacing w:line="360" w:lineRule="auto"/>
        <w:ind w:firstLine="440" w:firstLineChars="200"/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供应商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须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具备一次性承109名师生航行实习的组织、船舶、食宿、教学配套能力，不得拆分多艘船舶分批次完成本次统一实习任务</w:t>
      </w:r>
    </w:p>
    <w:p w14:paraId="79811CBE">
      <w:pPr>
        <w:widowControl/>
        <w:numPr>
          <w:ilvl w:val="0"/>
          <w:numId w:val="0"/>
        </w:numPr>
        <w:shd w:val="clear" w:color="auto" w:fill="FFFFFF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方正兰亭黑简体" w:cs="Times New Roman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方正兰亭黑简体" w:cs="Times New Roman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三、</w:t>
      </w:r>
      <w:r>
        <w:rPr>
          <w:rFonts w:hint="eastAsia" w:ascii="Times New Roman" w:hAnsi="Times New Roman" w:eastAsia="方正兰亭黑简体" w:cs="Times New Roman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具体</w:t>
      </w:r>
      <w:r>
        <w:rPr>
          <w:rFonts w:hint="default" w:ascii="Times New Roman" w:hAnsi="Times New Roman" w:eastAsia="方正兰亭黑简体" w:cs="Times New Roman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要求</w:t>
      </w:r>
    </w:p>
    <w:tbl>
      <w:tblPr>
        <w:tblStyle w:val="1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667"/>
        <w:gridCol w:w="5697"/>
        <w:gridCol w:w="1630"/>
      </w:tblGrid>
      <w:tr w14:paraId="14F7E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5F94335F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color w:val="auto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837" w:type="pct"/>
            <w:vAlign w:val="center"/>
          </w:tcPr>
          <w:p w14:paraId="013A865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color w:val="auto"/>
                <w:sz w:val="20"/>
                <w:szCs w:val="20"/>
                <w:highlight w:val="none"/>
              </w:rPr>
              <w:t>指标名称</w:t>
            </w:r>
          </w:p>
        </w:tc>
        <w:tc>
          <w:tcPr>
            <w:tcW w:w="2860" w:type="pct"/>
            <w:vAlign w:val="center"/>
          </w:tcPr>
          <w:p w14:paraId="27D1C9C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color w:val="auto"/>
                <w:sz w:val="20"/>
                <w:szCs w:val="20"/>
                <w:highlight w:val="none"/>
              </w:rPr>
              <w:t>指标要求</w:t>
            </w:r>
          </w:p>
        </w:tc>
        <w:tc>
          <w:tcPr>
            <w:tcW w:w="818" w:type="pct"/>
            <w:vAlign w:val="center"/>
          </w:tcPr>
          <w:p w14:paraId="5233F8C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color w:val="auto"/>
                <w:sz w:val="20"/>
                <w:szCs w:val="20"/>
                <w:highlight w:val="none"/>
              </w:rPr>
              <w:t>是否需要</w:t>
            </w:r>
          </w:p>
          <w:p w14:paraId="4A7F54D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color w:val="auto"/>
                <w:sz w:val="20"/>
                <w:szCs w:val="20"/>
                <w:highlight w:val="none"/>
              </w:rPr>
              <w:t>证明材料</w:t>
            </w:r>
          </w:p>
        </w:tc>
      </w:tr>
      <w:tr w14:paraId="16FCC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13CF84AF">
            <w:pPr>
              <w:spacing w:before="120" w:after="120"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37" w:type="pct"/>
            <w:vAlign w:val="center"/>
          </w:tcPr>
          <w:p w14:paraId="2AD79AFD">
            <w:pPr>
              <w:spacing w:before="120" w:after="120"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航次要求</w:t>
            </w:r>
          </w:p>
        </w:tc>
        <w:tc>
          <w:tcPr>
            <w:tcW w:w="2860" w:type="pct"/>
            <w:vAlign w:val="center"/>
          </w:tcPr>
          <w:p w14:paraId="4677AFE1">
            <w:pPr>
              <w:spacing w:before="120" w:after="120"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实习航次标准为5天4晚海上跨境航线，全程包含船舶航行、在船实操教学、港口参访环节，时长不得缩短；单批次安排 109 名师生统一随船实习，上下船地点须在上海</w:t>
            </w:r>
          </w:p>
        </w:tc>
        <w:tc>
          <w:tcPr>
            <w:tcW w:w="818" w:type="pct"/>
            <w:vAlign w:val="center"/>
          </w:tcPr>
          <w:p w14:paraId="1417AEFA">
            <w:pPr>
              <w:spacing w:before="120" w:after="120"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是，供应商需提供航线行程单、航次时间表佐证</w:t>
            </w:r>
          </w:p>
        </w:tc>
      </w:tr>
      <w:tr w14:paraId="3872A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342058E1">
            <w:pPr>
              <w:spacing w:before="120" w:after="120"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837" w:type="pct"/>
            <w:vAlign w:val="center"/>
          </w:tcPr>
          <w:p w14:paraId="2521FFB9">
            <w:pPr>
              <w:spacing w:before="120" w:after="120"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船舶硬件观摩教学配套</w:t>
            </w:r>
          </w:p>
        </w:tc>
        <w:tc>
          <w:tcPr>
            <w:tcW w:w="2860" w:type="pct"/>
            <w:vAlign w:val="center"/>
          </w:tcPr>
          <w:p w14:paraId="2329D8FE">
            <w:pPr>
              <w:spacing w:before="120" w:after="120"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船舶完整开放驾驶台、甲板作业区、机舱动力区域供学生分组观摩；配备专职船员 / 航运讲师现场讲解船舶结构、舱室设备、营运管理流程，可容纳 109 人分批次有序参观。</w:t>
            </w:r>
          </w:p>
        </w:tc>
        <w:tc>
          <w:tcPr>
            <w:tcW w:w="818" w:type="pct"/>
            <w:vAlign w:val="center"/>
          </w:tcPr>
          <w:p w14:paraId="0FD234DF">
            <w:pPr>
              <w:spacing w:before="120" w:after="120"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否</w:t>
            </w:r>
          </w:p>
        </w:tc>
      </w:tr>
      <w:tr w14:paraId="0AF6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5F01CF95">
            <w:pPr>
              <w:spacing w:before="120" w:after="120"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837" w:type="pct"/>
            <w:vAlign w:val="center"/>
          </w:tcPr>
          <w:p w14:paraId="2AF36F16">
            <w:pPr>
              <w:spacing w:before="120" w:after="120"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实习课程内容配置</w:t>
            </w:r>
          </w:p>
        </w:tc>
        <w:tc>
          <w:tcPr>
            <w:tcW w:w="2860" w:type="pct"/>
            <w:vAlign w:val="center"/>
          </w:tcPr>
          <w:p w14:paraId="0B2B6FC7">
            <w:pPr>
              <w:spacing w:before="120" w:after="120" w:line="360" w:lineRule="auto"/>
              <w:rPr>
                <w:rFonts w:hint="eastAsia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①在船组织观摩离泊、出港、航行、靠泊全套港口航运业务实操；</w:t>
            </w:r>
          </w:p>
          <w:p w14:paraId="42134AEC">
            <w:pPr>
              <w:spacing w:before="120" w:after="120" w:line="360" w:lineRule="auto"/>
              <w:rPr>
                <w:rFonts w:hint="eastAsia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②完整讲解船舶分类、性能、设备、航运全链条业务知识；</w:t>
            </w:r>
          </w:p>
          <w:p w14:paraId="43C489A6">
            <w:pPr>
              <w:spacing w:before="120" w:after="120"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③配套至少1次离船上岸港口/城市文化、产业参访活动，适配 109 人集体出行组织。</w:t>
            </w:r>
          </w:p>
        </w:tc>
        <w:tc>
          <w:tcPr>
            <w:tcW w:w="818" w:type="pct"/>
            <w:vAlign w:val="center"/>
          </w:tcPr>
          <w:p w14:paraId="74F425E3">
            <w:pPr>
              <w:spacing w:before="120" w:after="120"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是，供应商提交完整活动组织预案</w:t>
            </w:r>
          </w:p>
        </w:tc>
      </w:tr>
      <w:tr w14:paraId="18657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1F8EBF87">
            <w:pPr>
              <w:spacing w:before="120" w:after="120"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837" w:type="pct"/>
            <w:vAlign w:val="center"/>
          </w:tcPr>
          <w:p w14:paraId="3E505646">
            <w:pPr>
              <w:spacing w:before="120" w:after="120"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学生接待承载能力</w:t>
            </w:r>
          </w:p>
        </w:tc>
        <w:tc>
          <w:tcPr>
            <w:tcW w:w="2860" w:type="pct"/>
            <w:vAlign w:val="center"/>
          </w:tcPr>
          <w:p w14:paraId="48242FB9">
            <w:pPr>
              <w:spacing w:before="120" w:after="120"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船舶住宿、餐饮、公共活动空间可同时承载 109 名师生，满足多人集体海上食宿、集中授课需求，提供食宿，保障食宿安全与基础居住舒适度。</w:t>
            </w:r>
          </w:p>
        </w:tc>
        <w:tc>
          <w:tcPr>
            <w:tcW w:w="818" w:type="pct"/>
            <w:vAlign w:val="center"/>
          </w:tcPr>
          <w:p w14:paraId="36D6E520">
            <w:pPr>
              <w:spacing w:before="120" w:after="120"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0"/>
                <w:szCs w:val="20"/>
                <w:highlight w:val="none"/>
              </w:rPr>
              <w:t>否</w:t>
            </w:r>
          </w:p>
        </w:tc>
      </w:tr>
    </w:tbl>
    <w:p w14:paraId="7D5FAA1E">
      <w:pPr>
        <w:spacing w:line="480" w:lineRule="auto"/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</w:p>
    <w:p w14:paraId="6ED13731">
      <w:pPr>
        <w:spacing w:line="480" w:lineRule="auto"/>
        <w:rPr>
          <w:rFonts w:hint="default" w:ascii="Times New Roman" w:hAnsi="Times New Roman" w:eastAsia="方正兰亭黑简体" w:cs="Times New Roman"/>
          <w:b/>
          <w:bCs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四、</w:t>
      </w:r>
      <w:r>
        <w:rPr>
          <w:rFonts w:hint="eastAsia" w:ascii="Times New Roman" w:hAnsi="Times New Roman" w:eastAsia="方正兰亭黑简体" w:cs="Times New Roman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其他要求</w:t>
      </w:r>
    </w:p>
    <w:p w14:paraId="57F673ED">
      <w:pPr>
        <w:spacing w:line="480" w:lineRule="auto"/>
        <w:ind w:left="0" w:leftChars="0" w:firstLine="0" w:firstLineChars="0"/>
        <w:rPr>
          <w:rFonts w:hint="default" w:ascii="Times New Roman" w:hAnsi="Times New Roman" w:eastAsia="方正兰亭黑简体" w:cs="Times New Roman"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方正兰亭黑简体" w:cs="Times New Roman"/>
          <w:color w:val="auto"/>
          <w:sz w:val="22"/>
          <w:szCs w:val="22"/>
          <w:highlight w:val="none"/>
          <w:lang w:val="en-US" w:eastAsia="zh-CN"/>
        </w:rPr>
        <w:t>1.履约验收：验收依据：航次时长达标、全部教学活动完整开展、109 名学生全程完成实习、无安全事故、行程与方案一致</w:t>
      </w:r>
      <w:r>
        <w:rPr>
          <w:rFonts w:hint="eastAsia" w:ascii="Times New Roman" w:hAnsi="Times New Roman" w:eastAsia="方正兰亭黑简体" w:cs="Times New Roman"/>
          <w:color w:val="auto"/>
          <w:sz w:val="22"/>
          <w:szCs w:val="22"/>
          <w:highlight w:val="none"/>
          <w:lang w:val="en-US" w:eastAsia="zh-CN"/>
        </w:rPr>
        <w:t>。</w:t>
      </w:r>
    </w:p>
    <w:p w14:paraId="4967BD9C">
      <w:pPr>
        <w:spacing w:line="480" w:lineRule="auto"/>
        <w:ind w:left="0" w:leftChars="0" w:firstLine="0" w:firstLineChars="0"/>
        <w:rPr>
          <w:rFonts w:hint="default" w:ascii="Times New Roman" w:hAnsi="Times New Roman" w:eastAsia="方正兰亭黑简体" w:cs="Times New Roman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color w:val="auto"/>
          <w:sz w:val="22"/>
          <w:szCs w:val="22"/>
          <w:highlight w:val="none"/>
          <w:lang w:val="en-US" w:eastAsia="zh-CN"/>
        </w:rPr>
        <w:t>2.履约保障：</w:t>
      </w:r>
      <w:r>
        <w:rPr>
          <w:rFonts w:hint="default" w:ascii="Times New Roman" w:hAnsi="Times New Roman" w:eastAsia="方正兰亭黑简体" w:cs="Times New Roman"/>
          <w:color w:val="auto"/>
          <w:sz w:val="22"/>
          <w:szCs w:val="22"/>
          <w:highlight w:val="none"/>
          <w:lang w:val="en-US" w:eastAsia="zh-CN"/>
        </w:rPr>
        <w:t>供应商需承诺航次无临时取消、航线无大幅缩减，若因供应商原因无法按期承接 109 人实习，承担合同总价 10% 违约金第一阶段验收：合同签订后2个月内</w:t>
      </w:r>
      <w:r>
        <w:rPr>
          <w:rFonts w:hint="eastAsia" w:ascii="Times New Roman" w:hAnsi="Times New Roman" w:eastAsia="方正兰亭黑简体" w:cs="Times New Roman"/>
          <w:color w:val="auto"/>
          <w:sz w:val="22"/>
          <w:szCs w:val="22"/>
          <w:highlight w:val="none"/>
          <w:lang w:val="en-US" w:eastAsia="zh-CN"/>
        </w:rPr>
        <w:t>；</w:t>
      </w:r>
    </w:p>
    <w:p w14:paraId="2848B93A">
      <w:pPr>
        <w:spacing w:line="480" w:lineRule="auto"/>
        <w:ind w:left="0" w:leftChars="0" w:firstLine="0" w:firstLineChars="0"/>
        <w:rPr>
          <w:rFonts w:hint="default" w:ascii="Times New Roman" w:hAnsi="Times New Roman" w:eastAsia="方正兰亭黑简体" w:cs="Times New Roman"/>
          <w:color w:val="auto"/>
          <w:sz w:val="22"/>
          <w:szCs w:val="22"/>
          <w:highlight w:val="none"/>
          <w:lang w:val="en-US" w:eastAsia="zh-CN"/>
        </w:rPr>
      </w:pPr>
    </w:p>
    <w:p w14:paraId="6966AFDC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br w:type="page"/>
      </w:r>
    </w:p>
    <w:p w14:paraId="242B56B3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t>第三章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 xml:space="preserve"> 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t>评审办法</w:t>
      </w:r>
    </w:p>
    <w:p w14:paraId="2DA9D43D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综合本项目的特点，根据相关法律法规的规定，本着保护竞争，维护采购工作公开、公平、公正原则，特制定本评审办法，作为选定本次采购中标人的依据。</w:t>
      </w:r>
    </w:p>
    <w:p w14:paraId="673FFF60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1、成立比选评审小组</w:t>
      </w:r>
    </w:p>
    <w:p w14:paraId="1D34F033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采购人将根据货物与服务的特点，依规组建比选小组，比选小组由3人或以上的单数组成。</w:t>
      </w:r>
    </w:p>
    <w:p w14:paraId="12EFA4B4">
      <w:pPr>
        <w:numPr>
          <w:ilvl w:val="0"/>
          <w:numId w:val="1"/>
        </w:num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具体评分细则如下：</w:t>
      </w:r>
    </w:p>
    <w:tbl>
      <w:tblPr>
        <w:tblStyle w:val="14"/>
        <w:tblW w:w="498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330"/>
        <w:gridCol w:w="723"/>
        <w:gridCol w:w="7229"/>
      </w:tblGrid>
      <w:tr w14:paraId="4FA9B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30" w:type="pct"/>
            <w:vAlign w:val="center"/>
          </w:tcPr>
          <w:p w14:paraId="0E8E4E82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669" w:type="pct"/>
            <w:vAlign w:val="center"/>
          </w:tcPr>
          <w:p w14:paraId="04667EC9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评审因素</w:t>
            </w:r>
          </w:p>
        </w:tc>
        <w:tc>
          <w:tcPr>
            <w:tcW w:w="364" w:type="pct"/>
            <w:vAlign w:val="center"/>
          </w:tcPr>
          <w:p w14:paraId="6B1AA947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3635" w:type="pct"/>
            <w:vAlign w:val="center"/>
          </w:tcPr>
          <w:p w14:paraId="78DCF4D6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评分说明</w:t>
            </w:r>
          </w:p>
        </w:tc>
      </w:tr>
      <w:tr w14:paraId="25120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000" w:type="pct"/>
            <w:gridSpan w:val="4"/>
            <w:vAlign w:val="center"/>
          </w:tcPr>
          <w:p w14:paraId="3C4E5B51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一、价格部分</w:t>
            </w:r>
          </w:p>
        </w:tc>
      </w:tr>
      <w:tr w14:paraId="14B22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" w:type="pct"/>
            <w:vAlign w:val="center"/>
          </w:tcPr>
          <w:p w14:paraId="40A3FBEB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669" w:type="pct"/>
            <w:vAlign w:val="center"/>
          </w:tcPr>
          <w:p w14:paraId="6E043E2F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价格得分</w:t>
            </w:r>
          </w:p>
          <w:p w14:paraId="33D28CC8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（客观分）</w:t>
            </w:r>
          </w:p>
        </w:tc>
        <w:tc>
          <w:tcPr>
            <w:tcW w:w="364" w:type="pct"/>
            <w:vAlign w:val="center"/>
          </w:tcPr>
          <w:p w14:paraId="2F6FAA4D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3635" w:type="pct"/>
            <w:vAlign w:val="center"/>
          </w:tcPr>
          <w:p w14:paraId="69E5170C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采用低价优先法计算，即满足比选文件要求且最低的报价为基准价，其价格分为满分20分。其他报价单位的报价得分计算公式如下：报价得分＝20×（评标基准价/投标报价）。</w:t>
            </w:r>
          </w:p>
        </w:tc>
      </w:tr>
      <w:tr w14:paraId="4DE7C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5000" w:type="pct"/>
            <w:gridSpan w:val="4"/>
            <w:vAlign w:val="center"/>
          </w:tcPr>
          <w:p w14:paraId="11AA50BB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二、商务、技术部分</w:t>
            </w:r>
          </w:p>
        </w:tc>
      </w:tr>
      <w:tr w14:paraId="2540F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30" w:type="pct"/>
            <w:vAlign w:val="center"/>
          </w:tcPr>
          <w:p w14:paraId="4ED921D1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669" w:type="pct"/>
            <w:vAlign w:val="center"/>
          </w:tcPr>
          <w:p w14:paraId="7AF339FF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经验业绩</w:t>
            </w:r>
          </w:p>
          <w:p w14:paraId="6004DB21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（客观分）</w:t>
            </w:r>
          </w:p>
        </w:tc>
        <w:tc>
          <w:tcPr>
            <w:tcW w:w="364" w:type="pct"/>
            <w:vAlign w:val="center"/>
          </w:tcPr>
          <w:p w14:paraId="3557659E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15</w:t>
            </w:r>
          </w:p>
        </w:tc>
        <w:tc>
          <w:tcPr>
            <w:tcW w:w="3635" w:type="pct"/>
            <w:vAlign w:val="center"/>
          </w:tcPr>
          <w:p w14:paraId="74E23610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提供近3年（合同签订日期自2023年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月1日起至今）业绩案例。（每提供1个得5分；最高得15分）注：需提供相关业绩的合同复印件，否则将不予认可。</w:t>
            </w:r>
          </w:p>
        </w:tc>
      </w:tr>
      <w:tr w14:paraId="6AF94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30" w:type="pct"/>
            <w:vAlign w:val="center"/>
          </w:tcPr>
          <w:p w14:paraId="4780BF04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669" w:type="pct"/>
            <w:vAlign w:val="center"/>
          </w:tcPr>
          <w:p w14:paraId="312CC6C9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服务响应程度</w:t>
            </w:r>
          </w:p>
          <w:p w14:paraId="1DD2C7B1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（客观分）</w:t>
            </w:r>
          </w:p>
        </w:tc>
        <w:tc>
          <w:tcPr>
            <w:tcW w:w="364" w:type="pct"/>
            <w:vAlign w:val="center"/>
          </w:tcPr>
          <w:p w14:paraId="3A438D65">
            <w:pPr>
              <w:spacing w:line="240" w:lineRule="auto"/>
              <w:jc w:val="center"/>
              <w:rPr>
                <w:rFonts w:hint="default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25</w:t>
            </w:r>
          </w:p>
        </w:tc>
        <w:tc>
          <w:tcPr>
            <w:tcW w:w="3635" w:type="pct"/>
            <w:vAlign w:val="center"/>
          </w:tcPr>
          <w:p w14:paraId="4C942918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针对第二章中的采购需求：不满足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技术要求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的，每项扣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分；扣完为止。</w:t>
            </w:r>
          </w:p>
        </w:tc>
      </w:tr>
      <w:tr w14:paraId="4D0B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atLeast"/>
          <w:jc w:val="center"/>
        </w:trPr>
        <w:tc>
          <w:tcPr>
            <w:tcW w:w="330" w:type="pct"/>
            <w:vAlign w:val="center"/>
          </w:tcPr>
          <w:p w14:paraId="788752CD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6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085AB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zh-CN"/>
              </w:rPr>
              <w:t>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整体质量</w:t>
            </w:r>
          </w:p>
          <w:p w14:paraId="2F94F36C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（主观分）</w:t>
            </w:r>
          </w:p>
        </w:tc>
        <w:tc>
          <w:tcPr>
            <w:tcW w:w="364" w:type="pct"/>
            <w:vAlign w:val="center"/>
          </w:tcPr>
          <w:p w14:paraId="004B4B48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3635" w:type="pct"/>
            <w:vAlign w:val="center"/>
          </w:tcPr>
          <w:p w14:paraId="6393C2D9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优秀（16～20分）：方案整体质量高，方案合理可行性强，响应措施及时高效，项目进度安排紧凑合理。</w:t>
            </w:r>
          </w:p>
          <w:p w14:paraId="36A6F9CB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良好（11～15分）：方案整体质量较好，响应措施尚可，方案个别细节有待进一步完善。</w:t>
            </w:r>
          </w:p>
          <w:p w14:paraId="3EC9A561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一般（6～10分）：方案整体质量一般，合理性与可行性一般，存在风险但总体可控的。</w:t>
            </w:r>
          </w:p>
          <w:p w14:paraId="58DA62C3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较差（0～5分）：方案整体质量较差，与项目实际契合度低的。</w:t>
            </w:r>
          </w:p>
        </w:tc>
      </w:tr>
      <w:tr w14:paraId="3BB31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330" w:type="pct"/>
            <w:vAlign w:val="center"/>
          </w:tcPr>
          <w:p w14:paraId="56286725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669" w:type="pct"/>
            <w:vAlign w:val="center"/>
          </w:tcPr>
          <w:p w14:paraId="6709E7BB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服务承诺</w:t>
            </w:r>
          </w:p>
          <w:p w14:paraId="020BE35A">
            <w:pPr>
              <w:pStyle w:val="13"/>
              <w:spacing w:line="240" w:lineRule="auto"/>
              <w:ind w:firstLine="200"/>
              <w:rPr>
                <w:color w:val="auto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（主观分）</w:t>
            </w:r>
          </w:p>
        </w:tc>
        <w:tc>
          <w:tcPr>
            <w:tcW w:w="364" w:type="pct"/>
            <w:vAlign w:val="center"/>
          </w:tcPr>
          <w:p w14:paraId="1D1DB52F">
            <w:pPr>
              <w:spacing w:line="24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3635" w:type="pct"/>
          </w:tcPr>
          <w:p w14:paraId="17BC9C7A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优秀（16～20分）：服务承诺等合理可行。</w:t>
            </w:r>
          </w:p>
          <w:p w14:paraId="39CBBAFA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良好（11～15分）：服务承诺等比较合理。</w:t>
            </w:r>
          </w:p>
          <w:p w14:paraId="57D0EDAC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一般（6～10分）：服务承诺等合理性与可行性一般。</w:t>
            </w:r>
          </w:p>
          <w:p w14:paraId="053ACC0F">
            <w:pPr>
              <w:spacing w:line="24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较差（0～5分）：服务承诺等合理性与可行性较差。</w:t>
            </w:r>
          </w:p>
        </w:tc>
      </w:tr>
    </w:tbl>
    <w:p w14:paraId="6072BEB5">
      <w:pP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br w:type="page"/>
      </w:r>
    </w:p>
    <w:p w14:paraId="2D0B04EA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sectPr>
          <w:footerReference r:id="rId3" w:type="default"/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1AC852B6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t>第四章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 xml:space="preserve"> 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</w:rPr>
        <w:t>格式附件</w:t>
      </w:r>
    </w:p>
    <w:p w14:paraId="1219D175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附件1：报价单</w:t>
      </w:r>
    </w:p>
    <w:p w14:paraId="038537F8">
      <w:pPr>
        <w:spacing w:line="440" w:lineRule="exact"/>
        <w:jc w:val="center"/>
        <w:rPr>
          <w:rFonts w:hint="eastAsia" w:ascii="宋体" w:hAnsi="宋体" w:eastAsia="宋体"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>报价单</w:t>
      </w:r>
    </w:p>
    <w:p w14:paraId="28C0DCFE">
      <w:pPr>
        <w:spacing w:line="440" w:lineRule="exact"/>
        <w:jc w:val="left"/>
        <w:rPr>
          <w:rFonts w:hint="eastAsia" w:ascii="黑体" w:hAnsi="华文楷体" w:eastAsia="黑体"/>
          <w:color w:val="auto"/>
          <w:sz w:val="24"/>
          <w:highlight w:val="none"/>
          <w:lang w:eastAsia="zh-CN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TO</w:t>
      </w:r>
      <w:r>
        <w:rPr>
          <w:rFonts w:hint="eastAsia" w:ascii="黑体" w:hAnsi="华文楷体" w:eastAsia="黑体"/>
          <w:b/>
          <w:color w:val="auto"/>
          <w:sz w:val="24"/>
          <w:highlight w:val="none"/>
          <w:lang w:eastAsia="zh-CN"/>
        </w:rPr>
        <w:t>：</w:t>
      </w:r>
      <w:r>
        <w:rPr>
          <w:rFonts w:hint="eastAsia" w:ascii="黑体" w:hAnsi="华文楷体" w:eastAsia="黑体"/>
          <w:color w:val="auto"/>
          <w:sz w:val="24"/>
          <w:highlight w:val="none"/>
        </w:rPr>
        <w:t>上海海事大学采购与招投标管理中心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 xml:space="preserve">                         </w:t>
      </w:r>
      <w:r>
        <w:rPr>
          <w:rFonts w:hint="eastAsia" w:ascii="黑体" w:hAnsi="华文楷体" w:eastAsia="黑体"/>
          <w:color w:val="auto"/>
          <w:sz w:val="24"/>
          <w:highlight w:val="none"/>
        </w:rPr>
        <w:t>项目编号：</w:t>
      </w:r>
      <w:r>
        <w:rPr>
          <w:rFonts w:hint="eastAsia" w:ascii="黑体" w:hAnsi="华文楷体" w:eastAsia="黑体"/>
          <w:color w:val="auto"/>
          <w:sz w:val="24"/>
          <w:highlight w:val="none"/>
          <w:lang w:eastAsia="zh-CN"/>
        </w:rPr>
        <w:t>HFBX2026074</w:t>
      </w:r>
    </w:p>
    <w:p w14:paraId="09EAC316">
      <w:pPr>
        <w:spacing w:line="440" w:lineRule="exact"/>
        <w:rPr>
          <w:rFonts w:hint="eastAsia" w:ascii="方正仿宋_GB2312" w:hAnsi="方正仿宋_GB2312" w:eastAsia="方正仿宋_GB2312" w:cs="方正仿宋_GB2312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</w:t>
      </w: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 HYPERLINK "mailto:quotation@shmtu.edu.cn" </w:instrText>
      </w:r>
      <w:r>
        <w:rPr>
          <w:color w:val="auto"/>
          <w:highlight w:val="none"/>
        </w:rPr>
        <w:fldChar w:fldCharType="separate"/>
      </w:r>
      <w:r>
        <w:rPr>
          <w:rStyle w:val="18"/>
          <w:rFonts w:ascii="黑体" w:hAnsi="华文楷体" w:eastAsia="黑体"/>
          <w:b/>
          <w:color w:val="auto"/>
          <w:sz w:val="24"/>
          <w:highlight w:val="none"/>
        </w:rPr>
        <w:t>quotation@shmtu.edu.cn</w:t>
      </w:r>
      <w:r>
        <w:rPr>
          <w:rStyle w:val="18"/>
          <w:rFonts w:ascii="黑体" w:hAnsi="华文楷体" w:eastAsia="黑体"/>
          <w:b/>
          <w:color w:val="auto"/>
          <w:sz w:val="24"/>
          <w:highlight w:val="none"/>
        </w:rPr>
        <w:fldChar w:fldCharType="end"/>
      </w:r>
    </w:p>
    <w:p w14:paraId="0E4AC90F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公司名称：</w:t>
      </w:r>
      <w:r>
        <w:rPr>
          <w:rFonts w:hint="eastAsia" w:ascii="黑体" w:hAnsi="华文楷体" w:eastAsia="黑体"/>
          <w:b/>
          <w:color w:val="auto"/>
          <w:sz w:val="24"/>
          <w:highlight w:val="none"/>
          <w:lang w:val="en-US" w:eastAsia="zh-CN"/>
        </w:rPr>
        <w:t xml:space="preserve">                                   </w:t>
      </w:r>
      <w:r>
        <w:rPr>
          <w:rFonts w:hint="eastAsia" w:ascii="黑体" w:hAnsi="华文楷体" w:eastAsia="黑体"/>
          <w:b/>
          <w:color w:val="auto"/>
          <w:sz w:val="24"/>
          <w:highlight w:val="none"/>
        </w:rPr>
        <w:t>联系人：</w:t>
      </w:r>
    </w:p>
    <w:p w14:paraId="6610026A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</w:t>
      </w:r>
      <w:r>
        <w:rPr>
          <w:rFonts w:hint="eastAsia" w:ascii="黑体" w:hAnsi="华文楷体" w:eastAsia="黑体"/>
          <w:b/>
          <w:color w:val="auto"/>
          <w:sz w:val="24"/>
          <w:highlight w:val="none"/>
          <w:lang w:val="en-US" w:eastAsia="zh-CN"/>
        </w:rPr>
        <w:t xml:space="preserve">                                   </w:t>
      </w:r>
      <w:r>
        <w:rPr>
          <w:rFonts w:hint="eastAsia" w:ascii="黑体" w:hAnsi="华文楷体" w:eastAsia="黑体"/>
          <w:b/>
          <w:color w:val="auto"/>
          <w:sz w:val="24"/>
          <w:highlight w:val="none"/>
        </w:rPr>
        <w:t>公司地址：</w:t>
      </w:r>
    </w:p>
    <w:p w14:paraId="0F397EAB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电话：</w:t>
      </w:r>
      <w:r>
        <w:rPr>
          <w:rFonts w:hint="eastAsia" w:ascii="黑体" w:hAnsi="华文楷体" w:eastAsia="黑体"/>
          <w:b/>
          <w:color w:val="auto"/>
          <w:sz w:val="24"/>
          <w:highlight w:val="none"/>
          <w:lang w:val="en-US" w:eastAsia="zh-CN"/>
        </w:rPr>
        <w:t xml:space="preserve">                                       </w:t>
      </w:r>
      <w:r>
        <w:rPr>
          <w:rFonts w:hint="eastAsia" w:ascii="黑体" w:hAnsi="华文楷体" w:eastAsia="黑体"/>
          <w:b/>
          <w:color w:val="auto"/>
          <w:sz w:val="24"/>
          <w:highlight w:val="none"/>
        </w:rPr>
        <w:t>联系人手机：</w:t>
      </w:r>
    </w:p>
    <w:p w14:paraId="184D96DB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tbl>
      <w:tblPr>
        <w:tblStyle w:val="14"/>
        <w:tblW w:w="4987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610"/>
        <w:gridCol w:w="3872"/>
        <w:gridCol w:w="2953"/>
        <w:gridCol w:w="2336"/>
      </w:tblGrid>
      <w:tr w14:paraId="164CE4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exact"/>
        </w:trPr>
        <w:tc>
          <w:tcPr>
            <w:tcW w:w="312" w:type="pct"/>
            <w:tcBorders>
              <w:top w:val="single" w:color="auto" w:sz="12" w:space="0"/>
              <w:left w:val="single" w:color="auto" w:sz="12" w:space="0"/>
              <w:bottom w:val="double" w:color="auto" w:sz="4" w:space="0"/>
            </w:tcBorders>
            <w:vAlign w:val="center"/>
          </w:tcPr>
          <w:p w14:paraId="2BBD17A6">
            <w:pPr>
              <w:tabs>
                <w:tab w:val="left" w:pos="7020"/>
              </w:tabs>
              <w:jc w:val="center"/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1980" w:type="pct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1041179F">
            <w:pPr>
              <w:tabs>
                <w:tab w:val="left" w:pos="7020"/>
              </w:tabs>
              <w:jc w:val="center"/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1511" w:type="pct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97F2EE7">
            <w:pPr>
              <w:tabs>
                <w:tab w:val="left" w:pos="7020"/>
              </w:tabs>
              <w:jc w:val="center"/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</w:rPr>
              <w:t>项目</w:t>
            </w:r>
            <w:r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  <w:lang w:val="en-US" w:eastAsia="zh-CN"/>
              </w:rPr>
              <w:t>总价</w:t>
            </w:r>
            <w:r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</w:rPr>
              <w:t>（元）</w:t>
            </w:r>
          </w:p>
        </w:tc>
        <w:tc>
          <w:tcPr>
            <w:tcW w:w="1195" w:type="pct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5C391E51">
            <w:pPr>
              <w:tabs>
                <w:tab w:val="left" w:pos="7020"/>
              </w:tabs>
              <w:jc w:val="center"/>
              <w:rPr>
                <w:rFonts w:hint="default" w:ascii="黑体" w:hAnsi="黑体" w:eastAsia="黑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  <w:lang w:val="en-US" w:eastAsia="zh-CN"/>
              </w:rPr>
              <w:t>备注</w:t>
            </w:r>
          </w:p>
        </w:tc>
      </w:tr>
      <w:tr w14:paraId="09A6E8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5" w:hRule="exact"/>
        </w:trPr>
        <w:tc>
          <w:tcPr>
            <w:tcW w:w="312" w:type="pct"/>
            <w:tcBorders>
              <w:top w:val="double" w:color="auto" w:sz="4" w:space="0"/>
              <w:left w:val="single" w:color="auto" w:sz="12" w:space="0"/>
              <w:bottom w:val="double" w:color="auto" w:sz="4" w:space="0"/>
            </w:tcBorders>
            <w:vAlign w:val="center"/>
          </w:tcPr>
          <w:p w14:paraId="1ED43816">
            <w:pPr>
              <w:tabs>
                <w:tab w:val="left" w:pos="7020"/>
              </w:tabs>
              <w:jc w:val="center"/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1980" w:type="pct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4E78542C">
            <w:pPr>
              <w:tabs>
                <w:tab w:val="left" w:pos="7020"/>
              </w:tabs>
              <w:jc w:val="center"/>
              <w:rPr>
                <w:rFonts w:hint="eastAsia" w:ascii="黑体" w:hAnsi="黑体" w:eastAsia="黑体" w:cs="Times New Roman"/>
                <w:b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  <w:lang w:eastAsia="zh-CN"/>
              </w:rPr>
              <w:t>交通运输学院物流管理专业航行实习项目</w:t>
            </w:r>
          </w:p>
        </w:tc>
        <w:tc>
          <w:tcPr>
            <w:tcW w:w="1511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58FFF829">
            <w:pPr>
              <w:tabs>
                <w:tab w:val="left" w:pos="7020"/>
              </w:tabs>
              <w:jc w:val="center"/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195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3E1EF44A">
            <w:pPr>
              <w:tabs>
                <w:tab w:val="left" w:pos="7020"/>
              </w:tabs>
              <w:jc w:val="center"/>
              <w:rPr>
                <w:rFonts w:hint="default" w:eastAsiaTheme="minorEastAsia"/>
                <w:color w:val="auto"/>
                <w:highlight w:val="none"/>
                <w:lang w:val="en-US" w:eastAsia="zh-CN"/>
              </w:rPr>
            </w:pPr>
          </w:p>
        </w:tc>
      </w:tr>
      <w:tr w14:paraId="77FEC6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exact"/>
        </w:trPr>
        <w:tc>
          <w:tcPr>
            <w:tcW w:w="2293" w:type="pct"/>
            <w:gridSpan w:val="2"/>
            <w:tcBorders>
              <w:top w:val="doub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322DB60">
            <w:pPr>
              <w:tabs>
                <w:tab w:val="left" w:pos="7020"/>
              </w:tabs>
              <w:jc w:val="center"/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</w:rPr>
              <w:t>合计金额（人民币）</w:t>
            </w:r>
          </w:p>
        </w:tc>
        <w:tc>
          <w:tcPr>
            <w:tcW w:w="2706" w:type="pct"/>
            <w:gridSpan w:val="2"/>
            <w:tcBorders>
              <w:top w:val="doub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6D8FA">
            <w:pPr>
              <w:tabs>
                <w:tab w:val="left" w:pos="7020"/>
              </w:tabs>
              <w:jc w:val="center"/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/>
                <w:b/>
                <w:color w:val="auto"/>
                <w:sz w:val="24"/>
                <w:highlight w:val="none"/>
              </w:rPr>
              <w:t>￥（大写）：</w:t>
            </w:r>
          </w:p>
        </w:tc>
      </w:tr>
    </w:tbl>
    <w:p w14:paraId="0408D135">
      <w:pPr>
        <w:spacing w:line="440" w:lineRule="exact"/>
        <w:rPr>
          <w:rFonts w:hint="eastAsia" w:ascii="黑体" w:hAnsi="华文楷体" w:eastAsia="黑体"/>
          <w:color w:val="auto"/>
          <w:sz w:val="24"/>
          <w:highlight w:val="none"/>
        </w:rPr>
      </w:pPr>
    </w:p>
    <w:p w14:paraId="614EA236">
      <w:pPr>
        <w:spacing w:line="440" w:lineRule="exact"/>
        <w:rPr>
          <w:rFonts w:hint="eastAsia" w:ascii="黑体" w:hAnsi="华文楷体" w:eastAsia="黑体"/>
          <w:color w:val="auto"/>
          <w:sz w:val="24"/>
          <w:highlight w:val="none"/>
        </w:rPr>
      </w:pPr>
      <w:r>
        <w:rPr>
          <w:rFonts w:hint="eastAsia" w:ascii="黑体" w:hAnsi="华文楷体" w:eastAsia="黑体"/>
          <w:color w:val="auto"/>
          <w:sz w:val="24"/>
          <w:highlight w:val="none"/>
        </w:rPr>
        <w:t>公司名称（盖章）：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 xml:space="preserve">          </w:t>
      </w:r>
      <w:r>
        <w:rPr>
          <w:rFonts w:hint="eastAsia" w:ascii="黑体" w:hAnsi="华文楷体" w:eastAsia="黑体"/>
          <w:color w:val="auto"/>
          <w:sz w:val="24"/>
          <w:highlight w:val="none"/>
        </w:rPr>
        <w:t>委托代理人（签字）：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 xml:space="preserve">        </w:t>
      </w:r>
      <w:r>
        <w:rPr>
          <w:rFonts w:hint="eastAsia" w:ascii="黑体" w:hAnsi="华文楷体" w:eastAsia="黑体"/>
          <w:color w:val="auto"/>
          <w:sz w:val="24"/>
          <w:highlight w:val="none"/>
        </w:rPr>
        <w:t>报价日期：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 xml:space="preserve">    </w:t>
      </w:r>
      <w:r>
        <w:rPr>
          <w:rFonts w:hint="eastAsia" w:ascii="黑体" w:hAnsi="华文楷体" w:eastAsia="黑体"/>
          <w:color w:val="auto"/>
          <w:sz w:val="24"/>
          <w:highlight w:val="none"/>
        </w:rPr>
        <w:t>年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 xml:space="preserve">   </w:t>
      </w:r>
      <w:r>
        <w:rPr>
          <w:rFonts w:hint="eastAsia" w:ascii="黑体" w:hAnsi="华文楷体" w:eastAsia="黑体"/>
          <w:color w:val="auto"/>
          <w:sz w:val="24"/>
          <w:highlight w:val="none"/>
        </w:rPr>
        <w:t>月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 xml:space="preserve">   </w:t>
      </w:r>
      <w:r>
        <w:rPr>
          <w:rFonts w:hint="eastAsia" w:ascii="黑体" w:hAnsi="华文楷体" w:eastAsia="黑体"/>
          <w:color w:val="auto"/>
          <w:sz w:val="24"/>
          <w:highlight w:val="none"/>
        </w:rPr>
        <w:t>日</w:t>
      </w:r>
    </w:p>
    <w:p w14:paraId="20B1E828">
      <w:pPr>
        <w:spacing w:line="440" w:lineRule="exact"/>
        <w:rPr>
          <w:rFonts w:hint="eastAsia" w:ascii="黑体" w:hAnsi="华文楷体" w:eastAsia="黑体"/>
          <w:color w:val="auto"/>
          <w:sz w:val="24"/>
          <w:highlight w:val="none"/>
        </w:rPr>
      </w:pPr>
    </w:p>
    <w:p w14:paraId="642407A4">
      <w:pPr>
        <w:rPr>
          <w:rFonts w:hint="eastAsia"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>报价说明：1、报价公司提供的上述产品，应完全满足或者优于我校提出的需求。</w:t>
      </w:r>
    </w:p>
    <w:p w14:paraId="554618DC">
      <w:pPr>
        <w:rPr>
          <w:rFonts w:hint="eastAsia"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>2、如属非标配产品，其技术指标（特别是优于我校需求的部分）请另行附页说明。</w:t>
      </w:r>
    </w:p>
    <w:p w14:paraId="7D349A8B">
      <w:pPr>
        <w:rPr>
          <w:rFonts w:hint="eastAsia"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>3、特殊的售后服务措施、代理证明情况等需要说明的，请另行附页说明。</w:t>
      </w:r>
    </w:p>
    <w:p w14:paraId="6619B28A">
      <w:pPr>
        <w:rPr>
          <w:rFonts w:hint="eastAsia"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>4、报价单附页（如有）共页。</w:t>
      </w:r>
    </w:p>
    <w:p w14:paraId="02E355A4">
      <w:pP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</w:rPr>
        <w:br w:type="page"/>
      </w:r>
    </w:p>
    <w:p w14:paraId="66593191">
      <w:pPr>
        <w:spacing w:after="157" w:afterLines="50"/>
        <w:jc w:val="center"/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</w:rPr>
        <w:t>报价承诺函</w:t>
      </w:r>
    </w:p>
    <w:p w14:paraId="06CF8257">
      <w:pPr>
        <w:spacing w:after="157" w:afterLines="50"/>
        <w:rPr>
          <w:rFonts w:hint="eastAsia" w:ascii="仿宋" w:hAnsi="仿宋" w:eastAsia="仿宋" w:cs="宋体"/>
          <w:color w:val="auto"/>
          <w:sz w:val="24"/>
          <w:highlight w:val="none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致：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上海海事大学</w:t>
      </w:r>
    </w:p>
    <w:p w14:paraId="61C7F4FB">
      <w:pPr>
        <w:spacing w:after="157" w:afterLines="50"/>
        <w:ind w:firstLine="480" w:firstLineChars="200"/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我</w:t>
      </w:r>
      <w:r>
        <w:rPr>
          <w:rFonts w:ascii="仿宋" w:hAnsi="仿宋" w:eastAsia="仿宋" w:cs="宋体"/>
          <w:color w:val="auto"/>
          <w:sz w:val="24"/>
          <w:highlight w:val="none"/>
          <w:lang w:val="zh-CN"/>
        </w:rPr>
        <w:t>公司在参加本次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比选采购</w:t>
      </w:r>
      <w:r>
        <w:rPr>
          <w:rFonts w:ascii="仿宋" w:hAnsi="仿宋" w:eastAsia="仿宋" w:cs="宋体"/>
          <w:color w:val="auto"/>
          <w:sz w:val="24"/>
          <w:highlight w:val="none"/>
          <w:lang w:val="zh-CN"/>
        </w:rPr>
        <w:t>活动中，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做出如下</w:t>
      </w:r>
      <w:r>
        <w:rPr>
          <w:rFonts w:ascii="仿宋" w:hAnsi="仿宋" w:eastAsia="仿宋" w:cs="宋体"/>
          <w:color w:val="auto"/>
          <w:sz w:val="24"/>
          <w:highlight w:val="none"/>
          <w:lang w:val="zh-CN"/>
        </w:rPr>
        <w:t>承诺：</w:t>
      </w:r>
    </w:p>
    <w:p w14:paraId="4F0E35EC">
      <w:pPr>
        <w:spacing w:after="157" w:afterLines="50"/>
        <w:ind w:firstLine="480" w:firstLineChars="200"/>
        <w:rPr>
          <w:rFonts w:hint="eastAsia" w:ascii="仿宋" w:hAnsi="仿宋" w:eastAsia="仿宋" w:cs="宋体"/>
          <w:color w:val="auto"/>
          <w:sz w:val="24"/>
          <w:highlight w:val="none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一、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我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具备独立法人资格，能够独立承担民事责任。</w:t>
      </w:r>
    </w:p>
    <w:p w14:paraId="6F37786C">
      <w:pPr>
        <w:spacing w:after="157" w:afterLines="50"/>
        <w:ind w:firstLine="480" w:firstLineChars="200"/>
        <w:rPr>
          <w:rFonts w:hint="eastAsia" w:ascii="仿宋" w:hAnsi="仿宋" w:eastAsia="仿宋" w:cs="宋体"/>
          <w:color w:val="auto"/>
          <w:sz w:val="24"/>
          <w:highlight w:val="none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</w:rPr>
        <w:t>二、我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财务状况良好，具备履行合同所需资金实力。</w:t>
      </w:r>
    </w:p>
    <w:p w14:paraId="3E13B155">
      <w:pPr>
        <w:spacing w:after="157" w:afterLines="50"/>
        <w:ind w:firstLine="480" w:firstLineChars="200"/>
        <w:rPr>
          <w:rFonts w:hint="eastAsia" w:ascii="仿宋" w:hAnsi="仿宋" w:eastAsia="仿宋" w:cs="宋体"/>
          <w:color w:val="auto"/>
          <w:sz w:val="24"/>
          <w:highlight w:val="none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</w:rPr>
        <w:t>三、我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拥有履行项目所需的专业技术人员和先进的生产设备。</w:t>
      </w:r>
    </w:p>
    <w:p w14:paraId="1486EB83">
      <w:pPr>
        <w:spacing w:after="157" w:afterLines="50"/>
        <w:ind w:firstLine="480" w:firstLineChars="200"/>
        <w:rPr>
          <w:rFonts w:hint="eastAsia" w:ascii="仿宋" w:hAnsi="仿宋" w:eastAsia="仿宋" w:cs="宋体"/>
          <w:color w:val="auto"/>
          <w:sz w:val="24"/>
          <w:highlight w:val="none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</w:rPr>
        <w:t>四、我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依法纳税，并按时缴纳社会保险费。</w:t>
      </w:r>
    </w:p>
    <w:p w14:paraId="1705CE12">
      <w:pPr>
        <w:spacing w:after="157" w:afterLines="50"/>
        <w:ind w:firstLine="480" w:firstLineChars="200"/>
        <w:rPr>
          <w:rFonts w:hint="eastAsia" w:ascii="仿宋" w:hAnsi="仿宋" w:eastAsia="仿宋" w:cs="宋体"/>
          <w:color w:val="auto"/>
          <w:sz w:val="24"/>
          <w:highlight w:val="none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</w:rPr>
        <w:t>五、我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在最近三年内无任何违法违规行为，信誉良好。</w:t>
      </w:r>
    </w:p>
    <w:p w14:paraId="54BF34F8">
      <w:pPr>
        <w:spacing w:after="157" w:afterLines="50"/>
        <w:ind w:firstLine="480" w:firstLineChars="200"/>
        <w:rPr>
          <w:rFonts w:hint="eastAsia" w:ascii="仿宋" w:hAnsi="仿宋" w:eastAsia="仿宋" w:cs="宋体"/>
          <w:color w:val="auto"/>
          <w:sz w:val="24"/>
          <w:highlight w:val="none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</w:rPr>
        <w:t>六、我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完全符合政府采购法及其他相关法律法规的规定。</w:t>
      </w:r>
    </w:p>
    <w:p w14:paraId="46600348">
      <w:pPr>
        <w:spacing w:after="157" w:afterLines="50"/>
        <w:ind w:firstLine="480" w:firstLineChars="200"/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</w:rPr>
        <w:t>七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、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我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公司提供的相关文件均真实、有效。</w:t>
      </w:r>
    </w:p>
    <w:p w14:paraId="6C6ABE4A">
      <w:pPr>
        <w:spacing w:after="157" w:afterLines="50"/>
        <w:ind w:firstLine="480" w:firstLineChars="200"/>
        <w:rPr>
          <w:rFonts w:hint="eastAsia" w:ascii="仿宋" w:hAnsi="仿宋" w:eastAsia="仿宋" w:cs="宋体"/>
          <w:color w:val="auto"/>
          <w:sz w:val="24"/>
          <w:highlight w:val="none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</w:rPr>
        <w:t>八、我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公司未挂靠、借用资质进行投标等违法违规行为。</w:t>
      </w:r>
    </w:p>
    <w:p w14:paraId="5613149E">
      <w:pPr>
        <w:spacing w:after="157" w:afterLines="50"/>
        <w:ind w:firstLine="480" w:firstLineChars="200"/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</w:rPr>
        <w:t>九、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我公司承诺在参加本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次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采购活动中，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不存在串标围标行为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，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不存在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损害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校方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或者其他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报价单位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利益的行为。</w:t>
      </w:r>
    </w:p>
    <w:p w14:paraId="350AD56E">
      <w:pPr>
        <w:spacing w:after="157" w:afterLines="50"/>
        <w:ind w:firstLine="480" w:firstLineChars="200"/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</w:rPr>
        <w:t>十、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我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公司管理层中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没有从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贵校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离职或退休3年以内的人员担任控股股东或实际控股人、董事、监事，也没有聘用从</w:t>
      </w:r>
      <w:r>
        <w:rPr>
          <w:rFonts w:hint="eastAsia" w:ascii="仿宋" w:hAnsi="仿宋" w:eastAsia="仿宋" w:cs="宋体"/>
          <w:color w:val="auto"/>
          <w:sz w:val="24"/>
          <w:highlight w:val="none"/>
        </w:rPr>
        <w:t>贵校</w:t>
      </w:r>
      <w:r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  <w:t>离职或退休3年以内的人员。</w:t>
      </w:r>
    </w:p>
    <w:p w14:paraId="7BAAA33E">
      <w:pPr>
        <w:spacing w:after="157" w:afterLines="50"/>
        <w:ind w:firstLine="480" w:firstLineChars="200"/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highlight w:val="none"/>
        </w:rPr>
        <w:t>我公司保证上述声明真实无误，如有不实，愿承担相应法律责任。</w:t>
      </w:r>
    </w:p>
    <w:p w14:paraId="5C4569E6">
      <w:pPr>
        <w:spacing w:after="157" w:afterLines="50"/>
        <w:rPr>
          <w:rFonts w:hint="eastAsia" w:ascii="仿宋" w:hAnsi="仿宋" w:eastAsia="仿宋" w:cs="宋体"/>
          <w:color w:val="auto"/>
          <w:sz w:val="24"/>
          <w:highlight w:val="none"/>
          <w:lang w:val="zh-CN"/>
        </w:rPr>
      </w:pPr>
    </w:p>
    <w:p w14:paraId="6DFC7771">
      <w:pPr>
        <w:spacing w:after="157" w:afterLines="50"/>
        <w:rPr>
          <w:rFonts w:hint="eastAsia" w:ascii="黑体" w:hAnsi="华文楷体" w:eastAsia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华文楷体" w:eastAsia="黑体"/>
          <w:color w:val="auto"/>
          <w:sz w:val="24"/>
          <w:highlight w:val="none"/>
        </w:rPr>
        <w:t>公司名称（盖章）：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 xml:space="preserve">                               </w:t>
      </w:r>
      <w:r>
        <w:rPr>
          <w:rFonts w:hint="eastAsia" w:ascii="黑体" w:hAnsi="华文楷体" w:eastAsia="黑体"/>
          <w:color w:val="auto"/>
          <w:sz w:val="24"/>
          <w:highlight w:val="none"/>
        </w:rPr>
        <w:t>委托代理人（签字）：</w:t>
      </w:r>
    </w:p>
    <w:p w14:paraId="097F108E">
      <w:pPr>
        <w:pStyle w:val="5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</w:p>
    <w:p w14:paraId="6AAADDA4">
      <w:pPr>
        <w:pStyle w:val="5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</w:p>
    <w:p w14:paraId="3805D66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sectPr>
          <w:pgSz w:w="11906" w:h="16838"/>
          <w:pgMar w:top="1440" w:right="1083" w:bottom="1440" w:left="1083" w:header="851" w:footer="992" w:gutter="0"/>
          <w:cols w:space="0" w:num="1"/>
          <w:docGrid w:type="lines" w:linePitch="314" w:charSpace="0"/>
        </w:sectPr>
      </w:pPr>
    </w:p>
    <w:p w14:paraId="52FF6152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附件2：其他材料</w:t>
      </w:r>
    </w:p>
    <w:p w14:paraId="2A456533">
      <w:pPr>
        <w:pStyle w:val="4"/>
        <w:ind w:left="0" w:leftChars="0"/>
        <w:rPr>
          <w:color w:val="auto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包括但不限于：</w:t>
      </w:r>
    </w:p>
    <w:p w14:paraId="43482A45">
      <w:pPr>
        <w:pStyle w:val="4"/>
        <w:ind w:left="0" w:left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1、营业执照扫描件</w:t>
      </w:r>
    </w:p>
    <w:p w14:paraId="428A839D">
      <w:pPr>
        <w:pStyle w:val="4"/>
        <w:ind w:left="0" w:left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、项目服务方案（产品介绍）及实施计划</w:t>
      </w:r>
    </w:p>
    <w:p w14:paraId="56E8031D">
      <w:pPr>
        <w:pStyle w:val="4"/>
        <w:ind w:left="0" w:left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服务团队介绍</w:t>
      </w:r>
    </w:p>
    <w:p w14:paraId="1DCC4AA6">
      <w:pPr>
        <w:pStyle w:val="4"/>
        <w:ind w:left="0" w:left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4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、服务保障承诺</w:t>
      </w:r>
    </w:p>
    <w:p w14:paraId="41589759">
      <w:pPr>
        <w:pStyle w:val="4"/>
        <w:ind w:left="0" w:left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5</w:t>
      </w:r>
      <w:r>
        <w:rPr>
          <w:rFonts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业绩案例</w:t>
      </w:r>
    </w:p>
    <w:p w14:paraId="7EB31163">
      <w:pPr>
        <w:pStyle w:val="4"/>
        <w:ind w:left="0" w:left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6、其他所必需的相关材料</w:t>
      </w:r>
    </w:p>
    <w:sectPr>
      <w:pgSz w:w="11906" w:h="16838"/>
      <w:pgMar w:top="1440" w:right="1083" w:bottom="1440" w:left="1083" w:header="851" w:footer="992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FDA8DF-018B-44FA-927D-D382B3EE72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EA83915-5E69-40CF-B5EA-1C7AB99040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0D40EDA-8B28-430E-855C-F99DDCF8BB77}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03BE421-7B89-4F5D-92E1-DAF556AF5905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112CBE54-13AF-431C-83EE-6489CCD3E8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6DE9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9155" cy="14795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915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75E4AA">
                          <w:pPr>
                            <w:pStyle w:val="7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页共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1.65pt;width:67.6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FS000NMAAAAEAQAADwAAAAAAAAABACAAAAAiAAAAZHJzL2Rvd25yZXYueG1sUEsBAhQA&#10;FAAAAAgAh07iQLIjnDUwAgAAUwQAAA4AAAAAAAAAAQAgAAAAIg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75E4AA">
                    <w:pPr>
                      <w:pStyle w:val="7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页共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D2EBEB"/>
    <w:multiLevelType w:val="singleLevel"/>
    <w:tmpl w:val="E8D2EBE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7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A3"/>
    <w:rsid w:val="000E4CA3"/>
    <w:rsid w:val="001B052D"/>
    <w:rsid w:val="001B1952"/>
    <w:rsid w:val="00283B3F"/>
    <w:rsid w:val="00325073"/>
    <w:rsid w:val="00572733"/>
    <w:rsid w:val="00595CBB"/>
    <w:rsid w:val="006030E1"/>
    <w:rsid w:val="007F3014"/>
    <w:rsid w:val="00836506"/>
    <w:rsid w:val="00C97D62"/>
    <w:rsid w:val="00DB0393"/>
    <w:rsid w:val="00DC509B"/>
    <w:rsid w:val="00E754B4"/>
    <w:rsid w:val="00F2174E"/>
    <w:rsid w:val="02675436"/>
    <w:rsid w:val="029C08D4"/>
    <w:rsid w:val="071657EB"/>
    <w:rsid w:val="08B545A5"/>
    <w:rsid w:val="092F2754"/>
    <w:rsid w:val="0B7D7F96"/>
    <w:rsid w:val="13353790"/>
    <w:rsid w:val="13CA7CE9"/>
    <w:rsid w:val="13F76C6C"/>
    <w:rsid w:val="157E6317"/>
    <w:rsid w:val="19F06820"/>
    <w:rsid w:val="1E596D71"/>
    <w:rsid w:val="24050543"/>
    <w:rsid w:val="26883166"/>
    <w:rsid w:val="269F2B16"/>
    <w:rsid w:val="2F6E1C45"/>
    <w:rsid w:val="2FB07FD7"/>
    <w:rsid w:val="317D7420"/>
    <w:rsid w:val="331671BF"/>
    <w:rsid w:val="33B3033B"/>
    <w:rsid w:val="33DD0342"/>
    <w:rsid w:val="34416E25"/>
    <w:rsid w:val="35906085"/>
    <w:rsid w:val="3A9852E0"/>
    <w:rsid w:val="3CD56D74"/>
    <w:rsid w:val="3CFB44C3"/>
    <w:rsid w:val="3D6469F5"/>
    <w:rsid w:val="3EB44731"/>
    <w:rsid w:val="3FCC680A"/>
    <w:rsid w:val="3FDF48A5"/>
    <w:rsid w:val="40115E5B"/>
    <w:rsid w:val="40134FEB"/>
    <w:rsid w:val="41007DAA"/>
    <w:rsid w:val="438704B0"/>
    <w:rsid w:val="44E73D39"/>
    <w:rsid w:val="480A63EB"/>
    <w:rsid w:val="487158D1"/>
    <w:rsid w:val="488E3B06"/>
    <w:rsid w:val="48F25244"/>
    <w:rsid w:val="4CCA439B"/>
    <w:rsid w:val="4D0D4ED5"/>
    <w:rsid w:val="4EFD134C"/>
    <w:rsid w:val="53F3317F"/>
    <w:rsid w:val="543D6D6A"/>
    <w:rsid w:val="58C4549A"/>
    <w:rsid w:val="5AEA704B"/>
    <w:rsid w:val="5C376D46"/>
    <w:rsid w:val="5DF2219B"/>
    <w:rsid w:val="5E8720EC"/>
    <w:rsid w:val="5EE9209B"/>
    <w:rsid w:val="5F44384A"/>
    <w:rsid w:val="5F5C0960"/>
    <w:rsid w:val="60BF2A71"/>
    <w:rsid w:val="63887FE1"/>
    <w:rsid w:val="63BA1C0C"/>
    <w:rsid w:val="63F161B6"/>
    <w:rsid w:val="654D0F67"/>
    <w:rsid w:val="66D3234F"/>
    <w:rsid w:val="66E533C4"/>
    <w:rsid w:val="681A51E0"/>
    <w:rsid w:val="692B6A78"/>
    <w:rsid w:val="695E3370"/>
    <w:rsid w:val="699D5EE7"/>
    <w:rsid w:val="6A660877"/>
    <w:rsid w:val="6B99520C"/>
    <w:rsid w:val="6BE91536"/>
    <w:rsid w:val="71E94098"/>
    <w:rsid w:val="778A5BDE"/>
    <w:rsid w:val="7A1F0BD5"/>
    <w:rsid w:val="7A92721C"/>
    <w:rsid w:val="7CFA5264"/>
    <w:rsid w:val="7E4E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  <w:rPr>
      <w:kern w:val="0"/>
      <w:sz w:val="20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Body Text Indent 2"/>
    <w:basedOn w:val="1"/>
    <w:unhideWhenUsed/>
    <w:qFormat/>
    <w:uiPriority w:val="0"/>
    <w:pPr>
      <w:ind w:firstLine="540"/>
    </w:pPr>
    <w:rPr>
      <w:rFonts w:ascii="Calibri" w:hAnsi="Calibri"/>
      <w:sz w:val="28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unhideWhenUsed/>
    <w:qFormat/>
    <w:uiPriority w:val="39"/>
    <w:rPr>
      <w:rFonts w:ascii="Calibri" w:hAnsi="Calibri" w:eastAsia="宋体" w:cs="Times New Roman"/>
    </w:rPr>
  </w:style>
  <w:style w:type="paragraph" w:styleId="10">
    <w:name w:val="Body Text Indent 3"/>
    <w:basedOn w:val="1"/>
    <w:qFormat/>
    <w:uiPriority w:val="0"/>
    <w:pPr>
      <w:ind w:firstLine="600" w:firstLineChars="200"/>
    </w:pPr>
    <w:rPr>
      <w:color w:val="FF0000"/>
      <w:sz w:val="30"/>
      <w:szCs w:val="20"/>
    </w:rPr>
  </w:style>
  <w:style w:type="paragraph" w:styleId="11">
    <w:name w:val="Body Text 2"/>
    <w:basedOn w:val="1"/>
    <w:qFormat/>
    <w:uiPriority w:val="0"/>
    <w:pPr>
      <w:spacing w:after="120" w:line="480" w:lineRule="auto"/>
    </w:p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"/>
    <w:basedOn w:val="3"/>
    <w:qFormat/>
    <w:uiPriority w:val="0"/>
    <w:pPr>
      <w:widowControl/>
      <w:ind w:firstLine="420" w:firstLineChars="100"/>
      <w:jc w:val="left"/>
    </w:pPr>
    <w:rPr>
      <w:rFonts w:ascii="Times New Roman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22"/>
    <w:rPr>
      <w:b/>
      <w:bCs/>
    </w:rPr>
  </w:style>
  <w:style w:type="character" w:styleId="18">
    <w:name w:val="Hyperlink"/>
    <w:basedOn w:val="16"/>
    <w:unhideWhenUsed/>
    <w:qFormat/>
    <w:uiPriority w:val="99"/>
    <w:rPr>
      <w:color w:val="0000FF"/>
      <w:u w:val="single"/>
    </w:rPr>
  </w:style>
  <w:style w:type="paragraph" w:customStyle="1" w:styleId="19">
    <w:name w:val="列表段落1"/>
    <w:basedOn w:val="1"/>
    <w:qFormat/>
    <w:uiPriority w:val="0"/>
    <w:pPr>
      <w:ind w:firstLine="420" w:firstLineChars="20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Times New Roman" w:eastAsia="楷体" w:cs="楷体"/>
      <w:color w:val="000000"/>
      <w:sz w:val="24"/>
      <w:szCs w:val="24"/>
      <w:lang w:val="en-US" w:eastAsia="zh-CN" w:bidi="ar-SA"/>
    </w:rPr>
  </w:style>
  <w:style w:type="character" w:customStyle="1" w:styleId="21">
    <w:name w:val="15"/>
    <w:basedOn w:val="16"/>
    <w:qFormat/>
    <w:uiPriority w:val="0"/>
    <w:rPr>
      <w:rFonts w:hint="default" w:ascii="Calibri" w:hAnsi="Calibri" w:cs="Calibri"/>
      <w:b/>
      <w:bCs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表格正文内容"/>
    <w:basedOn w:val="1"/>
    <w:next w:val="1"/>
    <w:autoRedefine/>
    <w:qFormat/>
    <w:uiPriority w:val="0"/>
    <w:pPr>
      <w:widowControl/>
      <w:spacing w:line="360" w:lineRule="exact"/>
      <w:jc w:val="left"/>
    </w:pPr>
    <w:rPr>
      <w:rFonts w:ascii="方正楷体_GB2312" w:hAnsi="方正小标宋简体" w:eastAsia="方正仿宋_GB2312" w:cs="仿宋"/>
      <w:sz w:val="24"/>
      <w:szCs w:val="32"/>
    </w:rPr>
  </w:style>
  <w:style w:type="paragraph" w:customStyle="1" w:styleId="25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26">
    <w:name w:val="列出段落1"/>
    <w:basedOn w:val="1"/>
    <w:qFormat/>
    <w:uiPriority w:val="34"/>
    <w:pPr>
      <w:suppressAutoHyphens/>
      <w:ind w:firstLine="420"/>
    </w:pPr>
    <w:rPr>
      <w:rFonts w:ascii="Times New Roman" w:hAnsi="Times New Roman" w:eastAsia="宋体" w:cs="Times New Roman"/>
      <w:kern w:val="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483f23f7-0063-44a8-b5b2-de43b1248855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6F22B905</paraID>
      <start>38</start>
      <end>46</end>
      <status>modified</status>
      <modifiedWord>日起至2026年</modifiedWord>
      <trackRevisions>false</trackRevisions>
    </reviewItem>
    <reviewItem>
      <errorID>f92ffd64-7564-4f2a-9e3f-c48307667fe1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58FFC7E6</paraID>
      <start>0</start>
      <end>2</end>
      <status>unmodified</status>
      <modifiedWord/>
      <trackRevisions>false</trackRevisions>
    </reviewItem>
    <reviewItem>
      <errorID>3d3bbbe0-5ca7-4a3b-a0d5-f788d451fba3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67A4B0EC</paraID>
      <start>0</start>
      <end>2</end>
      <status>unmodified</status>
      <modifiedWord/>
      <trackRevisions>false</trackRevisions>
    </reviewItem>
    <reviewItem>
      <errorID>10ea5129-68c4-4484-bd5d-37495a24c7d5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34243CEE</paraID>
      <start>0</start>
      <end>2</end>
      <status>unmodified</status>
      <modifiedWord/>
      <trackRevisions>false</trackRevisions>
    </reviewItem>
    <reviewItem>
      <errorID>7b15ebcc-db22-475c-917c-fc9d3009f688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445C400B</paraID>
      <start>3</start>
      <end>4</end>
      <status>modified</status>
      <modifiedWord>须</modifiedWord>
      <trackRevisions>false</trackRevisions>
    </reviewItem>
    <reviewItem>
      <errorID>ff5bcc21-6b73-4a6a-b582-79564bd49c15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673FFF60</paraID>
      <start>0</start>
      <end>2</end>
      <status>unmodified</status>
      <modifiedWord/>
      <trackRevisions>false</trackRevisions>
    </reviewItem>
    <reviewItem>
      <errorID>4d0b2be2-20ff-4f04-a330-78908401bc5f</errorID>
      <errorWord>等</errorWord>
      <group>L1_Word</group>
      <groupName>字词问题</groupName>
      <ability>L2_Typo</ability>
      <abilityName>字词错误</abilityName>
      <candidateList>
        <item>的</item>
      </candidateList>
      <explain/>
      <paraID> 53ACC0F</paraID>
      <start>13</start>
      <end>14</end>
      <status>unmodified</status>
      <modifiedWord/>
      <trackRevisions>false</trackRevisions>
    </reviewItem>
    <reviewItem>
      <errorID>b4432ebe-a7f4-422f-9169-34ae6d583dd3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554618DC</paraID>
      <start>0</start>
      <end>2</end>
      <status>unmodified</status>
      <modifiedWord/>
      <trackRevisions>false</trackRevisions>
    </reviewItem>
    <reviewItem>
      <errorID>223565a8-51ed-47d2-a747-e9fc9e6f93dc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7D349A8B</paraID>
      <start>0</start>
      <end>2</end>
      <status>unmodified</status>
      <modifiedWord/>
      <trackRevisions>false</trackRevisions>
    </reviewItem>
    <reviewItem>
      <errorID>c060f4be-39bd-42f1-a0a0-35bcfba1e749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6619B28A</paraID>
      <start>0</start>
      <end>2</end>
      <status>unmodified</status>
      <modifiedWord/>
      <trackRevisions>false</trackRevisions>
    </reviewItem>
    <reviewItem>
      <errorID>16484a0a-d35e-40db-8e65-5412e778dfbb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43482A45</paraID>
      <start>0</start>
      <end>2</end>
      <status>unmodified</status>
      <modifiedWord/>
      <trackRevisions>false</trackRevisions>
    </reviewItem>
    <reviewItem>
      <errorID>0d93395e-d624-4565-85e7-f5d1e02efa13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428A839D</paraID>
      <start>0</start>
      <end>2</end>
      <status>unmodified</status>
      <modifiedWord/>
      <trackRevisions>false</trackRevisions>
    </reviewItem>
    <reviewItem>
      <errorID>4d686a0f-3906-4e84-bff8-fef27cb53acd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56E8031D</paraID>
      <start>0</start>
      <end>2</end>
      <status>unmodified</status>
      <modifiedWord/>
      <trackRevisions>false</trackRevisions>
    </reviewItem>
    <reviewItem>
      <errorID>ac7d1f40-9226-4db9-a042-9a574bf5935c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1DCC4AA6</paraID>
      <start>0</start>
      <end>2</end>
      <status>unmodified</status>
      <modifiedWord/>
      <trackRevisions>false</trackRevisions>
    </reviewItem>
    <reviewItem>
      <errorID>94f2610a-f422-4103-aee7-d38f5d353d5e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41589759</paraID>
      <start>0</start>
      <end>2</end>
      <status>unmodified</status>
      <modifiedWord/>
      <trackRevisions>false</trackRevisions>
    </reviewItem>
    <reviewItem>
      <errorID>6dce85fd-4eb5-4ff7-a77d-f1b6fd695165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7EB31163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738c79-1cda-499f-a43f-3049d4d87e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892</Words>
  <Characters>959</Characters>
  <Lines>133</Lines>
  <Paragraphs>161</Paragraphs>
  <TotalTime>1</TotalTime>
  <ScaleCrop>false</ScaleCrop>
  <LinksUpToDate>false</LinksUpToDate>
  <CharactersWithSpaces>959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2026-02-05T02:57:00Z</dcterms:created>
  <dc:creator>HP</dc:creator>
  <cp:lastModifiedBy>仲杰</cp:lastModifiedBy>
  <dcterms:modified xsi:type="dcterms:W3CDTF">2026-08-27T10:28:22Z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eyJoZGlkIjoiZTQ4MzhlZGU2YmZhMGFjMjVlNGJjM2ZlYTdmZDg2NTAiLCJ1c2VySWQiOiIyOTgyOTgyOTEifQ==</vt:lpwstr>
  </property>
  <property fmtid="{D5CDD505-2E9C-101B-9397-08002B2CF9AE}" pid="4" name="ICV">
    <vt:lpwstr>2BFD31D5F3FB4B709DBC969892577809_12</vt:lpwstr>
  </property>
</Properties>
</file>