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口岸致灾推演场景数据清理与</w:t>
      </w:r>
      <w:bookmarkStart w:id="7" w:name="_GoBack"/>
      <w:bookmarkEnd w:id="7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预处理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HFBX2026040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HFBX2026040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口岸致灾推演场景数据清理与预处理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，根据现场调研的测绘数据或卫星数据，采购机场、邮局、码头海关3D模型数据清洗与预处理服务，使数据能够被主流3D建模软件读入且尺寸、材质等属性无错误，支持缺失数据采集补充，为致灾推演模型研发提供支持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服务期限：服务期18个月（自合同签订之日起）。分阶段交付：第一阶段（合同签订后6个月内）交付三个场景基础数据；第二阶段（合同签订后18个月内）交付根据研究进展迭代优化的最终数据模型。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付款方式：合同正式生效后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0个工作日内，支付合同总价的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0％；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项目完成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验收通过后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0个工作日内，支付合同总价的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0％。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021-38283870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00A4517B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根据现场调研的测绘数据或卫星数据，采购机场、邮局、码头海关3D模型数据清洗与预处理服务，使数据能够被主流3D建模软件读入且尺寸、材质等属性无错误，支持缺失数据采集补充，为致灾推演模型研发提供支持。</w:t>
      </w:r>
    </w:p>
    <w:p w14:paraId="14F7295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2564B4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二、服务具体要求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02"/>
        <w:gridCol w:w="1981"/>
        <w:gridCol w:w="5351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4" w:type="pct"/>
            <w:vAlign w:val="center"/>
          </w:tcPr>
          <w:p w14:paraId="42D5704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54" w:type="pct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994" w:type="pct"/>
            <w:vAlign w:val="center"/>
          </w:tcPr>
          <w:p w14:paraId="1825502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  <w:t>服务期限</w:t>
            </w:r>
          </w:p>
        </w:tc>
        <w:tc>
          <w:tcPr>
            <w:tcW w:w="2685" w:type="pct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0"/>
                <w:szCs w:val="20"/>
                <w:highlight w:val="none"/>
              </w:rPr>
              <w:t>服务说明</w:t>
            </w:r>
          </w:p>
        </w:tc>
      </w:tr>
      <w:tr w14:paraId="5458F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4" w:type="pct"/>
            <w:vAlign w:val="center"/>
          </w:tcPr>
          <w:p w14:paraId="68E0ED4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54" w:type="pct"/>
            <w:vAlign w:val="center"/>
          </w:tcPr>
          <w:p w14:paraId="17FC266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港口码头3D模型数据处理</w:t>
            </w:r>
          </w:p>
        </w:tc>
        <w:tc>
          <w:tcPr>
            <w:tcW w:w="994" w:type="pct"/>
            <w:vAlign w:val="center"/>
          </w:tcPr>
          <w:p w14:paraId="3F5ABE5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6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个月</w:t>
            </w:r>
          </w:p>
        </w:tc>
        <w:tc>
          <w:tcPr>
            <w:tcW w:w="2685" w:type="pct"/>
            <w:vAlign w:val="center"/>
          </w:tcPr>
          <w:p w14:paraId="1745304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包含码头泊位、集装箱堆场、储罐区、管道系统、装卸设施、消防系统等，支持仿真平台对接（根据甲方调研结果动态调整建模范围和精度）</w:t>
            </w:r>
          </w:p>
        </w:tc>
      </w:tr>
      <w:tr w14:paraId="26291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4" w:type="pct"/>
            <w:vAlign w:val="center"/>
          </w:tcPr>
          <w:p w14:paraId="17F9B4F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854" w:type="pct"/>
            <w:vAlign w:val="center"/>
          </w:tcPr>
          <w:p w14:paraId="61A151D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机场3D模型数据处理</w:t>
            </w:r>
          </w:p>
        </w:tc>
        <w:tc>
          <w:tcPr>
            <w:tcW w:w="994" w:type="pct"/>
            <w:vAlign w:val="center"/>
          </w:tcPr>
          <w:p w14:paraId="04CE39B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6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个月</w:t>
            </w:r>
          </w:p>
        </w:tc>
        <w:tc>
          <w:tcPr>
            <w:tcW w:w="2685" w:type="pct"/>
            <w:vAlign w:val="center"/>
          </w:tcPr>
          <w:p w14:paraId="7689F92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包含航站楼外观、海关检验区、安检区、行李处理区等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eastAsia="zh-CN"/>
              </w:rPr>
              <w:t>，支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持FBX/OBJ格式输出，含路径网络数据，支持仿真平台对接（根据甲方调研结果动态调整建模范围和精度）</w:t>
            </w:r>
          </w:p>
        </w:tc>
      </w:tr>
      <w:tr w14:paraId="21D44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4" w:type="pct"/>
            <w:vAlign w:val="center"/>
          </w:tcPr>
          <w:p w14:paraId="5BFAD42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854" w:type="pct"/>
            <w:vAlign w:val="center"/>
          </w:tcPr>
          <w:p w14:paraId="40A9E96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邮局3D模型数据处理</w:t>
            </w:r>
          </w:p>
        </w:tc>
        <w:tc>
          <w:tcPr>
            <w:tcW w:w="994" w:type="pct"/>
            <w:vAlign w:val="center"/>
          </w:tcPr>
          <w:p w14:paraId="516C23A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6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个月</w:t>
            </w:r>
          </w:p>
        </w:tc>
        <w:tc>
          <w:tcPr>
            <w:tcW w:w="2685" w:type="pct"/>
            <w:vAlign w:val="center"/>
          </w:tcPr>
          <w:p w14:paraId="3CA1AF7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包含建筑外观、内部分拣区、营业厅、仓储区、车辆装卸区，含属性数据库，支持仿真平台对接（根据甲方调研结果动态调整建模范围和精度）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4" w:type="pct"/>
            <w:vAlign w:val="center"/>
          </w:tcPr>
          <w:p w14:paraId="5812CFA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854" w:type="pct"/>
            <w:vAlign w:val="center"/>
          </w:tcPr>
          <w:p w14:paraId="1CD00C8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模型数据更新维护服务</w:t>
            </w:r>
          </w:p>
        </w:tc>
        <w:tc>
          <w:tcPr>
            <w:tcW w:w="994" w:type="pct"/>
            <w:vAlign w:val="center"/>
          </w:tcPr>
          <w:p w14:paraId="04AA2B7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12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个月</w:t>
            </w:r>
          </w:p>
        </w:tc>
        <w:tc>
          <w:tcPr>
            <w:tcW w:w="2685" w:type="pct"/>
            <w:vAlign w:val="center"/>
          </w:tcPr>
          <w:p w14:paraId="3F4C2A0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根据甲方调研验收需求，在维护期内提供不限次数的免费三维场景建模测试、数据内容迭代优化、技术支持、补充采集、现场调研、场景变化同步、精度提升、功能扩展、缺陷修复服务。</w:t>
            </w:r>
          </w:p>
        </w:tc>
      </w:tr>
    </w:tbl>
    <w:p w14:paraId="0DD01E0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功能要求</w:t>
      </w:r>
    </w:p>
    <w:p w14:paraId="2C2E6BB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快速响应科研需求变化：课题组提出需求后5个工作日内提供可行性评估和工作计划，紧急需求24小时内响应。</w:t>
      </w:r>
    </w:p>
    <w:p w14:paraId="0BE80A87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采用迭代优化模式：每个场景支持5轮重大修改，小范围调整和优化不限次数，适应科研项目探索性特点。</w:t>
      </w:r>
    </w:p>
    <w:p w14:paraId="5FE8A0D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配合现场调研：根据课题组需要，配合前往邮局、码头、机场等实际场景进行现场勘测和数据采集，预计5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—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10次。</w:t>
      </w:r>
    </w:p>
    <w:p w14:paraId="0F3B427B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仿真平台对接：为模型对象赋予致灾推演相关属性（建筑材质、耐火等级、储罐容量、危险品类型、消防设施参数、疏散通道宽度等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根据甲方要求确定），属性字段根据研究需要动态扩展。预留灾害效果接口（火灾蔓延、烟雾扩散、人员疏散等）。</w:t>
      </w:r>
    </w:p>
    <w:p w14:paraId="6306272E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驻场配合：根据甲方要求，在项目关键阶段，需要提供技术人员驻场配合。（累计驻场不高于60个工作日）</w:t>
      </w:r>
    </w:p>
    <w:p w14:paraId="7E1A0BC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知识转移：提供完整的技术文档、数据字典、用户手册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，在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服务期结束前完成所有技术资料和源文件移交。</w:t>
      </w:r>
    </w:p>
    <w:p w14:paraId="79FDE64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应遵循的相关国家标准、行业标准、地方标准等标准、规范</w:t>
      </w:r>
    </w:p>
    <w:p w14:paraId="5DE4459C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 xml:space="preserve">GB/T 17798-2007《地理空间数据交换格式》 </w:t>
      </w:r>
    </w:p>
    <w:p w14:paraId="4E3305AC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 xml:space="preserve">GB 50016-2014《建筑设计防火规范》 </w:t>
      </w:r>
    </w:p>
    <w:p w14:paraId="7F175507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 xml:space="preserve">GB 50160-2008《石油化工企业设计防火标准》 </w:t>
      </w:r>
    </w:p>
    <w:p w14:paraId="15954B79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 xml:space="preserve">CH/T 9015-2012《三维地理信息模型数据产品规范》 </w:t>
      </w:r>
    </w:p>
    <w:p w14:paraId="1E996F5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后续运营维护、升级更新、备品备件等要求</w:t>
      </w:r>
    </w:p>
    <w:p w14:paraId="3520EEB0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交货期6个月后，提供12个月的延保服务。延保服务器内，根据甲方调研验收需求，在维护期内提供不限次数的免费三维场景建模测试、数据内容迭代优化、技术支持、补充采集、现场调研、场景变化同步、精度提升、功能扩展、缺陷修复服务。</w:t>
      </w:r>
    </w:p>
    <w:p w14:paraId="5BF1BD5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交货期6个月后，提供技术使用培训，并提供完整的数据模型技术文档和数据字典。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443"/>
        <w:gridCol w:w="1074"/>
        <w:gridCol w:w="4201"/>
        <w:gridCol w:w="2407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8" w:type="pct"/>
            <w:vAlign w:val="center"/>
          </w:tcPr>
          <w:p w14:paraId="4D172C6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724" w:type="pct"/>
            <w:vAlign w:val="center"/>
          </w:tcPr>
          <w:p w14:paraId="4D4125B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指标名称</w:t>
            </w:r>
          </w:p>
        </w:tc>
        <w:tc>
          <w:tcPr>
            <w:tcW w:w="539" w:type="pct"/>
            <w:vAlign w:val="center"/>
          </w:tcPr>
          <w:p w14:paraId="69C5D09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是否核心指标</w:t>
            </w:r>
          </w:p>
        </w:tc>
        <w:tc>
          <w:tcPr>
            <w:tcW w:w="2108" w:type="pct"/>
            <w:vAlign w:val="center"/>
          </w:tcPr>
          <w:p w14:paraId="09E1FA1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指标要求</w:t>
            </w:r>
          </w:p>
        </w:tc>
        <w:tc>
          <w:tcPr>
            <w:tcW w:w="1208" w:type="pct"/>
            <w:vAlign w:val="center"/>
          </w:tcPr>
          <w:p w14:paraId="43D84F8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是否需要</w:t>
            </w:r>
          </w:p>
          <w:p w14:paraId="27BD153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0"/>
                <w:szCs w:val="20"/>
                <w:highlight w:val="none"/>
              </w:rPr>
              <w:t>证明材料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8" w:type="pct"/>
            <w:vAlign w:val="center"/>
          </w:tcPr>
          <w:p w14:paraId="2447FCA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bookmarkStart w:id="6" w:name="_Hlk230099715"/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724" w:type="pct"/>
            <w:vAlign w:val="center"/>
          </w:tcPr>
          <w:p w14:paraId="20D166A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本地化服务</w:t>
            </w:r>
          </w:p>
        </w:tc>
        <w:tc>
          <w:tcPr>
            <w:tcW w:w="539" w:type="pct"/>
            <w:vAlign w:val="center"/>
          </w:tcPr>
          <w:p w14:paraId="362A887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</w:t>
            </w:r>
          </w:p>
        </w:tc>
        <w:tc>
          <w:tcPr>
            <w:tcW w:w="2108" w:type="pct"/>
            <w:vAlign w:val="center"/>
          </w:tcPr>
          <w:p w14:paraId="34A4A9AF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公司注册地或设有分支机构在上海市或周边城市（应满足当日往返），便于现场沟通和调研配合。</w:t>
            </w:r>
          </w:p>
        </w:tc>
        <w:tc>
          <w:tcPr>
            <w:tcW w:w="1208" w:type="pct"/>
            <w:vAlign w:val="center"/>
          </w:tcPr>
          <w:p w14:paraId="725E28B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是（营业执照或机构证明）</w:t>
            </w:r>
          </w:p>
        </w:tc>
      </w:tr>
      <w:bookmarkEnd w:id="6"/>
      <w:tr w14:paraId="4C31F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8" w:type="pct"/>
            <w:vAlign w:val="center"/>
          </w:tcPr>
          <w:p w14:paraId="18B6B5F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724" w:type="pct"/>
            <w:vAlign w:val="center"/>
          </w:tcPr>
          <w:p w14:paraId="346F257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科研项目配合经验</w:t>
            </w:r>
          </w:p>
        </w:tc>
        <w:tc>
          <w:tcPr>
            <w:tcW w:w="539" w:type="pct"/>
            <w:vAlign w:val="center"/>
          </w:tcPr>
          <w:p w14:paraId="26FDE9B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否</w:t>
            </w:r>
          </w:p>
        </w:tc>
        <w:tc>
          <w:tcPr>
            <w:tcW w:w="2108" w:type="pct"/>
            <w:vAlign w:val="center"/>
          </w:tcPr>
          <w:p w14:paraId="75FB683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具有配合高校或科研院所开展软件或科研项目的经验，提供不少于 1个 案例。</w:t>
            </w:r>
          </w:p>
        </w:tc>
        <w:tc>
          <w:tcPr>
            <w:tcW w:w="1208" w:type="pct"/>
            <w:vAlign w:val="center"/>
          </w:tcPr>
          <w:p w14:paraId="48D91CC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是（合同或证明材料）</w:t>
            </w: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8" w:type="pct"/>
            <w:vAlign w:val="center"/>
          </w:tcPr>
          <w:p w14:paraId="1F70F2B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724" w:type="pct"/>
            <w:vAlign w:val="center"/>
          </w:tcPr>
          <w:p w14:paraId="697DC5A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知识产权与创新能力</w:t>
            </w:r>
          </w:p>
        </w:tc>
        <w:tc>
          <w:tcPr>
            <w:tcW w:w="539" w:type="pct"/>
            <w:vAlign w:val="center"/>
          </w:tcPr>
          <w:p w14:paraId="3DB5EEB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否</w:t>
            </w:r>
          </w:p>
        </w:tc>
        <w:tc>
          <w:tcPr>
            <w:tcW w:w="2108" w:type="pct"/>
            <w:vAlign w:val="center"/>
          </w:tcPr>
          <w:p w14:paraId="111C379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企业具备一定的知识产权储备，拥有专利、软件著作权等相关知识产权；优先考虑国家高新技术企业，或在相关技术领域具有创新研发能力的企业。</w:t>
            </w:r>
          </w:p>
        </w:tc>
        <w:tc>
          <w:tcPr>
            <w:tcW w:w="1208" w:type="pct"/>
            <w:vAlign w:val="center"/>
          </w:tcPr>
          <w:p w14:paraId="05F03B46">
            <w:pPr>
              <w:widowControl/>
              <w:spacing w:line="360" w:lineRule="auto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是（知识产权证书、高新技术企业证书等相关证明材料，无相关证书可提供研发项目说明等材料佐证创新能力）</w:t>
            </w:r>
          </w:p>
        </w:tc>
      </w:tr>
      <w:tr w14:paraId="47E51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8" w:type="pct"/>
            <w:vAlign w:val="center"/>
          </w:tcPr>
          <w:p w14:paraId="1BFC6CB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724" w:type="pct"/>
            <w:vAlign w:val="center"/>
          </w:tcPr>
          <w:p w14:paraId="3DE28AC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服务期限承诺</w:t>
            </w:r>
          </w:p>
        </w:tc>
        <w:tc>
          <w:tcPr>
            <w:tcW w:w="539" w:type="pct"/>
            <w:vAlign w:val="center"/>
          </w:tcPr>
          <w:p w14:paraId="36F200C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</w:t>
            </w:r>
          </w:p>
        </w:tc>
        <w:tc>
          <w:tcPr>
            <w:tcW w:w="2108" w:type="pct"/>
            <w:vAlign w:val="center"/>
          </w:tcPr>
          <w:p w14:paraId="7D13C28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承诺提供24个月连续服务，服务期内公司经营正常稳定，提供书面承诺函。</w:t>
            </w:r>
          </w:p>
        </w:tc>
        <w:tc>
          <w:tcPr>
            <w:tcW w:w="1208" w:type="pct"/>
            <w:vAlign w:val="center"/>
          </w:tcPr>
          <w:p w14:paraId="7A19B942">
            <w:pPr>
              <w:widowControl/>
              <w:spacing w:line="360" w:lineRule="auto"/>
              <w:ind w:firstLine="600" w:firstLineChars="300"/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0"/>
                <w:szCs w:val="20"/>
                <w:highlight w:val="none"/>
              </w:rPr>
              <w:t>是</w:t>
            </w:r>
          </w:p>
        </w:tc>
      </w:tr>
    </w:tbl>
    <w:p w14:paraId="2D77934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0B309400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三、其他要求</w:t>
      </w:r>
    </w:p>
    <w:p w14:paraId="04EDCCBA">
      <w:pPr>
        <w:numPr>
          <w:ilvl w:val="0"/>
          <w:numId w:val="0"/>
        </w:numPr>
        <w:rPr>
          <w:rFonts w:hint="default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1、交付内容：成果以电子数据形式交付，通过加密移动硬盘或专用网络传输，确保数据安全</w:t>
      </w:r>
    </w:p>
    <w:p w14:paraId="77A6773F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2、-课题组提出需求后5个工作日内提供可行性评估和工作计划，紧急需求24小时内响应。</w:t>
      </w:r>
    </w:p>
    <w:p w14:paraId="748AB6B8">
      <w:pPr>
        <w:numPr>
          <w:ilvl w:val="0"/>
          <w:numId w:val="0"/>
        </w:numPr>
        <w:ind w:firstLine="220" w:firstLineChars="100"/>
        <w:rPr>
          <w:rFonts w:hint="default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-每个场景支持5轮重大修改，小范围调整和优化不限次数，适应科研项目探索性特点。</w:t>
      </w:r>
    </w:p>
    <w:p w14:paraId="475948DB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3、履约验收</w:t>
      </w:r>
    </w:p>
    <w:p w14:paraId="170C4848">
      <w:pPr>
        <w:numPr>
          <w:ilvl w:val="0"/>
          <w:numId w:val="0"/>
        </w:numPr>
        <w:ind w:firstLine="220" w:firstLineChars="100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验收时间：</w:t>
      </w:r>
    </w:p>
    <w:p w14:paraId="05C2E7B0">
      <w:pPr>
        <w:numPr>
          <w:ilvl w:val="0"/>
          <w:numId w:val="0"/>
        </w:numPr>
        <w:ind w:firstLine="220" w:firstLineChars="100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-第一阶段验收：合同签订后6个月内</w:t>
      </w:r>
    </w:p>
    <w:p w14:paraId="3C06570E">
      <w:pPr>
        <w:numPr>
          <w:ilvl w:val="0"/>
          <w:numId w:val="0"/>
        </w:numPr>
        <w:ind w:firstLine="220" w:firstLineChars="100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-最终验收：合同签订后18个月内</w:t>
      </w:r>
    </w:p>
    <w:p w14:paraId="1BCB8EE4">
      <w:pPr>
        <w:numPr>
          <w:ilvl w:val="0"/>
          <w:numId w:val="0"/>
        </w:numPr>
        <w:ind w:firstLine="220" w:firstLineChars="100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验收内容：</w:t>
      </w:r>
    </w:p>
    <w:p w14:paraId="0F43ED38">
      <w:pPr>
        <w:numPr>
          <w:ilvl w:val="0"/>
          <w:numId w:val="0"/>
        </w:numPr>
        <w:ind w:firstLine="220" w:firstLineChars="100"/>
        <w:rPr>
          <w:rFonts w:hint="default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-数据质量检查，数据模型功能测试，文档审查</w:t>
      </w:r>
    </w:p>
    <w:p w14:paraId="01956666">
      <w:pPr>
        <w:numPr>
          <w:ilvl w:val="0"/>
          <w:numId w:val="0"/>
        </w:numPr>
        <w:ind w:firstLine="220" w:firstLineChars="100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4、服务期内，根据甲方开发情况，提供免费的数据使用、格式转换、仿真平台对接、常见问题处理的建议和培训。</w:t>
      </w:r>
    </w:p>
    <w:p w14:paraId="28FC3428">
      <w:pPr>
        <w:numPr>
          <w:ilvl w:val="0"/>
          <w:numId w:val="0"/>
        </w:numPr>
        <w:ind w:firstLine="220" w:firstLineChars="100"/>
        <w:rPr>
          <w:rFonts w:hint="default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-提供完整的用户手册和技术文档</w:t>
      </w:r>
    </w:p>
    <w:p w14:paraId="11DB6B58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</w:pP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3E417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4600A22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5D15AF7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096364A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6999B1A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51812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13DD1D3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3C5B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8CC38E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044666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045DCF3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B438D2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DACE5C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6F264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42A87CCE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45301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1C915A9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5AFBADF0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393D92D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406BB98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5869BCF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HFBX2026040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7"/>
        <w:gridCol w:w="4170"/>
        <w:gridCol w:w="3032"/>
        <w:gridCol w:w="210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39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32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551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项目报价（元）</w:t>
            </w:r>
          </w:p>
        </w:tc>
        <w:tc>
          <w:tcPr>
            <w:tcW w:w="1076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239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32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口岸致灾推演场景数据清理与预处理</w:t>
            </w:r>
          </w:p>
        </w:tc>
        <w:tc>
          <w:tcPr>
            <w:tcW w:w="155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5A5AA3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076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372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627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4589D13E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C5F61D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EE3DED-F54C-4AA0-94F8-991DCCB82A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95CED11-CA5E-40B3-A2DF-894EBFE0D2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70667FA-3C9C-41F0-B75A-E4E843443970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499A687-289B-412E-99C8-053D218111D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33B862CF-2521-47BF-A113-CC5D84F8F63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6" w:fontKey="{9B8D5C29-48D2-466D-B64A-86E3E2CF02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4490266"/>
    <w:rsid w:val="08B545A5"/>
    <w:rsid w:val="092F2754"/>
    <w:rsid w:val="13353790"/>
    <w:rsid w:val="13CA7CE9"/>
    <w:rsid w:val="157E6317"/>
    <w:rsid w:val="19F06820"/>
    <w:rsid w:val="1BE64E89"/>
    <w:rsid w:val="1E596D71"/>
    <w:rsid w:val="230E0951"/>
    <w:rsid w:val="24050543"/>
    <w:rsid w:val="248645D1"/>
    <w:rsid w:val="269F2B16"/>
    <w:rsid w:val="295A5005"/>
    <w:rsid w:val="2FB07FD7"/>
    <w:rsid w:val="317D7420"/>
    <w:rsid w:val="331671BF"/>
    <w:rsid w:val="33B3033B"/>
    <w:rsid w:val="33DD0342"/>
    <w:rsid w:val="35906085"/>
    <w:rsid w:val="39CE1840"/>
    <w:rsid w:val="3A9852E0"/>
    <w:rsid w:val="3CFB44C3"/>
    <w:rsid w:val="3D6469F5"/>
    <w:rsid w:val="3EB44731"/>
    <w:rsid w:val="3F27115C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6E533C4"/>
    <w:rsid w:val="681A51E0"/>
    <w:rsid w:val="695E3370"/>
    <w:rsid w:val="699D5EE7"/>
    <w:rsid w:val="6A66087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a21b05cb-5e89-40ac-9501-971daaf1cada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b0b47167-f014-4066-9655-cbd996a208fd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3b31b31e-98f9-4a30-beb9-82316c90845d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6d6a4dcd-3615-4cf2-a2a3-b2758b3f9336</errorID>
      <errorWord>，</errorWord>
      <group>L1_Word</group>
      <groupName>字词问题</groupName>
      <ability>L2_Typo</ability>
      <abilityName>字词错误</abilityName>
      <candidateList>
        <item>，支</item>
      </candidateList>
      <explain/>
      <paraID>7689F92C</paraID>
      <start>24</start>
      <end>26</end>
      <status>modified</status>
      <modifiedWord>，支</modifiedWord>
      <trackRevisions>false</trackRevisions>
    </reviewItem>
    <reviewItem>
      <errorID>210f310b-523d-43b3-bf36-9c5e6272825e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5cd4cbcc-d850-475f-ba62-888e8812e7b6</errorID>
      <errorWord>-</errorWord>
      <group>L1_Punc</group>
      <groupName>标点问题</groupName>
      <ability>L2_Punc_CN</ability>
      <abilityName/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5FE8A0DA</paraID>
      <start>47</start>
      <end>48</end>
      <status>modified</status>
      <modifiedWord>—</modifiedWord>
      <trackRevisions>false</trackRevisions>
    </reviewItem>
    <reviewItem>
      <errorID>b7f6aaa4-80e6-4768-a0ed-71a49c90622c</errorID>
      <errorWord>,</errorWord>
      <group>L1_Format</group>
      <groupName>格式问题</groupName>
      <ability>L2_HalfPunc_CN</ability>
      <abilityName/>
      <candidateList>
        <item>，</item>
      </candidateList>
      <explain>文本全半角错误。</explain>
      <paraID> F3B427B</paraID>
      <start>58</start>
      <end>59</end>
      <status>modified</status>
      <modifiedWord>，</modifiedWord>
      <trackRevisions>false</trackRevisions>
    </reviewItem>
    <reviewItem>
      <errorID>0188da50-5369-488f-b860-3190e2e426db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7E1A0BCA</paraID>
      <start>24</start>
      <end>26</end>
      <status>modified</status>
      <modifiedWord>，在</modifiedWord>
      <trackRevisions>false</trackRevisions>
    </reviewItem>
    <reviewItem>
      <errorID>289f392b-5eab-4511-be2b-ef2d78ff5e9a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b37257bd-6521-40c2-9d89-20835a64600e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4c6f6b1d-fa48-4873-a417-3c537f877288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4EDCCBA</paraID>
      <start>0</start>
      <end>2</end>
      <status>unmodified</status>
      <modifiedWord/>
      <trackRevisions>false</trackRevisions>
    </reviewItem>
    <reviewItem>
      <errorID>77d0f729-f142-4573-b333-50bdb23c9cbd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77A6773F</paraID>
      <start>0</start>
      <end>2</end>
      <status>unmodified</status>
      <modifiedWord/>
      <trackRevisions>false</trackRevisions>
    </reviewItem>
    <reviewItem>
      <errorID>23dda3f8-fd70-4575-94b5-a831627be33f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77A6773F</paraID>
      <start>2</start>
      <end>3</end>
      <status>unmodified</status>
      <modifiedWord/>
      <trackRevisions>false</trackRevisions>
    </reviewItem>
    <reviewItem>
      <errorID>0193a3b8-dff0-4c1d-a3f6-e205ea852010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748AB6B8</paraID>
      <start>0</start>
      <end>1</end>
      <status>unmodified</status>
      <modifiedWord/>
      <trackRevisions>false</trackRevisions>
    </reviewItem>
    <reviewItem>
      <errorID>f5b69c9a-891b-4529-904a-ba7d5abfeaba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475948DB</paraID>
      <start>0</start>
      <end>2</end>
      <status>unmodified</status>
      <modifiedWord/>
      <trackRevisions>false</trackRevisions>
    </reviewItem>
    <reviewItem>
      <errorID>5d45517c-cd46-48e8-b1fe-f72306a2cea6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 5C2E7B0</paraID>
      <start>0</start>
      <end>1</end>
      <status>unmodified</status>
      <modifiedWord/>
      <trackRevisions>false</trackRevisions>
    </reviewItem>
    <reviewItem>
      <errorID>a0380850-bb0d-46a9-85ab-878fbf0d83f7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3C06570E</paraID>
      <start>0</start>
      <end>1</end>
      <status>unmodified</status>
      <modifiedWord/>
      <trackRevisions>false</trackRevisions>
    </reviewItem>
    <reviewItem>
      <errorID>9beabab3-b8c3-476c-8c60-4469b835a873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 F43ED38</paraID>
      <start>0</start>
      <end>1</end>
      <status>unmodified</status>
      <modifiedWord/>
      <trackRevisions>false</trackRevisions>
    </reviewItem>
    <reviewItem>
      <errorID>b7fa19c6-1d9b-4021-a413-3e69ee3c98b1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1956666</paraID>
      <start>0</start>
      <end>2</end>
      <status>unmodified</status>
      <modifiedWord/>
      <trackRevisions>false</trackRevisions>
    </reviewItem>
    <reviewItem>
      <errorID>6e65e765-0bcc-4b90-b35a-17326039d6b9</errorID>
      <errorWord>-</errorWord>
      <group>L1_Format</group>
      <groupName>格式问题</groupName>
      <ability>L2_HalfPunc_CN</ability>
      <abilityName/>
      <candidateList>
        <item>－</item>
      </candidateList>
      <explain>文本全半角错误。</explain>
      <paraID>28FC3428</paraID>
      <start>0</start>
      <end>1</end>
      <status>unmodified</status>
      <modifiedWord/>
      <trackRevisions>false</trackRevisions>
    </reviewItem>
    <reviewItem>
      <errorID>4ca0fd40-1eb2-43bd-b692-60a948b19d46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4f6ea2c6-2c19-4fa8-85a5-45e5eba1d3ac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11245eb8-3e3f-43b2-a030-bf60f4fa145d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5b59a7bf-f3a7-4858-8ee4-2bebdf17f4c6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27bb2b5b-c830-44e7-a641-b5f39d0e3912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d4ae4839-6510-4cb4-bc43-4b166317b9a9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80987c0d-caba-46d1-86b1-74ddf224ae1c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2205e120-64de-4c93-87af-8ae0cd3ab5ea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f1deb-6cb2-43a0-a3a9-6f1aa366b6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2221</Words>
  <Characters>2397</Characters>
  <Lines>133</Lines>
  <Paragraphs>161</Paragraphs>
  <TotalTime>1</TotalTime>
  <ScaleCrop>false</ScaleCrop>
  <LinksUpToDate>false</LinksUpToDate>
  <CharactersWithSpaces>2407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2026-05-21T05:20:22Z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