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6" w:rsidRDefault="00BB0A66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hint="eastAsia"/>
          <w:b/>
          <w:sz w:val="36"/>
        </w:rPr>
        <w:t>上海海事大学</w:t>
      </w:r>
      <w:r>
        <w:rPr>
          <w:rFonts w:hint="eastAsia"/>
          <w:b/>
          <w:sz w:val="36"/>
        </w:rPr>
        <w:t>服务器漏洞</w:t>
      </w:r>
      <w:r>
        <w:rPr>
          <w:rFonts w:hint="eastAsia"/>
          <w:b/>
          <w:sz w:val="36"/>
        </w:rPr>
        <w:t>风险</w:t>
      </w:r>
      <w:r>
        <w:rPr>
          <w:rFonts w:hint="eastAsia"/>
          <w:b/>
          <w:sz w:val="36"/>
        </w:rPr>
        <w:t>检测</w:t>
      </w:r>
      <w:r>
        <w:rPr>
          <w:b/>
          <w:sz w:val="36"/>
        </w:rPr>
        <w:t>服务技术</w:t>
      </w:r>
      <w:r>
        <w:rPr>
          <w:rFonts w:hint="eastAsia"/>
          <w:b/>
          <w:sz w:val="36"/>
        </w:rPr>
        <w:t>要求</w:t>
      </w:r>
    </w:p>
    <w:p w:rsidR="00FC3BF6" w:rsidRDefault="00BB0A66">
      <w:pPr>
        <w:pStyle w:val="a8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参数要求：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/>
      </w:tblPr>
      <w:tblGrid>
        <w:gridCol w:w="847"/>
        <w:gridCol w:w="1522"/>
        <w:gridCol w:w="7593"/>
      </w:tblGrid>
      <w:tr w:rsidR="00FC3BF6" w:rsidTr="00FD4589">
        <w:trPr>
          <w:trHeight w:val="493"/>
        </w:trPr>
        <w:tc>
          <w:tcPr>
            <w:tcW w:w="425" w:type="pct"/>
            <w:shd w:val="clear" w:color="auto" w:fill="AEAAAA" w:themeFill="background2" w:themeFillShade="BF"/>
            <w:vAlign w:val="center"/>
          </w:tcPr>
          <w:p w:rsidR="00FC3BF6" w:rsidRDefault="00BB0A6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4" w:type="pct"/>
            <w:shd w:val="clear" w:color="auto" w:fill="AEAAAA" w:themeFill="background2" w:themeFillShade="BF"/>
            <w:vAlign w:val="center"/>
          </w:tcPr>
          <w:p w:rsidR="00FC3BF6" w:rsidRDefault="00BB0A6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功能参数</w:t>
            </w:r>
          </w:p>
        </w:tc>
        <w:tc>
          <w:tcPr>
            <w:tcW w:w="3811" w:type="pct"/>
            <w:shd w:val="clear" w:color="auto" w:fill="AEAAAA" w:themeFill="background2" w:themeFillShade="BF"/>
            <w:vAlign w:val="center"/>
          </w:tcPr>
          <w:p w:rsidR="00FC3BF6" w:rsidRDefault="00BB0A6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服务内容</w:t>
            </w: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1</w:t>
            </w:r>
          </w:p>
        </w:tc>
        <w:tc>
          <w:tcPr>
            <w:tcW w:w="764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漏洞检测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支持以饼图、柱状图、趋势图等形式展示资产风险综合状况，支持从漏洞类型、服务类型等角度展示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支持风险监控配置，包括自定义监控周期及检测时间（支持按照日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自定义形式设置），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规则配置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漏洞检测方式：采用高精度检测脚本，识别准确率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95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%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，同时漏报率也控制在可接受范围以内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系统漏洞库能够覆盖了常见的操作系统漏洞、软件漏洞、最新的网站框架应用漏洞等。能够针对操作系统以及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web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漏洞进行检测</w:t>
            </w:r>
          </w:p>
        </w:tc>
      </w:tr>
      <w:tr w:rsidR="00FC3BF6" w:rsidTr="00FD4589"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漏洞标准兼容：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CNNVD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CWE</w:t>
            </w:r>
          </w:p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漏洞库兼容：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CNVD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CVE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CNNVD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基础漏洞检测：支持常见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CMS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应用漏洞，支持常见第三方框架和组件近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年高危漏洞和部分中低危漏洞，运维类漏洞如敏感文件泄露，目录穿越等漏洞的扫描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主机合规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检测：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基于服务版本对主机资产进行合规检测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弱口令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检测：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MySQL,SSH,FTP,SQLServer,Redis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等常见服务的弱口令扫描，支持弱口令字典自定义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网站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WEB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漏扫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支持按照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URL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地址、周期、设置监控选项、并进行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cookies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、配出页面、爬虫深度、爬取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URL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数、扫描频率的设定进行扫描，支持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SQL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注入，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XSS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跨站脚本，命令执行等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35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种常见通用漏洞类型扫描，包括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1500+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通用漏洞规则。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支持主机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检测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网站内容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检测：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支持违规内容检测（涉黄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涉赌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涉政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虚假证件）、篡改检测，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基线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检测：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支持禁止端口及服务开放基线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设定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，确认是否已开放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2</w:t>
            </w:r>
          </w:p>
        </w:tc>
        <w:tc>
          <w:tcPr>
            <w:tcW w:w="764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漏洞管理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支持漏洞检测频率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设置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，可自定义扫描周期及检测时间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自动复测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时间设置（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关闭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、自定义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开始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时间点）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支持漏洞信息检索功能，可快速定位不同漏洞类型，不同资产漏洞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支持通过资产指纹进行漏洞分析，并从资产的类型、服务版本、漏洞类、漏洞严重程度等多个维度进行关联保存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支持按照漏洞名称、地址、资产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、资产域名、漏洞状态、处理状态、发现时间进行展示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漏洞查看、重新检测、漏洞处理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漏洞一键导出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E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xcel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查看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一键分享给相关人员查看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支持漏洞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确认、忽略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操作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支持风险自定义检测：对资产临时进行风险检测，检测内容包括应急插件、基础风险检测、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WEB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风险检测，检测结果包括漏洞风险数、合规风险数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支持应急检测，能够有针对性对单、多个指定的漏洞进行指定范围的检测，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快速精准定位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支持网站可用性监控、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主机可用性监控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 xml:space="preserve"> 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3</w:t>
            </w:r>
          </w:p>
        </w:tc>
        <w:tc>
          <w:tcPr>
            <w:tcW w:w="764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外部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资产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风险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监测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GitHub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代码泄露监测，支持自定义关键词及敏感代码设置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支持查看泄露的代码仓库、相关联的资产、上传代码的作者、发现时间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支持对于代码泄露进行确认和忽略操作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4</w:t>
            </w:r>
          </w:p>
        </w:tc>
        <w:tc>
          <w:tcPr>
            <w:tcW w:w="764" w:type="pc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安全大屏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提供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资产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风险的可视化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大屏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展示，包括资产地图、风险分析、监控分析、风险分布信息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5</w:t>
            </w:r>
          </w:p>
        </w:tc>
        <w:tc>
          <w:tcPr>
            <w:tcW w:w="764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系统管理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漏洞告警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（站内信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、邮件、短信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）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日报定时推送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：掌握资产分布状况以及风险态势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在线升级、离线升级（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包括系统版本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更新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漏洞库更新）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严重高危漏洞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48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小时内可出检测插件以及修补补丁，常规普通漏洞两周内更新一次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支持对账号信息进行管理，包含账户名称、注册邮箱、联系手机、密码强度、企业名称、所属行业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支持帮助中心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对系统使用过程进行详细指导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支持自定义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logo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，可以一键更换产品界面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logo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支持操作日志查看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及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下载，基于用户名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/IP/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事件的关键字搜索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支持资产报表、漏洞风险报表生成，支持在线查看，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并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Word ,Excel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形式导出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运营后台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支持多管理员使用产品，管理员用户支持添加、删除子用户（默认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不给用户开放，除非特殊情况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）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支持白名单添加，对白名单资产不进行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漏洞巡检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检测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6</w:t>
            </w:r>
          </w:p>
        </w:tc>
        <w:tc>
          <w:tcPr>
            <w:tcW w:w="764" w:type="pct"/>
            <w:vMerge w:val="restar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开放</w:t>
            </w: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接口开放，可通过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接口实现创建扫描任务、获取扫描任务进度、启停扫描任务等动作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认证方式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token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REST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ful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开发者文档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：包括接口规范、接口描述、测试用例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Merge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:rsidR="00FC3BF6" w:rsidRDefault="00FC3BF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11" w:type="pct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技术支持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：在线培训、联调测试、接口升级</w:t>
            </w:r>
          </w:p>
        </w:tc>
      </w:tr>
      <w:tr w:rsidR="00FC3BF6" w:rsidTr="00FD4589">
        <w:trPr>
          <w:trHeight w:val="348"/>
        </w:trPr>
        <w:tc>
          <w:tcPr>
            <w:tcW w:w="425" w:type="pc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7</w:t>
            </w:r>
          </w:p>
        </w:tc>
        <w:tc>
          <w:tcPr>
            <w:tcW w:w="764" w:type="pc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部署方式</w:t>
            </w:r>
          </w:p>
        </w:tc>
        <w:tc>
          <w:tcPr>
            <w:tcW w:w="3811" w:type="pct"/>
            <w:vAlign w:val="center"/>
          </w:tcPr>
          <w:p w:rsidR="00FC3BF6" w:rsidRDefault="00BB0A66">
            <w:pPr>
              <w:autoSpaceDE w:val="0"/>
              <w:autoSpaceDN w:val="0"/>
              <w:adjustRightInd w:val="0"/>
              <w:snapToGrid w:val="0"/>
              <w:spacing w:before="80" w:after="40" w:line="276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设备支持虚拟化模式部署</w:t>
            </w:r>
          </w:p>
        </w:tc>
      </w:tr>
    </w:tbl>
    <w:p w:rsidR="00FC3BF6" w:rsidRDefault="00FC3BF6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FC3BF6" w:rsidRDefault="00BB0A66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二、项目</w:t>
      </w:r>
      <w:r>
        <w:rPr>
          <w:rFonts w:asciiTheme="minorEastAsia" w:hAnsiTheme="minorEastAsia"/>
          <w:b/>
          <w:bCs/>
          <w:sz w:val="24"/>
          <w:szCs w:val="24"/>
        </w:rPr>
        <w:t>服务范畴</w:t>
      </w:r>
      <w:r>
        <w:rPr>
          <w:rFonts w:asciiTheme="minorEastAsia" w:hAnsiTheme="minorEastAsia" w:hint="eastAsia"/>
          <w:b/>
          <w:bCs/>
          <w:sz w:val="24"/>
          <w:szCs w:val="24"/>
        </w:rPr>
        <w:t>和</w:t>
      </w:r>
      <w:r>
        <w:rPr>
          <w:rFonts w:asciiTheme="minorEastAsia" w:hAnsiTheme="minorEastAsia"/>
          <w:b/>
          <w:bCs/>
          <w:sz w:val="24"/>
          <w:szCs w:val="24"/>
        </w:rPr>
        <w:t>要求</w:t>
      </w:r>
      <w:r>
        <w:rPr>
          <w:rFonts w:asciiTheme="minorEastAsia" w:hAnsiTheme="minorEastAsia" w:hint="eastAsia"/>
          <w:b/>
          <w:bCs/>
          <w:sz w:val="24"/>
          <w:szCs w:val="24"/>
        </w:rPr>
        <w:t>：</w:t>
      </w:r>
    </w:p>
    <w:p w:rsidR="00FC3BF6" w:rsidRDefault="00BB0A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（一）中标</w:t>
      </w:r>
      <w:r>
        <w:rPr>
          <w:rFonts w:asciiTheme="minorEastAsia" w:hAnsiTheme="minorEastAsia"/>
          <w:sz w:val="24"/>
          <w:szCs w:val="24"/>
        </w:rPr>
        <w:t>的公司须对上述</w:t>
      </w:r>
      <w:r>
        <w:rPr>
          <w:rFonts w:asciiTheme="minorEastAsia" w:hAnsiTheme="minorEastAsia" w:hint="eastAsia"/>
          <w:sz w:val="24"/>
          <w:szCs w:val="24"/>
        </w:rPr>
        <w:t>风险监测管理</w:t>
      </w:r>
      <w:r>
        <w:rPr>
          <w:rFonts w:asciiTheme="minorEastAsia" w:hAnsiTheme="minorEastAsia" w:hint="eastAsia"/>
          <w:sz w:val="24"/>
          <w:szCs w:val="24"/>
        </w:rPr>
        <w:t>服务内容</w:t>
      </w:r>
      <w:r>
        <w:rPr>
          <w:rFonts w:asciiTheme="minorEastAsia" w:hAnsiTheme="minorEastAsia"/>
          <w:sz w:val="24"/>
          <w:szCs w:val="24"/>
        </w:rPr>
        <w:t>提供</w:t>
      </w:r>
      <w:r>
        <w:rPr>
          <w:rFonts w:ascii="宋体" w:eastAsia="宋体" w:hAnsi="宋体" w:hint="eastAsia"/>
          <w:sz w:val="24"/>
        </w:rPr>
        <w:t>根据上海海事大学情况针对资产的上线、下线、漏洞验证、修复等方面要做到实时监控，建立有效的资产和漏洞监控体系，实时掌握情况，及时做出响应；鉴于学校资产的复杂性和庞大性，方案需要具备从已知资产的特征入手，智能关联和发掘未知资产的能力，能够对未知及边缘资产进行有效管控，降低资产风险性。</w:t>
      </w:r>
    </w:p>
    <w:p w:rsidR="00FC3BF6" w:rsidRDefault="00BB0A66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（二）定期巡检</w:t>
      </w:r>
    </w:p>
    <w:p w:rsidR="00FC3BF6" w:rsidRDefault="00BB0A66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及时</w:t>
      </w:r>
      <w:r>
        <w:rPr>
          <w:rFonts w:asciiTheme="minorEastAsia" w:hAnsiTheme="minorEastAsia" w:hint="eastAsia"/>
          <w:sz w:val="24"/>
          <w:szCs w:val="24"/>
        </w:rPr>
        <w:t>响应</w:t>
      </w:r>
      <w:r>
        <w:rPr>
          <w:rFonts w:asciiTheme="minorEastAsia" w:hAnsiTheme="minorEastAsia"/>
          <w:sz w:val="24"/>
          <w:szCs w:val="24"/>
        </w:rPr>
        <w:t>并处理</w:t>
      </w:r>
      <w:r>
        <w:rPr>
          <w:rFonts w:asciiTheme="minorEastAsia" w:hAnsiTheme="minorEastAsia" w:hint="eastAsia"/>
          <w:sz w:val="24"/>
          <w:szCs w:val="24"/>
        </w:rPr>
        <w:t>系统</w:t>
      </w:r>
      <w:r>
        <w:rPr>
          <w:rFonts w:asciiTheme="minorEastAsia" w:hAnsiTheme="minorEastAsia"/>
          <w:sz w:val="24"/>
          <w:szCs w:val="24"/>
        </w:rPr>
        <w:t>出现的各</w:t>
      </w:r>
      <w:r>
        <w:rPr>
          <w:rFonts w:asciiTheme="minorEastAsia" w:hAnsiTheme="minorEastAsia" w:hint="eastAsia"/>
          <w:sz w:val="24"/>
          <w:szCs w:val="24"/>
        </w:rPr>
        <w:t>类问题</w:t>
      </w:r>
      <w:r>
        <w:rPr>
          <w:rFonts w:asciiTheme="minorEastAsia" w:hAnsiTheme="minorEastAsia"/>
          <w:sz w:val="24"/>
          <w:szCs w:val="24"/>
        </w:rPr>
        <w:t>。对上述</w:t>
      </w:r>
      <w:r>
        <w:rPr>
          <w:rFonts w:asciiTheme="minorEastAsia" w:hAnsiTheme="minorEastAsia" w:hint="eastAsia"/>
          <w:sz w:val="24"/>
          <w:szCs w:val="24"/>
        </w:rPr>
        <w:t>系统在维保期</w:t>
      </w:r>
      <w:r>
        <w:rPr>
          <w:rFonts w:asciiTheme="minorEastAsia" w:hAnsiTheme="minorEastAsia"/>
          <w:sz w:val="24"/>
          <w:szCs w:val="24"/>
        </w:rPr>
        <w:t>内提供</w:t>
      </w:r>
      <w:r>
        <w:rPr>
          <w:rFonts w:asciiTheme="minorEastAsia" w:hAnsiTheme="minorEastAsia" w:hint="eastAsia"/>
          <w:sz w:val="24"/>
          <w:szCs w:val="24"/>
        </w:rPr>
        <w:t>每周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天现场技术支持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并提供每季度巡检一次学校系统环境，巡检结束后出具相应巡检报告。通过该巡检服务了解学校各资源使用情况和可能存在的潜在问题，提早预防，避免故障发生。</w:t>
      </w:r>
      <w:r>
        <w:rPr>
          <w:rFonts w:asciiTheme="minorEastAsia" w:hAnsiTheme="minorEastAsia"/>
          <w:sz w:val="24"/>
          <w:szCs w:val="24"/>
        </w:rPr>
        <w:t>其服务内容包括：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包括漏洞告警、漏洞列表、漏洞操作、漏洞检索、漏洞导出、漏洞查看、漏洞处理</w:t>
      </w:r>
      <w:r>
        <w:rPr>
          <w:rFonts w:asciiTheme="minorEastAsia" w:hAnsiTheme="minorEastAsia"/>
          <w:sz w:val="24"/>
          <w:szCs w:val="24"/>
        </w:rPr>
        <w:t>；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包括基础漏洞扫描、弱口令扫描、网站安全漏洞扫描、漏洞自动化巡检、基线检测；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包括代码泄露监测、代码泄露详情查看、代码泄露处理；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对资产进行风险分析，包括资产地图、风险分析模块、监控分析模块、风险分布模块</w:t>
      </w:r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；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包括账号及权限管理，报表管理，日志管理等；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校方其他关于系统需求配置或调整。</w:t>
      </w:r>
    </w:p>
    <w:p w:rsidR="00FC3BF6" w:rsidRDefault="00BB0A66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主机数量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不少于</w:t>
      </w:r>
      <w:r>
        <w:rPr>
          <w:rFonts w:asciiTheme="minorEastAsia" w:hAnsiTheme="minorEastAsia" w:hint="eastAsia"/>
          <w:sz w:val="24"/>
          <w:szCs w:val="24"/>
        </w:rPr>
        <w:t>1000</w:t>
      </w:r>
      <w:r>
        <w:rPr>
          <w:rFonts w:asciiTheme="minorEastAsia" w:hAnsiTheme="minorEastAsia" w:hint="eastAsia"/>
          <w:sz w:val="24"/>
          <w:szCs w:val="24"/>
        </w:rPr>
        <w:t>资产（主机资产</w:t>
      </w:r>
      <w:r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网站资产）</w:t>
      </w:r>
    </w:p>
    <w:p w:rsidR="00FC3BF6" w:rsidRDefault="00BB0A66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</w:t>
      </w:r>
      <w:r>
        <w:rPr>
          <w:rFonts w:asciiTheme="minorEastAsia" w:hAnsiTheme="minorEastAsia"/>
          <w:b/>
          <w:bCs/>
          <w:sz w:val="24"/>
          <w:szCs w:val="24"/>
        </w:rPr>
        <w:t>服务</w:t>
      </w:r>
      <w:r>
        <w:rPr>
          <w:rFonts w:asciiTheme="minorEastAsia" w:hAnsiTheme="minorEastAsia" w:hint="eastAsia"/>
          <w:b/>
          <w:bCs/>
          <w:sz w:val="24"/>
          <w:szCs w:val="24"/>
        </w:rPr>
        <w:t>期限</w:t>
      </w:r>
    </w:p>
    <w:p w:rsidR="00FC3BF6" w:rsidRDefault="00BB0A66">
      <w:pPr>
        <w:spacing w:line="480" w:lineRule="auto"/>
        <w:ind w:firstLineChars="200" w:firstLine="48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服务</w:t>
      </w:r>
      <w:r>
        <w:rPr>
          <w:rFonts w:asciiTheme="minorEastAsia" w:hAnsiTheme="minorEastAsia" w:hint="eastAsia"/>
          <w:sz w:val="24"/>
          <w:szCs w:val="24"/>
        </w:rPr>
        <w:t>期限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 w:hint="eastAsia"/>
          <w:sz w:val="24"/>
          <w:szCs w:val="24"/>
        </w:rPr>
        <w:t>合同签订后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年。</w:t>
      </w:r>
    </w:p>
    <w:p w:rsidR="00FC3BF6" w:rsidRDefault="00BB0A66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四、</w:t>
      </w:r>
      <w:r>
        <w:rPr>
          <w:rFonts w:asciiTheme="minorEastAsia" w:hAnsiTheme="minorEastAsia"/>
          <w:b/>
          <w:bCs/>
          <w:sz w:val="24"/>
          <w:szCs w:val="24"/>
        </w:rPr>
        <w:t>服务类型</w:t>
      </w:r>
    </w:p>
    <w:p w:rsidR="00FC3BF6" w:rsidRDefault="00BB0A66">
      <w:pPr>
        <w:spacing w:line="480" w:lineRule="auto"/>
        <w:ind w:firstLineChars="200" w:firstLine="48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现场服务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远程服务</w:t>
      </w:r>
    </w:p>
    <w:p w:rsidR="00FC3BF6" w:rsidRDefault="00BB0A66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五、付款</w:t>
      </w:r>
      <w:r>
        <w:rPr>
          <w:rFonts w:asciiTheme="minorEastAsia" w:hAnsiTheme="minorEastAsia"/>
          <w:b/>
          <w:bCs/>
          <w:sz w:val="24"/>
          <w:szCs w:val="24"/>
        </w:rPr>
        <w:t>方式</w:t>
      </w:r>
    </w:p>
    <w:p w:rsidR="00FC3BF6" w:rsidRDefault="00BB0A66">
      <w:pPr>
        <w:spacing w:line="48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合同</w:t>
      </w:r>
      <w:r>
        <w:rPr>
          <w:rFonts w:asciiTheme="minorEastAsia" w:hAnsiTheme="minorEastAsia"/>
          <w:sz w:val="24"/>
          <w:szCs w:val="24"/>
        </w:rPr>
        <w:t>签订</w:t>
      </w:r>
      <w:r>
        <w:rPr>
          <w:rFonts w:asciiTheme="minorEastAsia" w:hAnsiTheme="minorEastAsia" w:hint="eastAsia"/>
          <w:sz w:val="24"/>
          <w:szCs w:val="24"/>
        </w:rPr>
        <w:t>并提供发票</w:t>
      </w:r>
      <w:r>
        <w:rPr>
          <w:rFonts w:asciiTheme="minorEastAsia" w:hAnsiTheme="minorEastAsia"/>
          <w:sz w:val="24"/>
          <w:szCs w:val="24"/>
        </w:rPr>
        <w:t>后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7 </w:t>
      </w:r>
      <w:r>
        <w:rPr>
          <w:rFonts w:asciiTheme="minorEastAsia" w:hAnsiTheme="minorEastAsia" w:hint="eastAsia"/>
          <w:sz w:val="24"/>
          <w:szCs w:val="24"/>
        </w:rPr>
        <w:t>个工作日内，支付合同额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>10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0% </w:t>
      </w:r>
      <w:r>
        <w:rPr>
          <w:rFonts w:asciiTheme="minorEastAsia" w:hAnsiTheme="minorEastAsia" w:hint="eastAsia"/>
          <w:sz w:val="24"/>
          <w:szCs w:val="24"/>
        </w:rPr>
        <w:t>款项</w:t>
      </w:r>
      <w:r>
        <w:rPr>
          <w:rFonts w:asciiTheme="minorEastAsia" w:hAnsiTheme="minorEastAsia"/>
          <w:sz w:val="24"/>
          <w:szCs w:val="24"/>
        </w:rPr>
        <w:t>。</w:t>
      </w:r>
    </w:p>
    <w:p w:rsidR="00FC3BF6" w:rsidRDefault="00BB0A66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4"/>
        </w:rPr>
        <w:t>六</w:t>
      </w:r>
      <w:r>
        <w:rPr>
          <w:rFonts w:asciiTheme="minorEastAsia" w:hAnsiTheme="minorEastAsia" w:hint="eastAsia"/>
          <w:b/>
          <w:bCs/>
          <w:sz w:val="24"/>
          <w:szCs w:val="24"/>
        </w:rPr>
        <w:t>、系统服务考评</w:t>
      </w:r>
      <w:r>
        <w:rPr>
          <w:rFonts w:asciiTheme="minorEastAsia" w:hAnsiTheme="minorEastAsia"/>
          <w:b/>
          <w:bCs/>
          <w:sz w:val="24"/>
          <w:szCs w:val="24"/>
        </w:rPr>
        <w:t>办法</w:t>
      </w:r>
    </w:p>
    <w:p w:rsidR="00FC3BF6" w:rsidRDefault="00BB0A66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上述系统在出现</w:t>
      </w:r>
      <w:r>
        <w:rPr>
          <w:rFonts w:asciiTheme="minorEastAsia" w:hAnsiTheme="minorEastAsia"/>
          <w:sz w:val="24"/>
          <w:szCs w:val="24"/>
        </w:rPr>
        <w:t>故障</w:t>
      </w:r>
      <w:r>
        <w:rPr>
          <w:rFonts w:asciiTheme="minorEastAsia" w:hAnsiTheme="minorEastAsia" w:hint="eastAsia"/>
          <w:sz w:val="24"/>
          <w:szCs w:val="24"/>
        </w:rPr>
        <w:t>遇紧急情况</w:t>
      </w:r>
      <w:r>
        <w:rPr>
          <w:rFonts w:asciiTheme="minorEastAsia" w:hAnsiTheme="minorEastAsia"/>
          <w:sz w:val="24"/>
          <w:szCs w:val="24"/>
        </w:rPr>
        <w:t>时</w:t>
      </w:r>
      <w:r>
        <w:rPr>
          <w:rFonts w:asciiTheme="minorEastAsia" w:hAnsiTheme="minorEastAsia" w:hint="eastAsia"/>
          <w:sz w:val="24"/>
          <w:szCs w:val="24"/>
        </w:rPr>
        <w:t>，联系</w:t>
      </w:r>
      <w:r>
        <w:rPr>
          <w:rFonts w:asciiTheme="minorEastAsia" w:hAnsiTheme="minorEastAsia"/>
          <w:sz w:val="24"/>
          <w:szCs w:val="24"/>
        </w:rPr>
        <w:t>不上中标方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或者</w:t>
      </w:r>
      <w:r>
        <w:rPr>
          <w:rFonts w:asciiTheme="minorEastAsia" w:hAnsiTheme="minorEastAsia" w:hint="eastAsia"/>
          <w:sz w:val="24"/>
          <w:szCs w:val="24"/>
        </w:rPr>
        <w:t>中标方</w:t>
      </w:r>
      <w:r>
        <w:rPr>
          <w:rFonts w:asciiTheme="minorEastAsia" w:hAnsiTheme="minorEastAsia"/>
          <w:sz w:val="24"/>
          <w:szCs w:val="24"/>
        </w:rPr>
        <w:t>没有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小时</w:t>
      </w:r>
      <w:r>
        <w:rPr>
          <w:rFonts w:asciiTheme="minorEastAsia" w:hAnsiTheme="minorEastAsia"/>
          <w:sz w:val="24"/>
          <w:szCs w:val="24"/>
        </w:rPr>
        <w:t>之内</w:t>
      </w:r>
      <w:r>
        <w:rPr>
          <w:rFonts w:asciiTheme="minorEastAsia" w:hAnsiTheme="minorEastAsia" w:hint="eastAsia"/>
          <w:sz w:val="24"/>
          <w:szCs w:val="24"/>
        </w:rPr>
        <w:t>到</w:t>
      </w:r>
      <w:r>
        <w:rPr>
          <w:rFonts w:asciiTheme="minorEastAsia" w:hAnsiTheme="minorEastAsia"/>
          <w:sz w:val="24"/>
          <w:szCs w:val="24"/>
        </w:rPr>
        <w:t>现场</w:t>
      </w:r>
      <w:r>
        <w:rPr>
          <w:rFonts w:asciiTheme="minorEastAsia" w:hAnsiTheme="minorEastAsia" w:hint="eastAsia"/>
          <w:sz w:val="24"/>
          <w:szCs w:val="24"/>
        </w:rPr>
        <w:t>以及没有在必要时得到校方允许下通过</w:t>
      </w:r>
      <w:r>
        <w:rPr>
          <w:rFonts w:asciiTheme="minorEastAsia" w:hAnsiTheme="minorEastAsia" w:hint="eastAsia"/>
          <w:sz w:val="24"/>
          <w:szCs w:val="24"/>
        </w:rPr>
        <w:t>VPN</w:t>
      </w:r>
      <w:r>
        <w:rPr>
          <w:rFonts w:asciiTheme="minorEastAsia" w:hAnsiTheme="minorEastAsia" w:hint="eastAsia"/>
          <w:sz w:val="24"/>
          <w:szCs w:val="24"/>
        </w:rPr>
        <w:t>等方式远程连接到学校环境提供服务及故障排除支持的，</w:t>
      </w:r>
      <w:r>
        <w:rPr>
          <w:rFonts w:asciiTheme="minorEastAsia" w:hAnsiTheme="minorEastAsia"/>
          <w:sz w:val="24"/>
          <w:szCs w:val="24"/>
        </w:rPr>
        <w:t>视为</w:t>
      </w:r>
      <w:r>
        <w:rPr>
          <w:rFonts w:asciiTheme="minorEastAsia" w:hAnsiTheme="minorEastAsia" w:hint="eastAsia"/>
          <w:sz w:val="24"/>
          <w:szCs w:val="24"/>
        </w:rPr>
        <w:t>服务</w:t>
      </w:r>
      <w:r>
        <w:rPr>
          <w:rFonts w:asciiTheme="minorEastAsia" w:hAnsiTheme="minorEastAsia"/>
          <w:sz w:val="24"/>
          <w:szCs w:val="24"/>
        </w:rPr>
        <w:t>不合格。</w:t>
      </w:r>
    </w:p>
    <w:p w:rsidR="00FC3BF6" w:rsidRDefault="00BB0A66">
      <w:pPr>
        <w:spacing w:line="480" w:lineRule="auto"/>
        <w:rPr>
          <w:rFonts w:ascii="楷体" w:eastAsia="楷体" w:hAnsi="楷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FC3BF6" w:rsidRDefault="00FC3BF6">
      <w:pPr>
        <w:spacing w:line="320" w:lineRule="exact"/>
        <w:rPr>
          <w:rFonts w:ascii="楷体" w:eastAsia="楷体" w:hAnsi="楷体"/>
          <w:sz w:val="24"/>
          <w:szCs w:val="24"/>
        </w:rPr>
      </w:pPr>
    </w:p>
    <w:sectPr w:rsidR="00FC3BF6" w:rsidSect="00FD45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A66" w:rsidRDefault="00BB0A66" w:rsidP="00FD4589">
      <w:r>
        <w:separator/>
      </w:r>
    </w:p>
  </w:endnote>
  <w:endnote w:type="continuationSeparator" w:id="1">
    <w:p w:rsidR="00BB0A66" w:rsidRDefault="00BB0A66" w:rsidP="00FD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A66" w:rsidRDefault="00BB0A66" w:rsidP="00FD4589">
      <w:r>
        <w:separator/>
      </w:r>
    </w:p>
  </w:footnote>
  <w:footnote w:type="continuationSeparator" w:id="1">
    <w:p w:rsidR="00BB0A66" w:rsidRDefault="00BB0A66" w:rsidP="00FD4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04C1"/>
    <w:multiLevelType w:val="multilevel"/>
    <w:tmpl w:val="326C04C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C861EDD"/>
    <w:multiLevelType w:val="multilevel"/>
    <w:tmpl w:val="6C861ED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03"/>
    <w:rsid w:val="000008FC"/>
    <w:rsid w:val="00014652"/>
    <w:rsid w:val="00032C87"/>
    <w:rsid w:val="00050373"/>
    <w:rsid w:val="000637F4"/>
    <w:rsid w:val="000977E3"/>
    <w:rsid w:val="000C7E59"/>
    <w:rsid w:val="000E44FE"/>
    <w:rsid w:val="000E4A2E"/>
    <w:rsid w:val="000F6759"/>
    <w:rsid w:val="0012574B"/>
    <w:rsid w:val="0015050C"/>
    <w:rsid w:val="00151EB0"/>
    <w:rsid w:val="00162F69"/>
    <w:rsid w:val="0016648B"/>
    <w:rsid w:val="00184BF5"/>
    <w:rsid w:val="001B733A"/>
    <w:rsid w:val="001D7F7B"/>
    <w:rsid w:val="001E32ED"/>
    <w:rsid w:val="002134EA"/>
    <w:rsid w:val="0026383B"/>
    <w:rsid w:val="00277528"/>
    <w:rsid w:val="0029589C"/>
    <w:rsid w:val="00295A72"/>
    <w:rsid w:val="002C7F02"/>
    <w:rsid w:val="002E42D2"/>
    <w:rsid w:val="0031508B"/>
    <w:rsid w:val="00345CB5"/>
    <w:rsid w:val="00362DA6"/>
    <w:rsid w:val="003748F7"/>
    <w:rsid w:val="00390DA6"/>
    <w:rsid w:val="0039432A"/>
    <w:rsid w:val="003B04DB"/>
    <w:rsid w:val="003B7338"/>
    <w:rsid w:val="003C3D6D"/>
    <w:rsid w:val="003E32C6"/>
    <w:rsid w:val="004402C7"/>
    <w:rsid w:val="00447F4A"/>
    <w:rsid w:val="004708B5"/>
    <w:rsid w:val="0047283C"/>
    <w:rsid w:val="00476CF7"/>
    <w:rsid w:val="00492A69"/>
    <w:rsid w:val="004B5DD7"/>
    <w:rsid w:val="004E10BE"/>
    <w:rsid w:val="004E5F90"/>
    <w:rsid w:val="0051127D"/>
    <w:rsid w:val="005328F8"/>
    <w:rsid w:val="005454D7"/>
    <w:rsid w:val="00577852"/>
    <w:rsid w:val="0058641D"/>
    <w:rsid w:val="005B4139"/>
    <w:rsid w:val="00633F33"/>
    <w:rsid w:val="00654C5A"/>
    <w:rsid w:val="00662C23"/>
    <w:rsid w:val="0067252E"/>
    <w:rsid w:val="00687810"/>
    <w:rsid w:val="00687827"/>
    <w:rsid w:val="00687BC6"/>
    <w:rsid w:val="0069066E"/>
    <w:rsid w:val="006B4725"/>
    <w:rsid w:val="006C2CC0"/>
    <w:rsid w:val="006E358E"/>
    <w:rsid w:val="00717C14"/>
    <w:rsid w:val="00726F60"/>
    <w:rsid w:val="007273F8"/>
    <w:rsid w:val="00737765"/>
    <w:rsid w:val="00761AAA"/>
    <w:rsid w:val="00795BC5"/>
    <w:rsid w:val="007A4ABE"/>
    <w:rsid w:val="007F0AAE"/>
    <w:rsid w:val="007F603F"/>
    <w:rsid w:val="00813ED5"/>
    <w:rsid w:val="00904536"/>
    <w:rsid w:val="009315E8"/>
    <w:rsid w:val="0095254E"/>
    <w:rsid w:val="00965380"/>
    <w:rsid w:val="00982BF6"/>
    <w:rsid w:val="009A19BF"/>
    <w:rsid w:val="009D5B1A"/>
    <w:rsid w:val="00A135BC"/>
    <w:rsid w:val="00A2556B"/>
    <w:rsid w:val="00A402C0"/>
    <w:rsid w:val="00A738FA"/>
    <w:rsid w:val="00A75C95"/>
    <w:rsid w:val="00A92290"/>
    <w:rsid w:val="00A94432"/>
    <w:rsid w:val="00AA19A6"/>
    <w:rsid w:val="00AA4C53"/>
    <w:rsid w:val="00B25707"/>
    <w:rsid w:val="00B41B03"/>
    <w:rsid w:val="00B57A1B"/>
    <w:rsid w:val="00B66CA3"/>
    <w:rsid w:val="00B7787F"/>
    <w:rsid w:val="00BA58BE"/>
    <w:rsid w:val="00BB0A66"/>
    <w:rsid w:val="00BC06AD"/>
    <w:rsid w:val="00BE5162"/>
    <w:rsid w:val="00C0391B"/>
    <w:rsid w:val="00C15E75"/>
    <w:rsid w:val="00C16A09"/>
    <w:rsid w:val="00C56CBB"/>
    <w:rsid w:val="00C65FFE"/>
    <w:rsid w:val="00C964C9"/>
    <w:rsid w:val="00CB0C02"/>
    <w:rsid w:val="00CF764A"/>
    <w:rsid w:val="00D15065"/>
    <w:rsid w:val="00D2010D"/>
    <w:rsid w:val="00D27E4A"/>
    <w:rsid w:val="00D36CFB"/>
    <w:rsid w:val="00D76594"/>
    <w:rsid w:val="00D843B3"/>
    <w:rsid w:val="00D85E25"/>
    <w:rsid w:val="00D86F32"/>
    <w:rsid w:val="00D92B62"/>
    <w:rsid w:val="00DD4174"/>
    <w:rsid w:val="00DD770E"/>
    <w:rsid w:val="00DE120F"/>
    <w:rsid w:val="00DF49D0"/>
    <w:rsid w:val="00E00E90"/>
    <w:rsid w:val="00E27E29"/>
    <w:rsid w:val="00E45889"/>
    <w:rsid w:val="00E55A57"/>
    <w:rsid w:val="00E6507D"/>
    <w:rsid w:val="00E71985"/>
    <w:rsid w:val="00E830D1"/>
    <w:rsid w:val="00EB45ED"/>
    <w:rsid w:val="00ED5208"/>
    <w:rsid w:val="00EF232A"/>
    <w:rsid w:val="00F02E59"/>
    <w:rsid w:val="00F569AD"/>
    <w:rsid w:val="00FB5B4F"/>
    <w:rsid w:val="00FC3BF6"/>
    <w:rsid w:val="00FD4589"/>
    <w:rsid w:val="016C1F6C"/>
    <w:rsid w:val="54F22859"/>
    <w:rsid w:val="5D90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3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C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FC3BF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7">
    <w:name w:val="Table Grid"/>
    <w:basedOn w:val="a1"/>
    <w:rsid w:val="00F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FC3BF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B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3BF6"/>
    <w:rPr>
      <w:sz w:val="18"/>
      <w:szCs w:val="18"/>
    </w:rPr>
  </w:style>
  <w:style w:type="character" w:customStyle="1" w:styleId="Char2">
    <w:name w:val="副标题 Char"/>
    <w:basedOn w:val="a0"/>
    <w:link w:val="a6"/>
    <w:uiPriority w:val="11"/>
    <w:rsid w:val="00FC3B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FC3BF6"/>
    <w:pPr>
      <w:ind w:firstLineChars="200" w:firstLine="420"/>
    </w:pPr>
  </w:style>
  <w:style w:type="table" w:customStyle="1" w:styleId="1">
    <w:name w:val="网格型1"/>
    <w:basedOn w:val="a1"/>
    <w:uiPriority w:val="39"/>
    <w:qFormat/>
    <w:rsid w:val="00F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CB0F5C-AE4A-41CA-8CE5-136058872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FZ</cp:lastModifiedBy>
  <cp:revision>79</cp:revision>
  <cp:lastPrinted>2014-11-07T00:21:00Z</cp:lastPrinted>
  <dcterms:created xsi:type="dcterms:W3CDTF">2019-09-02T04:03:00Z</dcterms:created>
  <dcterms:modified xsi:type="dcterms:W3CDTF">2019-09-10T01:11:00Z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