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6FB354">
      <w:pPr>
        <w:jc w:val="center"/>
        <w:rPr>
          <w:rFonts w:hint="eastAsia" w:ascii="方正兰亭黑简体" w:hAnsi="方正兰亭黑简体" w:eastAsia="方正兰亭黑简体" w:cs="方正兰亭黑简体"/>
          <w:b/>
          <w:bCs/>
          <w:color w:val="auto"/>
          <w:sz w:val="28"/>
          <w:szCs w:val="36"/>
          <w:highlight w:val="none"/>
        </w:rPr>
      </w:pPr>
    </w:p>
    <w:p w14:paraId="153F7B7B">
      <w:pPr>
        <w:jc w:val="center"/>
        <w:rPr>
          <w:rFonts w:hint="eastAsia" w:ascii="方正兰亭黑简体" w:hAnsi="方正兰亭黑简体" w:eastAsia="方正兰亭黑简体" w:cs="方正兰亭黑简体"/>
          <w:b/>
          <w:bCs/>
          <w:color w:val="auto"/>
          <w:sz w:val="28"/>
          <w:szCs w:val="36"/>
          <w:highlight w:val="none"/>
        </w:rPr>
      </w:pPr>
    </w:p>
    <w:p w14:paraId="3F70C89E">
      <w:pPr>
        <w:jc w:val="center"/>
        <w:rPr>
          <w:rFonts w:hint="eastAsia" w:ascii="方正兰亭黑简体" w:hAnsi="方正兰亭黑简体" w:eastAsia="方正兰亭黑简体" w:cs="方正兰亭黑简体"/>
          <w:b/>
          <w:bCs/>
          <w:color w:val="auto"/>
          <w:sz w:val="28"/>
          <w:szCs w:val="36"/>
          <w:highlight w:val="none"/>
        </w:rPr>
      </w:pPr>
    </w:p>
    <w:p w14:paraId="64CD324F">
      <w:pPr>
        <w:jc w:val="center"/>
        <w:rPr>
          <w:rFonts w:hint="eastAsia" w:ascii="方正兰亭黑简体" w:hAnsi="方正兰亭黑简体" w:eastAsia="方正兰亭黑简体" w:cs="方正兰亭黑简体"/>
          <w:b/>
          <w:bCs/>
          <w:color w:val="auto"/>
          <w:sz w:val="28"/>
          <w:szCs w:val="28"/>
          <w:highlight w:val="none"/>
        </w:rPr>
      </w:pPr>
      <w:r>
        <w:rPr>
          <w:rFonts w:hint="eastAsia" w:ascii="方正兰亭黑简体" w:hAnsi="方正兰亭黑简体" w:eastAsia="方正兰亭黑简体" w:cs="方正兰亭黑简体"/>
          <w:b/>
          <w:bCs/>
          <w:color w:val="auto"/>
          <w:sz w:val="28"/>
          <w:szCs w:val="28"/>
          <w:highlight w:val="none"/>
        </w:rPr>
        <w:t>信息工程学院报告厅多联式空调系统更新采购项目</w:t>
      </w:r>
    </w:p>
    <w:p w14:paraId="2F0FE388">
      <w:pPr>
        <w:jc w:val="center"/>
        <w:rPr>
          <w:rFonts w:hint="eastAsia" w:ascii="方正兰亭黑简体" w:hAnsi="方正兰亭黑简体" w:eastAsia="方正兰亭黑简体" w:cs="方正兰亭黑简体"/>
          <w:b/>
          <w:bCs/>
          <w:color w:val="auto"/>
          <w:sz w:val="28"/>
          <w:szCs w:val="28"/>
          <w:highlight w:val="none"/>
        </w:rPr>
      </w:pPr>
      <w:r>
        <w:rPr>
          <w:rFonts w:hint="eastAsia" w:ascii="方正兰亭黑简体" w:hAnsi="方正兰亭黑简体" w:eastAsia="方正兰亭黑简体" w:cs="方正兰亭黑简体"/>
          <w:b/>
          <w:bCs/>
          <w:color w:val="auto"/>
          <w:sz w:val="28"/>
          <w:szCs w:val="28"/>
          <w:highlight w:val="none"/>
        </w:rPr>
        <w:t>比选文件</w:t>
      </w:r>
    </w:p>
    <w:p w14:paraId="0F98A24A">
      <w:pPr>
        <w:jc w:val="center"/>
        <w:rPr>
          <w:rFonts w:hint="eastAsia" w:ascii="方正兰亭黑简体" w:hAnsi="方正兰亭黑简体" w:eastAsia="方正兰亭黑简体" w:cs="方正兰亭黑简体"/>
          <w:b/>
          <w:bCs/>
          <w:color w:val="auto"/>
          <w:sz w:val="28"/>
          <w:szCs w:val="28"/>
          <w:highlight w:val="none"/>
        </w:rPr>
      </w:pPr>
    </w:p>
    <w:p w14:paraId="6D96A81A">
      <w:pPr>
        <w:jc w:val="center"/>
        <w:rPr>
          <w:rFonts w:hint="eastAsia" w:ascii="方正兰亭黑简体" w:hAnsi="方正兰亭黑简体" w:eastAsia="方正兰亭黑简体" w:cs="方正兰亭黑简体"/>
          <w:b/>
          <w:bCs/>
          <w:color w:val="auto"/>
          <w:sz w:val="28"/>
          <w:szCs w:val="28"/>
          <w:highlight w:val="none"/>
        </w:rPr>
      </w:pPr>
    </w:p>
    <w:p w14:paraId="47BBE8A1">
      <w:pPr>
        <w:jc w:val="center"/>
        <w:rPr>
          <w:rFonts w:hint="eastAsia" w:ascii="方正兰亭黑简体" w:hAnsi="方正兰亭黑简体" w:eastAsia="方正兰亭黑简体" w:cs="方正兰亭黑简体"/>
          <w:b/>
          <w:bCs/>
          <w:color w:val="auto"/>
          <w:sz w:val="28"/>
          <w:szCs w:val="28"/>
          <w:highlight w:val="none"/>
          <w:lang w:eastAsia="zh-CN"/>
        </w:rPr>
      </w:pPr>
      <w:r>
        <w:rPr>
          <w:rFonts w:hint="eastAsia" w:ascii="方正兰亭黑简体" w:hAnsi="方正兰亭黑简体" w:eastAsia="方正兰亭黑简体" w:cs="方正兰亭黑简体"/>
          <w:b/>
          <w:bCs/>
          <w:color w:val="auto"/>
          <w:sz w:val="28"/>
          <w:szCs w:val="28"/>
          <w:highlight w:val="none"/>
        </w:rPr>
        <w:t>项目编号：</w:t>
      </w:r>
      <w:r>
        <w:rPr>
          <w:rFonts w:hint="eastAsia" w:ascii="方正兰亭黑简体" w:hAnsi="方正兰亭黑简体" w:eastAsia="方正兰亭黑简体" w:cs="方正兰亭黑简体"/>
          <w:color w:val="auto"/>
          <w:sz w:val="28"/>
          <w:szCs w:val="28"/>
          <w:highlight w:val="none"/>
          <w:lang w:eastAsia="zh-CN"/>
        </w:rPr>
        <w:t>HFBX2026113</w:t>
      </w:r>
    </w:p>
    <w:p w14:paraId="0ED833A5">
      <w:pPr>
        <w:jc w:val="center"/>
        <w:rPr>
          <w:rFonts w:hint="eastAsia" w:ascii="方正兰亭黑简体" w:hAnsi="方正兰亭黑简体" w:eastAsia="方正兰亭黑简体" w:cs="方正兰亭黑简体"/>
          <w:b/>
          <w:bCs/>
          <w:color w:val="auto"/>
          <w:sz w:val="24"/>
          <w:szCs w:val="32"/>
          <w:highlight w:val="none"/>
        </w:rPr>
      </w:pPr>
    </w:p>
    <w:p w14:paraId="1741FB8A">
      <w:pPr>
        <w:jc w:val="center"/>
        <w:rPr>
          <w:rFonts w:hint="eastAsia" w:ascii="方正兰亭黑简体" w:hAnsi="方正兰亭黑简体" w:eastAsia="方正兰亭黑简体" w:cs="方正兰亭黑简体"/>
          <w:b/>
          <w:bCs/>
          <w:color w:val="auto"/>
          <w:sz w:val="24"/>
          <w:szCs w:val="32"/>
          <w:highlight w:val="none"/>
        </w:rPr>
      </w:pPr>
    </w:p>
    <w:p w14:paraId="595B9241">
      <w:pPr>
        <w:jc w:val="center"/>
        <w:rPr>
          <w:rFonts w:hint="eastAsia" w:ascii="方正兰亭黑简体" w:hAnsi="方正兰亭黑简体" w:eastAsia="方正兰亭黑简体" w:cs="方正兰亭黑简体"/>
          <w:b/>
          <w:bCs/>
          <w:color w:val="auto"/>
          <w:sz w:val="24"/>
          <w:szCs w:val="32"/>
          <w:highlight w:val="none"/>
        </w:rPr>
      </w:pPr>
    </w:p>
    <w:p w14:paraId="2906BF80">
      <w:pPr>
        <w:jc w:val="center"/>
        <w:rPr>
          <w:rFonts w:hint="eastAsia" w:ascii="方正兰亭黑简体" w:hAnsi="方正兰亭黑简体" w:eastAsia="方正兰亭黑简体" w:cs="方正兰亭黑简体"/>
          <w:b/>
          <w:bCs/>
          <w:color w:val="auto"/>
          <w:sz w:val="24"/>
          <w:szCs w:val="32"/>
          <w:highlight w:val="none"/>
        </w:rPr>
      </w:pPr>
    </w:p>
    <w:p w14:paraId="02ED5CF5">
      <w:pPr>
        <w:jc w:val="center"/>
        <w:rPr>
          <w:rFonts w:hint="eastAsia" w:ascii="方正兰亭黑简体" w:hAnsi="方正兰亭黑简体" w:eastAsia="方正兰亭黑简体" w:cs="方正兰亭黑简体"/>
          <w:b/>
          <w:bCs/>
          <w:color w:val="auto"/>
          <w:sz w:val="24"/>
          <w:szCs w:val="32"/>
          <w:highlight w:val="none"/>
        </w:rPr>
      </w:pPr>
    </w:p>
    <w:p w14:paraId="6713D31B">
      <w:pPr>
        <w:jc w:val="center"/>
        <w:rPr>
          <w:rFonts w:hint="eastAsia" w:ascii="方正兰亭黑简体" w:hAnsi="方正兰亭黑简体" w:eastAsia="方正兰亭黑简体" w:cs="方正兰亭黑简体"/>
          <w:b/>
          <w:bCs/>
          <w:color w:val="auto"/>
          <w:sz w:val="24"/>
          <w:szCs w:val="32"/>
          <w:highlight w:val="none"/>
        </w:rPr>
      </w:pPr>
    </w:p>
    <w:p w14:paraId="7E96A42D">
      <w:pPr>
        <w:jc w:val="center"/>
        <w:rPr>
          <w:rFonts w:hint="eastAsia" w:ascii="方正兰亭黑简体" w:hAnsi="方正兰亭黑简体" w:eastAsia="方正兰亭黑简体" w:cs="方正兰亭黑简体"/>
          <w:b/>
          <w:bCs/>
          <w:color w:val="auto"/>
          <w:sz w:val="24"/>
          <w:szCs w:val="32"/>
          <w:highlight w:val="none"/>
        </w:rPr>
      </w:pPr>
    </w:p>
    <w:p w14:paraId="74253C5E">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采购人：上海海事大学</w:t>
      </w:r>
    </w:p>
    <w:p w14:paraId="5389E340">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二〇二六年</w:t>
      </w:r>
      <w:r>
        <w:rPr>
          <w:rFonts w:hint="eastAsia" w:ascii="方正兰亭黑简体" w:hAnsi="方正兰亭黑简体" w:eastAsia="方正兰亭黑简体" w:cs="方正兰亭黑简体"/>
          <w:b/>
          <w:bCs/>
          <w:color w:val="auto"/>
          <w:sz w:val="24"/>
          <w:szCs w:val="32"/>
          <w:highlight w:val="none"/>
        </w:rPr>
        <w:t>十</w:t>
      </w:r>
      <w:r>
        <w:rPr>
          <w:rFonts w:hint="eastAsia" w:ascii="方正兰亭黑简体" w:hAnsi="方正兰亭黑简体" w:eastAsia="方正兰亭黑简体" w:cs="方正兰亭黑简体"/>
          <w:b/>
          <w:bCs/>
          <w:color w:val="auto"/>
          <w:sz w:val="24"/>
          <w:szCs w:val="32"/>
          <w:highlight w:val="none"/>
        </w:rPr>
        <w:t>月</w:t>
      </w:r>
    </w:p>
    <w:p w14:paraId="6BDFE6E3">
      <w:pP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br w:type="page"/>
      </w:r>
    </w:p>
    <w:p w14:paraId="07A98E1A">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第一章 比选公告</w:t>
      </w:r>
    </w:p>
    <w:p w14:paraId="0EBD23D6">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为公开、公正、公平地做好各项货物与服务的采购工作，进一步提高采购过程的透明度，有利于我校选择性价比更高的产品及更优质的服务，欢迎各供应单位本着务实友好的工作态度，积极参与，并做好成本核算，进行一次性报价。我校将本着公开、公正、公平的工作原则，对各供应单位所提供的资料，进行综合评议，择优选购。为确保本次比选采购项目采购工作的顺利开展，请各报价单位按照下述要求提供报价单等相关资料。具体要求及相关注意事项如下：</w:t>
      </w:r>
    </w:p>
    <w:p w14:paraId="0914788D">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一、项目基本情况</w:t>
      </w:r>
    </w:p>
    <w:p w14:paraId="7161685A">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项目编号：</w:t>
      </w:r>
      <w:r>
        <w:rPr>
          <w:rFonts w:hint="eastAsia" w:ascii="方正兰亭黑简体" w:hAnsi="方正兰亭黑简体" w:eastAsia="方正兰亭黑简体" w:cs="方正兰亭黑简体"/>
          <w:color w:val="auto"/>
          <w:sz w:val="22"/>
          <w:szCs w:val="28"/>
          <w:highlight w:val="none"/>
          <w:lang w:eastAsia="zh-CN"/>
        </w:rPr>
        <w:t>HFBX2026113</w:t>
      </w:r>
      <w:r>
        <w:rPr>
          <w:rFonts w:hint="eastAsia" w:ascii="方正兰亭黑简体" w:hAnsi="方正兰亭黑简体" w:eastAsia="方正兰亭黑简体" w:cs="方正兰亭黑简体"/>
          <w:color w:val="auto"/>
          <w:sz w:val="22"/>
          <w:szCs w:val="28"/>
          <w:highlight w:val="none"/>
        </w:rPr>
        <w:t>；</w:t>
      </w:r>
    </w:p>
    <w:p w14:paraId="40ED2833">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项目名称：</w:t>
      </w:r>
      <w:r>
        <w:rPr>
          <w:rFonts w:hint="eastAsia" w:ascii="方正兰亭黑简体" w:hAnsi="方正兰亭黑简体" w:eastAsia="方正兰亭黑简体" w:cs="方正兰亭黑简体"/>
          <w:color w:val="auto"/>
          <w:sz w:val="22"/>
          <w:szCs w:val="28"/>
          <w:highlight w:val="none"/>
        </w:rPr>
        <w:t>信息工程学院报告厅多联式空调系统更新采购项目</w:t>
      </w:r>
      <w:r>
        <w:rPr>
          <w:rFonts w:hint="eastAsia" w:ascii="方正兰亭黑简体" w:hAnsi="方正兰亭黑简体" w:eastAsia="方正兰亭黑简体" w:cs="方正兰亭黑简体"/>
          <w:color w:val="auto"/>
          <w:sz w:val="22"/>
          <w:szCs w:val="28"/>
          <w:highlight w:val="none"/>
        </w:rPr>
        <w:t>；</w:t>
      </w:r>
    </w:p>
    <w:p w14:paraId="652C0EC2">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采购方式：</w:t>
      </w:r>
      <w:r>
        <w:rPr>
          <w:rFonts w:hint="eastAsia" w:ascii="方正兰亭黑简体" w:hAnsi="方正兰亭黑简体" w:eastAsia="方正兰亭黑简体" w:cs="方正兰亭黑简体"/>
          <w:color w:val="auto"/>
          <w:sz w:val="22"/>
          <w:szCs w:val="28"/>
          <w:highlight w:val="none"/>
        </w:rPr>
        <w:t>学校比选</w:t>
      </w:r>
      <w:r>
        <w:rPr>
          <w:rFonts w:hint="eastAsia" w:ascii="方正兰亭黑简体" w:hAnsi="方正兰亭黑简体" w:eastAsia="方正兰亭黑简体" w:cs="方正兰亭黑简体"/>
          <w:color w:val="auto"/>
          <w:sz w:val="22"/>
          <w:szCs w:val="28"/>
          <w:highlight w:val="none"/>
        </w:rPr>
        <w:t>；</w:t>
      </w:r>
    </w:p>
    <w:p w14:paraId="663F0755">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预算金额（亦是最高限价）：</w:t>
      </w:r>
      <w:r>
        <w:rPr>
          <w:rFonts w:hint="eastAsia" w:ascii="方正兰亭黑简体" w:hAnsi="方正兰亭黑简体" w:eastAsia="方正兰亭黑简体" w:cs="方正兰亭黑简体"/>
          <w:color w:val="auto"/>
          <w:sz w:val="22"/>
          <w:szCs w:val="28"/>
          <w:highlight w:val="none"/>
        </w:rPr>
        <w:t>人民币18.6万元</w:t>
      </w:r>
      <w:r>
        <w:rPr>
          <w:rFonts w:hint="eastAsia" w:ascii="方正兰亭黑简体" w:hAnsi="方正兰亭黑简体" w:eastAsia="方正兰亭黑简体" w:cs="方正兰亭黑简体"/>
          <w:color w:val="auto"/>
          <w:sz w:val="22"/>
          <w:szCs w:val="28"/>
          <w:highlight w:val="none"/>
        </w:rPr>
        <w:t>；</w:t>
      </w:r>
    </w:p>
    <w:p w14:paraId="1B09466F">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采购需求：</w:t>
      </w:r>
      <w:r>
        <w:rPr>
          <w:rFonts w:hint="eastAsia" w:ascii="方正兰亭黑简体" w:hAnsi="方正兰亭黑简体" w:eastAsia="方正兰亭黑简体" w:cs="方正兰亭黑简体"/>
          <w:color w:val="auto"/>
          <w:sz w:val="22"/>
          <w:szCs w:val="28"/>
          <w:highlight w:val="none"/>
        </w:rPr>
        <w:t>本项目拟购置一批多联式空调系统，包括拆旧及安装调整。</w:t>
      </w:r>
      <w:r>
        <w:rPr>
          <w:rFonts w:hint="eastAsia" w:ascii="方正兰亭黑简体" w:hAnsi="方正兰亭黑简体" w:eastAsia="方正兰亭黑简体" w:cs="方正兰亭黑简体"/>
          <w:color w:val="auto"/>
          <w:sz w:val="22"/>
          <w:szCs w:val="28"/>
          <w:highlight w:val="none"/>
        </w:rPr>
        <w:t>（具体要求详见比选文件—第二章节采购需求）</w:t>
      </w:r>
    </w:p>
    <w:p w14:paraId="4DDFE225">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交付地址：</w:t>
      </w:r>
      <w:r>
        <w:rPr>
          <w:rFonts w:hint="eastAsia" w:ascii="方正兰亭黑简体" w:hAnsi="方正兰亭黑简体" w:eastAsia="方正兰亭黑简体" w:cs="方正兰亭黑简体"/>
          <w:color w:val="auto"/>
          <w:sz w:val="22"/>
          <w:szCs w:val="28"/>
          <w:highlight w:val="none"/>
        </w:rPr>
        <w:t>上海海事大学临港校区。</w:t>
      </w:r>
    </w:p>
    <w:p w14:paraId="20F38CC5">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交付时间：</w:t>
      </w:r>
      <w:r>
        <w:rPr>
          <w:rFonts w:hint="eastAsia" w:ascii="方正兰亭黑简体" w:hAnsi="方正兰亭黑简体" w:eastAsia="方正兰亭黑简体" w:cs="方正兰亭黑简体"/>
          <w:color w:val="auto"/>
          <w:sz w:val="22"/>
          <w:szCs w:val="28"/>
          <w:highlight w:val="none"/>
        </w:rPr>
        <w:t>合同签订后30日历天内完成旧设备及配套管道拆除、新设备供货、安装及调试、室内环境修复等，达到验收条件。</w:t>
      </w:r>
    </w:p>
    <w:p w14:paraId="3A6C278D">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质保期限：</w:t>
      </w:r>
      <w:r>
        <w:rPr>
          <w:rFonts w:hint="eastAsia" w:ascii="方正兰亭黑简体" w:hAnsi="方正兰亭黑简体" w:eastAsia="方正兰亭黑简体" w:cs="方正兰亭黑简体"/>
          <w:color w:val="auto"/>
          <w:sz w:val="22"/>
          <w:szCs w:val="28"/>
          <w:highlight w:val="none"/>
        </w:rPr>
        <w:t>质保期至少2年，质保期内原厂提供免费上门维护服务；</w:t>
      </w:r>
    </w:p>
    <w:p w14:paraId="623618B9">
      <w:pPr>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付款方式：</w:t>
      </w:r>
      <w:r>
        <w:rPr>
          <w:rFonts w:hint="eastAsia" w:ascii="方正兰亭黑简体" w:hAnsi="方正兰亭黑简体" w:eastAsia="方正兰亭黑简体" w:cs="方正兰亭黑简体"/>
          <w:color w:val="auto"/>
          <w:sz w:val="22"/>
          <w:szCs w:val="28"/>
          <w:highlight w:val="none"/>
        </w:rPr>
        <w:t>货到经甲方验收合格后的15天内，甲方支付合同全款。合同内全部款项均以“银行转账”方式予以支付。</w:t>
      </w:r>
    </w:p>
    <w:p w14:paraId="505F5C81">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二、报价人的资格要求</w:t>
      </w:r>
    </w:p>
    <w:p w14:paraId="756C9EE5">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1、符合《中华人民共和国政府采购法》第二十二条之供应商资格规定。</w:t>
      </w:r>
    </w:p>
    <w:p w14:paraId="6318B5D2">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2、供应商未被列入“信用中国”网站（www.creditchina.gov.cn）失信执行人名单、重大税收违法案件当事人名单和中国政府采购网（www.ccgp.gov.cn）政府严重违法失信行为记录名单的供应商。</w:t>
      </w:r>
    </w:p>
    <w:p w14:paraId="4604123B">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3、经营范围及拟投标货物（服务）符合本次比选要求，具有与本次投标货物（服务）相应的经营、代理（经销）资质，能全程参与并完成本项目，且具有较强的服务能力，以及畅通的问题响应机制和渠道等；</w:t>
      </w:r>
    </w:p>
    <w:p w14:paraId="253C2C37">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三、报名要求</w:t>
      </w:r>
    </w:p>
    <w:p w14:paraId="1078F819">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报名邮箱、时间：不单独组织报名，意向单位可在截止日期前递交响应文件。</w:t>
      </w:r>
    </w:p>
    <w:p w14:paraId="0BD2A0D1">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四、获取采购文件</w:t>
      </w:r>
    </w:p>
    <w:p w14:paraId="2A701B37">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获取方式：公告页面下方自行下载</w:t>
      </w:r>
    </w:p>
    <w:p w14:paraId="29D0C3AE">
      <w:pPr>
        <w:jc w:val="left"/>
        <w:rPr>
          <w:rFonts w:hint="eastAsia" w:ascii="方正兰亭黑简体" w:hAnsi="方正兰亭黑简体" w:eastAsia="方正兰亭黑简体" w:cs="方正兰亭黑简体"/>
          <w:b/>
          <w:bCs/>
          <w:color w:val="auto"/>
          <w:sz w:val="22"/>
          <w:szCs w:val="28"/>
          <w:highlight w:val="none"/>
        </w:rPr>
      </w:pPr>
      <w:bookmarkStart w:id="0" w:name="_Toc28359005"/>
      <w:r>
        <w:rPr>
          <w:rFonts w:hint="eastAsia" w:ascii="方正兰亭黑简体" w:hAnsi="方正兰亭黑简体" w:eastAsia="方正兰亭黑简体" w:cs="方正兰亭黑简体"/>
          <w:b/>
          <w:bCs/>
          <w:color w:val="auto"/>
          <w:sz w:val="22"/>
          <w:szCs w:val="28"/>
          <w:highlight w:val="none"/>
        </w:rPr>
        <w:t>五、现场踏勘</w:t>
      </w:r>
      <w:bookmarkEnd w:id="0"/>
    </w:p>
    <w:p w14:paraId="48EFB49D">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不组织。</w:t>
      </w:r>
    </w:p>
    <w:p w14:paraId="2EF0D309">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六、响应文件提交</w:t>
      </w:r>
    </w:p>
    <w:p w14:paraId="67DCDE9A">
      <w:pPr>
        <w:jc w:val="left"/>
        <w:rPr>
          <w:rFonts w:hint="eastAsia" w:ascii="方正兰亭黑简体" w:hAnsi="方正兰亭黑简体" w:eastAsia="方正兰亭黑简体" w:cs="方正兰亭黑简体"/>
          <w:color w:val="auto"/>
          <w:sz w:val="22"/>
          <w:szCs w:val="28"/>
          <w:highlight w:val="none"/>
        </w:rPr>
      </w:pPr>
      <w:bookmarkStart w:id="1" w:name="_Toc35393795"/>
      <w:bookmarkEnd w:id="1"/>
      <w:bookmarkStart w:id="2" w:name="_Toc35393626"/>
      <w:r>
        <w:rPr>
          <w:rFonts w:hint="eastAsia" w:ascii="方正兰亭黑简体" w:hAnsi="方正兰亭黑简体" w:eastAsia="方正兰亭黑简体" w:cs="方正兰亭黑简体"/>
          <w:color w:val="auto"/>
          <w:sz w:val="22"/>
          <w:szCs w:val="28"/>
          <w:highlight w:val="none"/>
        </w:rPr>
        <w:t>截止</w:t>
      </w:r>
      <w:bookmarkEnd w:id="2"/>
      <w:r>
        <w:rPr>
          <w:rFonts w:hint="eastAsia" w:ascii="方正兰亭黑简体" w:hAnsi="方正兰亭黑简体" w:eastAsia="方正兰亭黑简体" w:cs="方正兰亭黑简体"/>
          <w:color w:val="auto"/>
          <w:sz w:val="22"/>
          <w:szCs w:val="28"/>
          <w:highlight w:val="none"/>
        </w:rPr>
        <w:t>时间：2026年11月3日（周二）上午11时00分</w:t>
      </w:r>
    </w:p>
    <w:p w14:paraId="1F54AE1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提交方式：发送盖章扫描版PDF到指定邮箱，邮件名称：项目编号+公司名称</w:t>
      </w:r>
    </w:p>
    <w:p w14:paraId="0EA74A4D">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邮箱地址：quotation@shmtu.edu.cn</w:t>
      </w:r>
    </w:p>
    <w:p w14:paraId="42DA2A50">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七、其他补充事宜</w:t>
      </w:r>
    </w:p>
    <w:p w14:paraId="46961DB2">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1.中标结果将通过发布比选公告的媒介进行公示，公示期为1个工作日，公示期内如对中标结果有异议可向校方提出书面质疑。</w:t>
      </w:r>
      <w:bookmarkStart w:id="3" w:name="_Toc35393627"/>
    </w:p>
    <w:p w14:paraId="07FE1F51">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2.</w:t>
      </w:r>
      <w:bookmarkEnd w:id="3"/>
      <w:r>
        <w:rPr>
          <w:rFonts w:hint="eastAsia" w:ascii="方正兰亭黑简体" w:hAnsi="方正兰亭黑简体" w:eastAsia="方正兰亭黑简体" w:cs="方正兰亭黑简体"/>
          <w:color w:val="auto"/>
          <w:sz w:val="22"/>
          <w:szCs w:val="28"/>
          <w:highlight w:val="none"/>
        </w:rPr>
        <w:t>凡对本次采购提出询问，请按以下方式联系：</w:t>
      </w:r>
    </w:p>
    <w:p w14:paraId="3B041E3F">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商务信息：仲老师021-38284707</w:t>
      </w:r>
    </w:p>
    <w:p w14:paraId="28093D17">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技术信息：</w:t>
      </w:r>
      <w:r>
        <w:rPr>
          <w:rFonts w:hint="eastAsia" w:ascii="方正兰亭黑简体" w:hAnsi="方正兰亭黑简体" w:eastAsia="方正兰亭黑简体" w:cs="方正兰亭黑简体"/>
          <w:color w:val="auto"/>
          <w:sz w:val="22"/>
          <w:szCs w:val="28"/>
          <w:highlight w:val="none"/>
        </w:rPr>
        <w:t>刘老师021-38283007</w:t>
      </w:r>
    </w:p>
    <w:p w14:paraId="05796BE8">
      <w:pP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br w:type="page"/>
      </w:r>
    </w:p>
    <w:p w14:paraId="1E2D60E0">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第二章 采购需求</w:t>
      </w:r>
    </w:p>
    <w:p w14:paraId="4DEA30B0">
      <w:pPr>
        <w:rPr>
          <w:rFonts w:ascii="Times New Roman" w:hAnsi="Times New Roman" w:eastAsia="方正兰亭黑简体" w:cs="Times New Roman"/>
          <w:b/>
          <w:bCs/>
          <w:color w:val="auto"/>
          <w:sz w:val="22"/>
          <w:szCs w:val="22"/>
          <w:highlight w:val="none"/>
        </w:rPr>
      </w:pPr>
      <w:r>
        <w:rPr>
          <w:rFonts w:hint="eastAsia" w:ascii="Times New Roman" w:hAnsi="Times New Roman" w:eastAsia="方正兰亭黑简体" w:cs="Times New Roman"/>
          <w:b/>
          <w:bCs/>
          <w:color w:val="auto"/>
          <w:sz w:val="22"/>
          <w:szCs w:val="22"/>
          <w:highlight w:val="none"/>
        </w:rPr>
        <w:t>一、项目概况</w:t>
      </w:r>
    </w:p>
    <w:p w14:paraId="2C5ABC6F">
      <w:pPr>
        <w:widowControl/>
        <w:shd w:val="clear" w:color="auto" w:fill="FFFFFF"/>
        <w:spacing w:line="360" w:lineRule="auto"/>
        <w:jc w:val="left"/>
        <w:rPr>
          <w:rFonts w:ascii="Times New Roman" w:hAnsi="Times New Roman" w:eastAsia="方正兰亭黑简体" w:cs="Times New Roman"/>
          <w:color w:val="auto"/>
          <w:kern w:val="0"/>
          <w:sz w:val="22"/>
          <w:szCs w:val="22"/>
          <w:highlight w:val="none"/>
        </w:rPr>
      </w:pPr>
      <w:r>
        <w:rPr>
          <w:rFonts w:ascii="Times New Roman" w:hAnsi="Times New Roman" w:eastAsia="方正兰亭黑简体" w:cs="Times New Roman"/>
          <w:color w:val="auto"/>
          <w:kern w:val="0"/>
          <w:sz w:val="22"/>
          <w:szCs w:val="22"/>
          <w:highlight w:val="none"/>
        </w:rPr>
        <w:t>本项目为多联式空调系统采购及安装工程，工作内容如下：</w:t>
      </w:r>
    </w:p>
    <w:p w14:paraId="2FFBC8C4">
      <w:pPr>
        <w:widowControl/>
        <w:shd w:val="clear" w:color="auto" w:fill="FFFFFF"/>
        <w:spacing w:line="360" w:lineRule="auto"/>
        <w:jc w:val="left"/>
        <w:rPr>
          <w:rFonts w:ascii="Times New Roman" w:hAnsi="Times New Roman" w:eastAsia="方正兰亭黑简体" w:cs="Times New Roman"/>
          <w:color w:val="auto"/>
          <w:kern w:val="0"/>
          <w:sz w:val="22"/>
          <w:szCs w:val="22"/>
          <w:highlight w:val="none"/>
        </w:rPr>
      </w:pPr>
      <w:r>
        <w:rPr>
          <w:rFonts w:ascii="Times New Roman" w:hAnsi="Times New Roman" w:eastAsia="方正兰亭黑简体" w:cs="Times New Roman"/>
          <w:color w:val="auto"/>
          <w:kern w:val="0"/>
          <w:sz w:val="22"/>
          <w:szCs w:val="22"/>
          <w:highlight w:val="none"/>
        </w:rPr>
        <w:t>1.原有</w:t>
      </w:r>
      <w:bookmarkStart w:id="4" w:name="OLE_LINK6"/>
      <w:r>
        <w:rPr>
          <w:rFonts w:ascii="Times New Roman" w:hAnsi="Times New Roman" w:eastAsia="方正兰亭黑简体" w:cs="Times New Roman"/>
          <w:color w:val="auto"/>
          <w:kern w:val="0"/>
          <w:sz w:val="22"/>
          <w:szCs w:val="22"/>
          <w:highlight w:val="none"/>
        </w:rPr>
        <w:t>旧设备及配套管道拆除</w:t>
      </w:r>
      <w:bookmarkEnd w:id="4"/>
      <w:r>
        <w:rPr>
          <w:rFonts w:ascii="Times New Roman" w:hAnsi="Times New Roman" w:eastAsia="方正兰亭黑简体" w:cs="Times New Roman"/>
          <w:color w:val="auto"/>
          <w:kern w:val="0"/>
          <w:sz w:val="22"/>
          <w:szCs w:val="22"/>
          <w:highlight w:val="none"/>
        </w:rPr>
        <w:t>；新安装2套多联式空调系统，包含2台顶出风式室外机、8台四面出风嵌入式室内机。工作范围含空调设备就位、室内外机安装、室外配电柜安装、供电线缆敷设、桥架安装、冷媒铜管安装、冷凝排水管路安装、系统压力检测、整机开机调试等全部相关工作。</w:t>
      </w:r>
    </w:p>
    <w:p w14:paraId="6951C3E5">
      <w:pPr>
        <w:widowControl/>
        <w:shd w:val="clear" w:color="auto" w:fill="FFFFFF"/>
        <w:spacing w:line="360" w:lineRule="auto"/>
        <w:jc w:val="left"/>
        <w:rPr>
          <w:rFonts w:ascii="Times New Roman" w:hAnsi="Times New Roman" w:eastAsia="方正兰亭黑简体" w:cs="Times New Roman"/>
          <w:color w:val="auto"/>
          <w:kern w:val="0"/>
          <w:sz w:val="22"/>
          <w:szCs w:val="22"/>
          <w:highlight w:val="none"/>
        </w:rPr>
      </w:pPr>
      <w:r>
        <w:rPr>
          <w:rFonts w:hint="eastAsia" w:ascii="Times New Roman" w:hAnsi="Times New Roman" w:eastAsia="方正兰亭黑简体" w:cs="Times New Roman"/>
          <w:color w:val="auto"/>
          <w:kern w:val="0"/>
          <w:sz w:val="22"/>
          <w:szCs w:val="22"/>
          <w:highlight w:val="none"/>
        </w:rPr>
        <w:t>2</w:t>
      </w:r>
      <w:r>
        <w:rPr>
          <w:rFonts w:ascii="Times New Roman" w:hAnsi="Times New Roman" w:eastAsia="方正兰亭黑简体" w:cs="Times New Roman"/>
          <w:color w:val="auto"/>
          <w:kern w:val="0"/>
          <w:sz w:val="22"/>
          <w:szCs w:val="22"/>
          <w:highlight w:val="none"/>
        </w:rPr>
        <w:t>.售后服务质保期不少于2年，由各投标单位自行填报；质保期内，对交付设备及系统正常运行过程中出现的故障提供免费保修服务。</w:t>
      </w:r>
    </w:p>
    <w:p w14:paraId="00D506FB">
      <w:pPr>
        <w:widowControl/>
        <w:shd w:val="clear" w:color="auto" w:fill="FFFFFF"/>
        <w:spacing w:line="360" w:lineRule="auto"/>
        <w:jc w:val="left"/>
        <w:rPr>
          <w:rFonts w:ascii="Times New Roman" w:hAnsi="Times New Roman" w:eastAsia="方正兰亭黑简体" w:cs="Times New Roman"/>
          <w:color w:val="auto"/>
          <w:kern w:val="0"/>
          <w:sz w:val="22"/>
          <w:szCs w:val="22"/>
          <w:highlight w:val="none"/>
        </w:rPr>
      </w:pPr>
    </w:p>
    <w:p w14:paraId="0779760C">
      <w:pPr>
        <w:rPr>
          <w:rFonts w:ascii="Times New Roman" w:hAnsi="Times New Roman" w:eastAsia="方正兰亭黑简体" w:cs="Times New Roman"/>
          <w:b/>
          <w:bCs/>
          <w:color w:val="auto"/>
          <w:sz w:val="22"/>
          <w:szCs w:val="22"/>
          <w:highlight w:val="none"/>
        </w:rPr>
      </w:pPr>
      <w:r>
        <w:rPr>
          <w:rFonts w:hint="eastAsia" w:ascii="Times New Roman" w:hAnsi="Times New Roman" w:eastAsia="方正兰亭黑简体" w:cs="Times New Roman"/>
          <w:b/>
          <w:bCs/>
          <w:color w:val="auto"/>
          <w:sz w:val="22"/>
          <w:szCs w:val="22"/>
          <w:highlight w:val="none"/>
        </w:rPr>
        <w:t>二、货物清单及规格参数</w:t>
      </w:r>
    </w:p>
    <w:tbl>
      <w:tblPr>
        <w:tblStyle w:val="26"/>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42"/>
        <w:gridCol w:w="2025"/>
        <w:gridCol w:w="5517"/>
        <w:gridCol w:w="791"/>
        <w:gridCol w:w="663"/>
      </w:tblGrid>
      <w:tr w14:paraId="04DF60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8" w:hRule="atLeast"/>
        </w:trPr>
        <w:tc>
          <w:tcPr>
            <w:tcW w:w="381" w:type="pct"/>
            <w:tcBorders>
              <w:top w:val="single" w:color="auto" w:sz="4" w:space="0"/>
              <w:left w:val="single" w:color="auto" w:sz="4" w:space="0"/>
              <w:bottom w:val="single" w:color="auto" w:sz="4" w:space="0"/>
              <w:right w:val="single" w:color="auto" w:sz="4" w:space="0"/>
            </w:tcBorders>
            <w:vAlign w:val="center"/>
          </w:tcPr>
          <w:p w14:paraId="59B259F0">
            <w:pPr>
              <w:spacing w:before="4" w:line="360" w:lineRule="auto"/>
              <w:jc w:val="center"/>
              <w:rPr>
                <w:rFonts w:ascii="Times New Roman" w:hAnsi="Times New Roman" w:eastAsia="方正兰亭黑简体" w:cs="Times New Roman"/>
                <w:b/>
                <w:bCs/>
                <w:color w:val="auto"/>
                <w:spacing w:val="-5"/>
                <w:szCs w:val="21"/>
                <w:highlight w:val="none"/>
              </w:rPr>
            </w:pPr>
            <w:r>
              <w:rPr>
                <w:rFonts w:hint="eastAsia" w:ascii="Times New Roman" w:hAnsi="Times New Roman" w:eastAsia="方正兰亭黑简体" w:cs="Times New Roman"/>
                <w:b/>
                <w:bCs/>
                <w:color w:val="auto"/>
                <w:spacing w:val="-5"/>
                <w:szCs w:val="21"/>
                <w:highlight w:val="none"/>
              </w:rPr>
              <w:t>序号</w:t>
            </w:r>
          </w:p>
        </w:tc>
        <w:tc>
          <w:tcPr>
            <w:tcW w:w="1039" w:type="pct"/>
            <w:tcBorders>
              <w:top w:val="single" w:color="auto" w:sz="4" w:space="0"/>
              <w:left w:val="single" w:color="auto" w:sz="4" w:space="0"/>
              <w:bottom w:val="single" w:color="auto" w:sz="4" w:space="0"/>
              <w:right w:val="single" w:color="auto" w:sz="4" w:space="0"/>
            </w:tcBorders>
            <w:vAlign w:val="center"/>
          </w:tcPr>
          <w:p w14:paraId="2A313EA4">
            <w:pPr>
              <w:spacing w:before="4" w:line="360" w:lineRule="auto"/>
              <w:jc w:val="center"/>
              <w:rPr>
                <w:rFonts w:ascii="Times New Roman" w:hAnsi="Times New Roman" w:eastAsia="方正兰亭黑简体" w:cs="Times New Roman"/>
                <w:b/>
                <w:bCs/>
                <w:color w:val="auto"/>
                <w:spacing w:val="-5"/>
                <w:szCs w:val="21"/>
                <w:highlight w:val="none"/>
              </w:rPr>
            </w:pPr>
            <w:r>
              <w:rPr>
                <w:rFonts w:ascii="Times New Roman" w:hAnsi="Times New Roman" w:eastAsia="方正兰亭黑简体" w:cs="Times New Roman"/>
                <w:b/>
                <w:bCs/>
                <w:color w:val="auto"/>
                <w:spacing w:val="-5"/>
                <w:szCs w:val="21"/>
                <w:highlight w:val="none"/>
              </w:rPr>
              <w:t>名称</w:t>
            </w:r>
          </w:p>
        </w:tc>
        <w:tc>
          <w:tcPr>
            <w:tcW w:w="2831" w:type="pct"/>
            <w:tcBorders>
              <w:top w:val="single" w:color="auto" w:sz="4" w:space="0"/>
              <w:left w:val="single" w:color="auto" w:sz="4" w:space="0"/>
              <w:bottom w:val="single" w:color="auto" w:sz="4" w:space="0"/>
              <w:right w:val="single" w:color="auto" w:sz="4" w:space="0"/>
            </w:tcBorders>
            <w:vAlign w:val="center"/>
          </w:tcPr>
          <w:p w14:paraId="3E3CF1B2">
            <w:pPr>
              <w:pStyle w:val="25"/>
              <w:spacing w:before="30" w:line="360" w:lineRule="auto"/>
              <w:jc w:val="center"/>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b/>
                <w:bCs/>
                <w:color w:val="auto"/>
                <w:spacing w:val="-3"/>
                <w:highlight w:val="none"/>
                <w:lang w:eastAsia="zh-CN"/>
              </w:rPr>
              <w:t>主要技术参数及工作内容</w:t>
            </w:r>
          </w:p>
        </w:tc>
        <w:tc>
          <w:tcPr>
            <w:tcW w:w="406" w:type="pct"/>
            <w:tcBorders>
              <w:top w:val="single" w:color="auto" w:sz="4" w:space="0"/>
              <w:left w:val="single" w:color="auto" w:sz="4" w:space="0"/>
              <w:bottom w:val="single" w:color="auto" w:sz="4" w:space="0"/>
              <w:right w:val="single" w:color="auto" w:sz="4" w:space="0"/>
            </w:tcBorders>
            <w:vAlign w:val="center"/>
          </w:tcPr>
          <w:p w14:paraId="43110484">
            <w:pPr>
              <w:spacing w:before="4" w:line="360" w:lineRule="auto"/>
              <w:jc w:val="center"/>
              <w:rPr>
                <w:rFonts w:ascii="Times New Roman" w:hAnsi="Times New Roman" w:eastAsia="方正兰亭黑简体" w:cs="Times New Roman"/>
                <w:color w:val="auto"/>
                <w:szCs w:val="21"/>
                <w:highlight w:val="none"/>
              </w:rPr>
            </w:pPr>
            <w:r>
              <w:rPr>
                <w:rFonts w:ascii="Times New Roman" w:hAnsi="Times New Roman" w:eastAsia="方正兰亭黑简体" w:cs="Times New Roman"/>
                <w:b/>
                <w:bCs/>
                <w:color w:val="auto"/>
                <w:spacing w:val="-5"/>
                <w:szCs w:val="21"/>
                <w:highlight w:val="none"/>
              </w:rPr>
              <w:t>单位</w:t>
            </w:r>
          </w:p>
        </w:tc>
        <w:tc>
          <w:tcPr>
            <w:tcW w:w="340" w:type="pct"/>
            <w:tcBorders>
              <w:top w:val="single" w:color="auto" w:sz="4" w:space="0"/>
              <w:left w:val="single" w:color="auto" w:sz="4" w:space="0"/>
              <w:bottom w:val="single" w:color="auto" w:sz="4" w:space="0"/>
              <w:right w:val="single" w:color="auto" w:sz="4" w:space="0"/>
            </w:tcBorders>
            <w:vAlign w:val="center"/>
          </w:tcPr>
          <w:p w14:paraId="7EE72766">
            <w:pPr>
              <w:spacing w:before="4" w:line="360" w:lineRule="auto"/>
              <w:jc w:val="center"/>
              <w:rPr>
                <w:rFonts w:ascii="Times New Roman" w:hAnsi="Times New Roman" w:eastAsia="方正兰亭黑简体" w:cs="Times New Roman"/>
                <w:color w:val="auto"/>
                <w:szCs w:val="21"/>
                <w:highlight w:val="none"/>
              </w:rPr>
            </w:pPr>
            <w:r>
              <w:rPr>
                <w:rFonts w:ascii="Times New Roman" w:hAnsi="Times New Roman" w:eastAsia="方正兰亭黑简体" w:cs="Times New Roman"/>
                <w:b/>
                <w:bCs/>
                <w:color w:val="auto"/>
                <w:spacing w:val="-5"/>
                <w:szCs w:val="21"/>
                <w:highlight w:val="none"/>
              </w:rPr>
              <w:t>数量</w:t>
            </w:r>
          </w:p>
        </w:tc>
      </w:tr>
      <w:tr w14:paraId="3E382C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381" w:type="pct"/>
            <w:tcBorders>
              <w:top w:val="single" w:color="auto" w:sz="4" w:space="0"/>
            </w:tcBorders>
            <w:vAlign w:val="center"/>
          </w:tcPr>
          <w:p w14:paraId="0873BCA5">
            <w:pPr>
              <w:pStyle w:val="25"/>
              <w:spacing w:before="68" w:line="360" w:lineRule="auto"/>
              <w:jc w:val="center"/>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1</w:t>
            </w:r>
          </w:p>
        </w:tc>
        <w:tc>
          <w:tcPr>
            <w:tcW w:w="1039" w:type="pct"/>
            <w:tcBorders>
              <w:top w:val="single" w:color="auto" w:sz="4" w:space="0"/>
            </w:tcBorders>
            <w:vAlign w:val="center"/>
          </w:tcPr>
          <w:p w14:paraId="5B18C016">
            <w:pPr>
              <w:pStyle w:val="25"/>
              <w:spacing w:before="68" w:line="360" w:lineRule="auto"/>
              <w:jc w:val="center"/>
              <w:rPr>
                <w:rFonts w:ascii="Times New Roman" w:hAnsi="Times New Roman" w:eastAsia="方正兰亭黑简体" w:cs="Times New Roman"/>
                <w:color w:val="auto"/>
                <w:highlight w:val="none"/>
              </w:rPr>
            </w:pPr>
            <w:r>
              <w:rPr>
                <w:rFonts w:ascii="Times New Roman" w:hAnsi="Times New Roman" w:eastAsia="方正兰亭黑简体" w:cs="Times New Roman"/>
                <w:color w:val="auto"/>
                <w:spacing w:val="-2"/>
                <w:highlight w:val="none"/>
              </w:rPr>
              <w:t>多联式空调室外机</w:t>
            </w:r>
          </w:p>
        </w:tc>
        <w:tc>
          <w:tcPr>
            <w:tcW w:w="2831" w:type="pct"/>
            <w:tcBorders>
              <w:top w:val="single" w:color="auto" w:sz="4" w:space="0"/>
            </w:tcBorders>
            <w:vAlign w:val="center"/>
          </w:tcPr>
          <w:p w14:paraId="5F8DE408">
            <w:pPr>
              <w:pStyle w:val="25"/>
              <w:spacing w:line="360" w:lineRule="auto"/>
              <w:ind w:left="11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spacing w:val="-8"/>
                <w:highlight w:val="none"/>
                <w:lang w:eastAsia="zh-CN"/>
              </w:rPr>
              <w:t>额定制冷量≥40KW★；</w:t>
            </w:r>
          </w:p>
          <w:p w14:paraId="6171F127">
            <w:pPr>
              <w:pStyle w:val="25"/>
              <w:spacing w:line="360" w:lineRule="auto"/>
              <w:ind w:left="11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spacing w:val="-8"/>
                <w:highlight w:val="none"/>
                <w:lang w:eastAsia="zh-CN"/>
              </w:rPr>
              <w:t>额定制热量≥40KW★；</w:t>
            </w:r>
          </w:p>
          <w:p w14:paraId="6B3D54BC">
            <w:pPr>
              <w:pStyle w:val="25"/>
              <w:spacing w:line="360" w:lineRule="auto"/>
              <w:ind w:left="107"/>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spacing w:val="-6"/>
                <w:highlight w:val="none"/>
                <w:lang w:eastAsia="zh-CN"/>
              </w:rPr>
              <w:t>APF数值≥4.5</w:t>
            </w:r>
            <w:r>
              <w:rPr>
                <w:rFonts w:ascii="Times New Roman" w:hAnsi="Times New Roman" w:eastAsia="方正兰亭黑简体" w:cs="Times New Roman"/>
                <w:color w:val="auto"/>
                <w:spacing w:val="-8"/>
                <w:highlight w:val="none"/>
                <w:lang w:eastAsia="zh-CN"/>
              </w:rPr>
              <w:t>★</w:t>
            </w:r>
            <w:r>
              <w:rPr>
                <w:rFonts w:ascii="Times New Roman" w:hAnsi="Times New Roman" w:eastAsia="方正兰亭黑简体" w:cs="Times New Roman"/>
                <w:color w:val="auto"/>
                <w:spacing w:val="-6"/>
                <w:highlight w:val="none"/>
                <w:lang w:eastAsia="zh-CN"/>
              </w:rPr>
              <w:t>；</w:t>
            </w:r>
          </w:p>
          <w:p w14:paraId="2AE89BE5">
            <w:pPr>
              <w:pStyle w:val="25"/>
              <w:spacing w:line="360" w:lineRule="auto"/>
              <w:ind w:left="113"/>
              <w:jc w:val="left"/>
              <w:rPr>
                <w:rFonts w:ascii="Times New Roman" w:hAnsi="Times New Roman" w:eastAsia="方正兰亭黑简体" w:cs="Times New Roman"/>
                <w:color w:val="auto"/>
                <w:spacing w:val="-5"/>
                <w:highlight w:val="none"/>
                <w:lang w:eastAsia="zh-CN"/>
              </w:rPr>
            </w:pPr>
            <w:r>
              <w:rPr>
                <w:rFonts w:ascii="Times New Roman" w:hAnsi="Times New Roman" w:eastAsia="方正兰亭黑简体" w:cs="Times New Roman"/>
                <w:color w:val="auto"/>
                <w:spacing w:val="-5"/>
                <w:highlight w:val="none"/>
                <w:lang w:eastAsia="zh-CN"/>
              </w:rPr>
              <w:t>额定风量≥11000m3/h；</w:t>
            </w:r>
          </w:p>
          <w:p w14:paraId="38B173BD">
            <w:pPr>
              <w:pStyle w:val="25"/>
              <w:spacing w:line="360" w:lineRule="auto"/>
              <w:ind w:left="123"/>
              <w:jc w:val="left"/>
              <w:rPr>
                <w:rFonts w:ascii="Times New Roman" w:hAnsi="Times New Roman" w:eastAsia="方正兰亭黑简体" w:cs="Times New Roman"/>
                <w:color w:val="auto"/>
                <w:spacing w:val="-5"/>
                <w:highlight w:val="none"/>
                <w:lang w:eastAsia="zh-CN"/>
              </w:rPr>
            </w:pPr>
            <w:r>
              <w:rPr>
                <w:rFonts w:ascii="Times New Roman" w:hAnsi="Times New Roman" w:eastAsia="方正兰亭黑简体" w:cs="Times New Roman"/>
                <w:color w:val="auto"/>
                <w:highlight w:val="none"/>
                <w:lang w:eastAsia="zh-CN"/>
              </w:rPr>
              <w:t>电功率：</w:t>
            </w:r>
            <w:r>
              <w:rPr>
                <w:rFonts w:ascii="Times New Roman" w:hAnsi="Times New Roman" w:eastAsia="方正兰亭黑简体" w:cs="Times New Roman"/>
                <w:color w:val="auto"/>
                <w:spacing w:val="-3"/>
                <w:highlight w:val="none"/>
                <w:lang w:eastAsia="zh-CN"/>
              </w:rPr>
              <w:t>≤11.5KW★</w:t>
            </w:r>
            <w:r>
              <w:rPr>
                <w:rFonts w:ascii="Times New Roman" w:hAnsi="Times New Roman" w:eastAsia="方正兰亭黑简体" w:cs="Times New Roman"/>
                <w:color w:val="auto"/>
                <w:highlight w:val="none"/>
                <w:lang w:eastAsia="zh-CN"/>
              </w:rPr>
              <w:t>；</w:t>
            </w:r>
          </w:p>
          <w:p w14:paraId="0AB1E172">
            <w:pPr>
              <w:pStyle w:val="25"/>
              <w:spacing w:line="360" w:lineRule="auto"/>
              <w:ind w:left="114"/>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spacing w:val="-8"/>
                <w:highlight w:val="none"/>
                <w:lang w:eastAsia="zh-CN"/>
              </w:rPr>
              <w:t>静压≥80Pa；</w:t>
            </w:r>
          </w:p>
          <w:p w14:paraId="65228656">
            <w:pPr>
              <w:pStyle w:val="25"/>
              <w:spacing w:line="360" w:lineRule="auto"/>
              <w:ind w:left="123"/>
              <w:jc w:val="left"/>
              <w:rPr>
                <w:rFonts w:ascii="Times New Roman" w:hAnsi="Times New Roman" w:eastAsia="方正兰亭黑简体" w:cs="Times New Roman"/>
                <w:color w:val="auto"/>
                <w:spacing w:val="-3"/>
                <w:highlight w:val="none"/>
                <w:lang w:eastAsia="zh-CN"/>
              </w:rPr>
            </w:pPr>
            <w:r>
              <w:rPr>
                <w:rFonts w:ascii="Times New Roman" w:hAnsi="Times New Roman" w:eastAsia="方正兰亭黑简体" w:cs="Times New Roman"/>
                <w:color w:val="auto"/>
                <w:spacing w:val="-3"/>
                <w:highlight w:val="none"/>
                <w:lang w:eastAsia="zh-CN"/>
              </w:rPr>
              <w:t>噪音≤62dB(A)★；</w:t>
            </w:r>
          </w:p>
          <w:p w14:paraId="298B7C3C">
            <w:pPr>
              <w:pStyle w:val="25"/>
              <w:spacing w:line="360" w:lineRule="auto"/>
              <w:ind w:left="123"/>
              <w:jc w:val="left"/>
              <w:rPr>
                <w:rFonts w:ascii="Times New Roman" w:hAnsi="Times New Roman" w:eastAsia="方正兰亭黑简体" w:cs="Times New Roman"/>
                <w:color w:val="auto"/>
                <w:spacing w:val="-3"/>
                <w:highlight w:val="none"/>
                <w:lang w:eastAsia="zh-CN"/>
              </w:rPr>
            </w:pPr>
            <w:r>
              <w:rPr>
                <w:rFonts w:ascii="Times New Roman" w:hAnsi="Times New Roman" w:eastAsia="方正兰亭黑简体" w:cs="Times New Roman"/>
                <w:color w:val="auto"/>
                <w:spacing w:val="-3"/>
                <w:highlight w:val="none"/>
                <w:lang w:eastAsia="zh-CN"/>
              </w:rPr>
              <w:t>报价要求:室外机连接至室内机配套线缆、防雷接地、支架及配件等考虑在单价中；</w:t>
            </w:r>
          </w:p>
          <w:p w14:paraId="6729DA58">
            <w:pPr>
              <w:pStyle w:val="25"/>
              <w:spacing w:line="360" w:lineRule="auto"/>
              <w:ind w:left="123"/>
              <w:jc w:val="left"/>
              <w:rPr>
                <w:rFonts w:ascii="Times New Roman" w:hAnsi="Times New Roman" w:eastAsia="方正兰亭黑简体" w:cs="Times New Roman"/>
                <w:b/>
                <w:bCs/>
                <w:color w:val="auto"/>
                <w:spacing w:val="-3"/>
                <w:highlight w:val="none"/>
                <w:lang w:eastAsia="zh-CN"/>
              </w:rPr>
            </w:pPr>
            <w:r>
              <w:rPr>
                <w:rFonts w:ascii="Times New Roman" w:hAnsi="Times New Roman" w:eastAsia="方正兰亭黑简体" w:cs="Times New Roman"/>
                <w:b/>
                <w:bCs/>
                <w:color w:val="auto"/>
                <w:spacing w:val="-3"/>
                <w:highlight w:val="none"/>
                <w:lang w:eastAsia="zh-CN"/>
              </w:rPr>
              <w:t>品牌：三菱电机、大金、东芝、日立</w:t>
            </w:r>
          </w:p>
        </w:tc>
        <w:tc>
          <w:tcPr>
            <w:tcW w:w="406" w:type="pct"/>
            <w:tcBorders>
              <w:top w:val="single" w:color="auto" w:sz="4" w:space="0"/>
            </w:tcBorders>
            <w:vAlign w:val="center"/>
          </w:tcPr>
          <w:p w14:paraId="4BAA45EC">
            <w:pPr>
              <w:pStyle w:val="25"/>
              <w:spacing w:before="68" w:line="360" w:lineRule="auto"/>
              <w:jc w:val="center"/>
              <w:rPr>
                <w:rFonts w:ascii="Times New Roman" w:hAnsi="Times New Roman" w:eastAsia="方正兰亭黑简体" w:cs="Times New Roman"/>
                <w:color w:val="auto"/>
                <w:highlight w:val="none"/>
              </w:rPr>
            </w:pPr>
            <w:r>
              <w:rPr>
                <w:rFonts w:ascii="Times New Roman" w:hAnsi="Times New Roman" w:eastAsia="方正兰亭黑简体" w:cs="Times New Roman"/>
                <w:color w:val="auto"/>
                <w:highlight w:val="none"/>
              </w:rPr>
              <w:t>台</w:t>
            </w:r>
          </w:p>
        </w:tc>
        <w:tc>
          <w:tcPr>
            <w:tcW w:w="340" w:type="pct"/>
            <w:tcBorders>
              <w:top w:val="single" w:color="auto" w:sz="4" w:space="0"/>
            </w:tcBorders>
            <w:vAlign w:val="center"/>
          </w:tcPr>
          <w:p w14:paraId="5E495469">
            <w:pPr>
              <w:pStyle w:val="25"/>
              <w:spacing w:before="68" w:line="360" w:lineRule="auto"/>
              <w:jc w:val="center"/>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2</w:t>
            </w:r>
          </w:p>
        </w:tc>
      </w:tr>
      <w:tr w14:paraId="54279B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381" w:type="pct"/>
            <w:vAlign w:val="center"/>
          </w:tcPr>
          <w:p w14:paraId="0C156A05">
            <w:pPr>
              <w:pStyle w:val="25"/>
              <w:spacing w:before="68" w:line="360" w:lineRule="auto"/>
              <w:jc w:val="center"/>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2</w:t>
            </w:r>
          </w:p>
        </w:tc>
        <w:tc>
          <w:tcPr>
            <w:tcW w:w="1039" w:type="pct"/>
            <w:vAlign w:val="center"/>
          </w:tcPr>
          <w:p w14:paraId="2C90FE83">
            <w:pPr>
              <w:pStyle w:val="25"/>
              <w:spacing w:before="68" w:line="360" w:lineRule="auto"/>
              <w:jc w:val="center"/>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spacing w:val="-2"/>
                <w:highlight w:val="none"/>
                <w:lang w:eastAsia="zh-CN"/>
              </w:rPr>
              <w:t>四面出风嵌入式空调室内机</w:t>
            </w:r>
          </w:p>
        </w:tc>
        <w:tc>
          <w:tcPr>
            <w:tcW w:w="2831" w:type="pct"/>
            <w:vAlign w:val="center"/>
          </w:tcPr>
          <w:p w14:paraId="5180A003">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额定制冷量≥10KW★；</w:t>
            </w:r>
          </w:p>
          <w:p w14:paraId="4E876450">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额定制热量≥11.2KW；</w:t>
            </w:r>
          </w:p>
          <w:p w14:paraId="3B202702">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额定风量≥1350m3/</w:t>
            </w:r>
            <w:r>
              <w:rPr>
                <w:rFonts w:ascii="Times New Roman" w:hAnsi="Times New Roman" w:eastAsia="方正兰亭黑简体" w:cs="Times New Roman"/>
                <w:color w:val="auto"/>
                <w:spacing w:val="-5"/>
                <w:highlight w:val="none"/>
                <w:lang w:eastAsia="zh-CN"/>
              </w:rPr>
              <w:t>h</w:t>
            </w:r>
            <w:r>
              <w:rPr>
                <w:rFonts w:ascii="Times New Roman" w:hAnsi="Times New Roman" w:eastAsia="方正兰亭黑简体" w:cs="Times New Roman"/>
                <w:color w:val="auto"/>
                <w:highlight w:val="none"/>
                <w:lang w:eastAsia="zh-CN"/>
              </w:rPr>
              <w:t>；</w:t>
            </w:r>
          </w:p>
          <w:p w14:paraId="5B853850">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电功率：</w:t>
            </w:r>
            <w:r>
              <w:rPr>
                <w:rFonts w:ascii="Times New Roman" w:hAnsi="Times New Roman" w:eastAsia="方正兰亭黑简体" w:cs="Times New Roman"/>
                <w:color w:val="auto"/>
                <w:spacing w:val="-3"/>
                <w:highlight w:val="none"/>
                <w:lang w:eastAsia="zh-CN"/>
              </w:rPr>
              <w:t>≤146W★</w:t>
            </w:r>
            <w:r>
              <w:rPr>
                <w:rFonts w:ascii="Times New Roman" w:hAnsi="Times New Roman" w:eastAsia="方正兰亭黑简体" w:cs="Times New Roman"/>
                <w:color w:val="auto"/>
                <w:highlight w:val="none"/>
                <w:lang w:eastAsia="zh-CN"/>
              </w:rPr>
              <w:t>；</w:t>
            </w:r>
          </w:p>
          <w:p w14:paraId="20CE44EF">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噪音≤40dB(A)</w:t>
            </w:r>
            <w:r>
              <w:rPr>
                <w:rFonts w:ascii="Times New Roman" w:hAnsi="Times New Roman" w:eastAsia="方正兰亭黑简体" w:cs="Times New Roman"/>
                <w:color w:val="auto"/>
                <w:spacing w:val="-3"/>
                <w:highlight w:val="none"/>
                <w:lang w:eastAsia="zh-CN"/>
              </w:rPr>
              <w:t>★</w:t>
            </w:r>
            <w:r>
              <w:rPr>
                <w:rFonts w:ascii="Times New Roman" w:hAnsi="Times New Roman" w:eastAsia="方正兰亭黑简体" w:cs="Times New Roman"/>
                <w:color w:val="auto"/>
                <w:highlight w:val="none"/>
                <w:lang w:eastAsia="zh-CN"/>
              </w:rPr>
              <w:t>；</w:t>
            </w:r>
          </w:p>
          <w:p w14:paraId="24373F92">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报价要求：室内机的电源线、吊架考虑在单价中。达到施工规范、调试、交付等一切工作内容；</w:t>
            </w:r>
          </w:p>
          <w:p w14:paraId="768E8719">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品牌：</w:t>
            </w:r>
            <w:r>
              <w:rPr>
                <w:rFonts w:ascii="Times New Roman" w:hAnsi="Times New Roman" w:eastAsia="方正兰亭黑简体" w:cs="Times New Roman"/>
                <w:b/>
                <w:bCs/>
                <w:color w:val="auto"/>
                <w:highlight w:val="none"/>
                <w:lang w:eastAsia="zh-CN"/>
              </w:rPr>
              <w:t>三菱电机、大金、东芝、日立</w:t>
            </w:r>
          </w:p>
        </w:tc>
        <w:tc>
          <w:tcPr>
            <w:tcW w:w="406" w:type="pct"/>
            <w:vAlign w:val="center"/>
          </w:tcPr>
          <w:p w14:paraId="54E1B9B9">
            <w:pPr>
              <w:pStyle w:val="25"/>
              <w:spacing w:before="68" w:line="360" w:lineRule="auto"/>
              <w:jc w:val="center"/>
              <w:rPr>
                <w:rFonts w:ascii="Times New Roman" w:hAnsi="Times New Roman" w:eastAsia="方正兰亭黑简体" w:cs="Times New Roman"/>
                <w:color w:val="auto"/>
                <w:highlight w:val="none"/>
              </w:rPr>
            </w:pPr>
            <w:r>
              <w:rPr>
                <w:rFonts w:ascii="Times New Roman" w:hAnsi="Times New Roman" w:eastAsia="方正兰亭黑简体" w:cs="Times New Roman"/>
                <w:color w:val="auto"/>
                <w:highlight w:val="none"/>
              </w:rPr>
              <w:t>台</w:t>
            </w:r>
          </w:p>
        </w:tc>
        <w:tc>
          <w:tcPr>
            <w:tcW w:w="340" w:type="pct"/>
            <w:vAlign w:val="center"/>
          </w:tcPr>
          <w:p w14:paraId="729EE0EB">
            <w:pPr>
              <w:pStyle w:val="25"/>
              <w:spacing w:before="68" w:line="360" w:lineRule="auto"/>
              <w:jc w:val="center"/>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8</w:t>
            </w:r>
          </w:p>
        </w:tc>
      </w:tr>
      <w:tr w14:paraId="7A17F5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381" w:type="pct"/>
            <w:vAlign w:val="center"/>
          </w:tcPr>
          <w:p w14:paraId="0E75CE26">
            <w:pPr>
              <w:pStyle w:val="25"/>
              <w:spacing w:before="68" w:line="360" w:lineRule="auto"/>
              <w:jc w:val="center"/>
              <w:rPr>
                <w:rFonts w:ascii="Times New Roman" w:hAnsi="Times New Roman" w:eastAsia="方正兰亭黑简体" w:cs="Times New Roman"/>
                <w:color w:val="auto"/>
                <w:highlight w:val="none"/>
              </w:rPr>
            </w:pPr>
            <w:r>
              <w:rPr>
                <w:rFonts w:ascii="Times New Roman" w:hAnsi="Times New Roman" w:eastAsia="方正兰亭黑简体" w:cs="Times New Roman"/>
                <w:color w:val="auto"/>
                <w:highlight w:val="none"/>
              </w:rPr>
              <w:t>3</w:t>
            </w:r>
          </w:p>
        </w:tc>
        <w:tc>
          <w:tcPr>
            <w:tcW w:w="1039" w:type="pct"/>
            <w:vAlign w:val="center"/>
          </w:tcPr>
          <w:p w14:paraId="587246E5">
            <w:pPr>
              <w:pStyle w:val="25"/>
              <w:spacing w:before="68" w:line="360" w:lineRule="auto"/>
              <w:jc w:val="center"/>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液晶温控器</w:t>
            </w:r>
          </w:p>
        </w:tc>
        <w:tc>
          <w:tcPr>
            <w:tcW w:w="2831" w:type="pct"/>
            <w:vAlign w:val="center"/>
          </w:tcPr>
          <w:p w14:paraId="331696C9">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高、中、低档风量调节；</w:t>
            </w:r>
          </w:p>
          <w:p w14:paraId="04A35D76">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冷、暖、除湿模式；</w:t>
            </w:r>
          </w:p>
          <w:p w14:paraId="0A453370">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报价要求：温控开关到空调的控制线缆考虑在单价中，线缆规格根据空调厂家要求选定，满足业主使用要求；</w:t>
            </w:r>
          </w:p>
          <w:p w14:paraId="1BD312AD">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品牌：</w:t>
            </w:r>
            <w:r>
              <w:rPr>
                <w:rFonts w:ascii="Times New Roman" w:hAnsi="Times New Roman" w:eastAsia="方正兰亭黑简体" w:cs="Times New Roman"/>
                <w:b/>
                <w:bCs/>
                <w:color w:val="auto"/>
                <w:highlight w:val="none"/>
                <w:lang w:eastAsia="zh-CN"/>
              </w:rPr>
              <w:t>三菱电机、大金、东芝、日立</w:t>
            </w:r>
          </w:p>
        </w:tc>
        <w:tc>
          <w:tcPr>
            <w:tcW w:w="406" w:type="pct"/>
            <w:vAlign w:val="center"/>
          </w:tcPr>
          <w:p w14:paraId="0B80392A">
            <w:pPr>
              <w:pStyle w:val="25"/>
              <w:spacing w:before="68" w:line="360" w:lineRule="auto"/>
              <w:jc w:val="center"/>
              <w:rPr>
                <w:rFonts w:ascii="Times New Roman" w:hAnsi="Times New Roman" w:eastAsia="方正兰亭黑简体" w:cs="Times New Roman"/>
                <w:color w:val="auto"/>
                <w:highlight w:val="none"/>
              </w:rPr>
            </w:pPr>
            <w:r>
              <w:rPr>
                <w:rFonts w:ascii="Times New Roman" w:hAnsi="Times New Roman" w:eastAsia="方正兰亭黑简体" w:cs="Times New Roman"/>
                <w:color w:val="auto"/>
                <w:highlight w:val="none"/>
              </w:rPr>
              <w:t>台</w:t>
            </w:r>
          </w:p>
        </w:tc>
        <w:tc>
          <w:tcPr>
            <w:tcW w:w="340" w:type="pct"/>
            <w:vAlign w:val="center"/>
          </w:tcPr>
          <w:p w14:paraId="511DAA38">
            <w:pPr>
              <w:pStyle w:val="25"/>
              <w:spacing w:before="68" w:line="360" w:lineRule="auto"/>
              <w:jc w:val="center"/>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4</w:t>
            </w:r>
          </w:p>
        </w:tc>
      </w:tr>
      <w:tr w14:paraId="147E89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381" w:type="pct"/>
            <w:vAlign w:val="center"/>
          </w:tcPr>
          <w:p w14:paraId="042DEF5F">
            <w:pPr>
              <w:pStyle w:val="25"/>
              <w:spacing w:line="360" w:lineRule="auto"/>
              <w:jc w:val="center"/>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4</w:t>
            </w:r>
          </w:p>
        </w:tc>
        <w:tc>
          <w:tcPr>
            <w:tcW w:w="1039" w:type="pct"/>
            <w:vAlign w:val="center"/>
          </w:tcPr>
          <w:p w14:paraId="7144D4AB">
            <w:pPr>
              <w:pStyle w:val="25"/>
              <w:spacing w:line="360" w:lineRule="auto"/>
              <w:ind w:left="123"/>
              <w:jc w:val="center"/>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冷媒管</w:t>
            </w:r>
          </w:p>
        </w:tc>
        <w:tc>
          <w:tcPr>
            <w:tcW w:w="2831" w:type="pct"/>
            <w:vAlign w:val="center"/>
          </w:tcPr>
          <w:p w14:paraId="789F970F">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1.安装部位:室内、室外机连接</w:t>
            </w:r>
          </w:p>
          <w:p w14:paraId="1D730CDE">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2.介质:R410制冷剂</w:t>
            </w:r>
          </w:p>
          <w:p w14:paraId="61C16235">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3.规格、压力等级:根据空调厂家要求选定，满足设计、使用要求</w:t>
            </w:r>
          </w:p>
          <w:p w14:paraId="52E188FC">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4.连接形式:根据空调厂家要求选定，满足设计、使用要求</w:t>
            </w:r>
          </w:p>
          <w:p w14:paraId="3150FD72">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5.压力试验及吹、洗设计要求:按设计要求</w:t>
            </w:r>
          </w:p>
          <w:p w14:paraId="0B17C659">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6.警示带形式:按设计要求</w:t>
            </w:r>
          </w:p>
          <w:p w14:paraId="2A210632">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7.要求:用PVC扎带包扎成束,固定方式采用8-10mm丝杆作吊筋固定。将冷媒管用相应尺寸的骑马卡经螺栓固定在丝杆上。铜管的管道支架当管径6.4~9.5mm时间距不大于1.2米,当管径在12.7mm以上时不大于1.5米。冷媒管穿越楼板或穿越墙体时用钢套管护套。套管高出地面50mm,套管中间设止水环。冷媒管的分支处用分支器进行分支,焊接采用充氮保护纤焊焊接,最后进行氮气检测,冷媒管焊接大于φ25的铜管用相应规格的束接连接。</w:t>
            </w:r>
          </w:p>
          <w:p w14:paraId="4FF7790A">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8.保温:保温材料采用符合国家标准《建筑材料燃烧性能分级方法》GB8624的难燃B1级发泡橡塑保温,20℃时,其导热系数λ≤0.0365W/(m2.k),湿阻因子不小于7000,氧指数不小于32%,烟密度小于等于50%,密度不小于64kg/m3。冷媒管的保温厚度按照厂商技术要求及相关节能规范要求且≥25mm,,或设置架空加厚型热浸锌桥架内。</w:t>
            </w:r>
          </w:p>
          <w:p w14:paraId="63EB5C68">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9.报价要求:管件、分歧管、支架、保温、冷媒补充等配件包含在单价内</w:t>
            </w:r>
          </w:p>
          <w:p w14:paraId="5744F193">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品牌：</w:t>
            </w:r>
            <w:r>
              <w:rPr>
                <w:rFonts w:ascii="Times New Roman" w:hAnsi="Times New Roman" w:eastAsia="方正兰亭黑简体" w:cs="Times New Roman"/>
                <w:b/>
                <w:bCs/>
                <w:color w:val="auto"/>
                <w:highlight w:val="none"/>
                <w:lang w:eastAsia="zh-CN"/>
              </w:rPr>
              <w:t>飞轮、宏泰、中佳</w:t>
            </w:r>
          </w:p>
        </w:tc>
        <w:tc>
          <w:tcPr>
            <w:tcW w:w="406" w:type="pct"/>
            <w:vAlign w:val="center"/>
          </w:tcPr>
          <w:p w14:paraId="0AF46E8B">
            <w:pPr>
              <w:pStyle w:val="25"/>
              <w:spacing w:line="360" w:lineRule="auto"/>
              <w:ind w:left="123"/>
              <w:jc w:val="center"/>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项</w:t>
            </w:r>
          </w:p>
        </w:tc>
        <w:tc>
          <w:tcPr>
            <w:tcW w:w="340" w:type="pct"/>
            <w:vAlign w:val="center"/>
          </w:tcPr>
          <w:p w14:paraId="5E4191AD">
            <w:pPr>
              <w:pStyle w:val="25"/>
              <w:spacing w:line="360" w:lineRule="auto"/>
              <w:ind w:left="123"/>
              <w:jc w:val="center"/>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1</w:t>
            </w:r>
          </w:p>
        </w:tc>
      </w:tr>
      <w:tr w14:paraId="263826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 w:hRule="atLeast"/>
        </w:trPr>
        <w:tc>
          <w:tcPr>
            <w:tcW w:w="381" w:type="pct"/>
            <w:vAlign w:val="center"/>
          </w:tcPr>
          <w:p w14:paraId="555F139F">
            <w:pPr>
              <w:pStyle w:val="25"/>
              <w:spacing w:line="360" w:lineRule="auto"/>
              <w:jc w:val="center"/>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5</w:t>
            </w:r>
          </w:p>
        </w:tc>
        <w:tc>
          <w:tcPr>
            <w:tcW w:w="1039" w:type="pct"/>
            <w:vAlign w:val="center"/>
          </w:tcPr>
          <w:p w14:paraId="3B809ECB">
            <w:pPr>
              <w:pStyle w:val="25"/>
              <w:spacing w:line="360" w:lineRule="auto"/>
              <w:ind w:left="123"/>
              <w:jc w:val="center"/>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冷凝水管</w:t>
            </w:r>
          </w:p>
        </w:tc>
        <w:tc>
          <w:tcPr>
            <w:tcW w:w="2831" w:type="pct"/>
            <w:vAlign w:val="center"/>
          </w:tcPr>
          <w:p w14:paraId="50589807">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1.安装部位:室内</w:t>
            </w:r>
          </w:p>
          <w:p w14:paraId="71CD2CEA">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2.介质:水</w:t>
            </w:r>
          </w:p>
          <w:p w14:paraId="67410E2F">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3.规格、压力等级:UPVC灰色化工级DN40、DN32、DN25，PN1.6MPa;</w:t>
            </w:r>
          </w:p>
          <w:p w14:paraId="45CA009C">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4.连接形式:胶水连接</w:t>
            </w:r>
          </w:p>
          <w:p w14:paraId="71862AD9">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5.压力试验及吹、洗设计要求:按设计要求</w:t>
            </w:r>
          </w:p>
          <w:p w14:paraId="4326C04A">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6.警示带形式:按设计要求</w:t>
            </w:r>
          </w:p>
          <w:p w14:paraId="40ABC1A8">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7.保温:9mm难燃B1级柔性泡沫橡塑</w:t>
            </w:r>
          </w:p>
          <w:p w14:paraId="18311DA7">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8.报价要求:管件、支架、保温等配件包含在综合单价内</w:t>
            </w:r>
          </w:p>
        </w:tc>
        <w:tc>
          <w:tcPr>
            <w:tcW w:w="406" w:type="pct"/>
            <w:vAlign w:val="center"/>
          </w:tcPr>
          <w:p w14:paraId="2F4B5E6B">
            <w:pPr>
              <w:pStyle w:val="25"/>
              <w:spacing w:line="360" w:lineRule="auto"/>
              <w:ind w:left="123"/>
              <w:jc w:val="center"/>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项</w:t>
            </w:r>
          </w:p>
        </w:tc>
        <w:tc>
          <w:tcPr>
            <w:tcW w:w="340" w:type="pct"/>
            <w:vAlign w:val="center"/>
          </w:tcPr>
          <w:p w14:paraId="79720509">
            <w:pPr>
              <w:pStyle w:val="25"/>
              <w:spacing w:line="360" w:lineRule="auto"/>
              <w:ind w:left="123"/>
              <w:jc w:val="center"/>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1</w:t>
            </w:r>
          </w:p>
        </w:tc>
      </w:tr>
      <w:tr w14:paraId="077AA1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7" w:hRule="atLeast"/>
        </w:trPr>
        <w:tc>
          <w:tcPr>
            <w:tcW w:w="381" w:type="pct"/>
            <w:vAlign w:val="center"/>
          </w:tcPr>
          <w:p w14:paraId="531B7D34">
            <w:pPr>
              <w:pStyle w:val="25"/>
              <w:spacing w:line="360" w:lineRule="auto"/>
              <w:jc w:val="center"/>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6</w:t>
            </w:r>
          </w:p>
        </w:tc>
        <w:tc>
          <w:tcPr>
            <w:tcW w:w="1039" w:type="pct"/>
            <w:vAlign w:val="center"/>
          </w:tcPr>
          <w:p w14:paraId="609F1D17">
            <w:pPr>
              <w:pStyle w:val="25"/>
              <w:spacing w:line="360" w:lineRule="auto"/>
              <w:ind w:left="123"/>
              <w:jc w:val="center"/>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电气</w:t>
            </w:r>
          </w:p>
        </w:tc>
        <w:tc>
          <w:tcPr>
            <w:tcW w:w="2831" w:type="pct"/>
            <w:vAlign w:val="center"/>
          </w:tcPr>
          <w:p w14:paraId="532BD618">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1.安装部位：室内、室外。</w:t>
            </w:r>
          </w:p>
          <w:p w14:paraId="53C12F48">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2.热浸锌槽式桥架，规格：300×150×2.5mm（槽体与盖板同厚）；材质为碳钢热浸锌，桥架自带排水孔。</w:t>
            </w:r>
          </w:p>
          <w:p w14:paraId="353FD1D2">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3.每台室外机模块配置独立空气开关，各电缆回路配套浪涌保护器；室外配电箱采用加厚不锈钢防雨型箱体。</w:t>
            </w:r>
          </w:p>
          <w:p w14:paraId="6C613802">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4.包含室内机电源线、室外机电源线敷设。</w:t>
            </w:r>
          </w:p>
          <w:p w14:paraId="68AE92F2">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5.防雷接地：每台室外机设置不少于2处接地连接点，其余接地做法严格按照现行电气相关规范执行。</w:t>
            </w:r>
          </w:p>
          <w:p w14:paraId="0C482F40">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6.本次改造施工，不得改动原有电气回路。</w:t>
            </w:r>
          </w:p>
          <w:p w14:paraId="48495BDA">
            <w:pPr>
              <w:pStyle w:val="25"/>
              <w:spacing w:line="360" w:lineRule="auto"/>
              <w:ind w:left="123"/>
              <w:jc w:val="left"/>
              <w:rPr>
                <w:rFonts w:ascii="Times New Roman" w:hAnsi="Times New Roman" w:eastAsia="方正兰亭黑简体" w:cs="Times New Roman"/>
                <w:b/>
                <w:color w:val="auto"/>
                <w:highlight w:val="none"/>
                <w:lang w:eastAsia="zh-CN"/>
              </w:rPr>
            </w:pPr>
            <w:r>
              <w:rPr>
                <w:rFonts w:ascii="Times New Roman" w:hAnsi="Times New Roman" w:eastAsia="方正兰亭黑简体" w:cs="Times New Roman"/>
                <w:b/>
                <w:color w:val="auto"/>
                <w:highlight w:val="none"/>
                <w:lang w:eastAsia="zh-CN"/>
              </w:rPr>
              <w:t>7.电气元器件品牌范围：ABB、施耐德、西门子。</w:t>
            </w:r>
          </w:p>
          <w:p w14:paraId="41559D7A">
            <w:pPr>
              <w:pStyle w:val="25"/>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b/>
                <w:color w:val="auto"/>
                <w:highlight w:val="none"/>
                <w:lang w:eastAsia="zh-CN"/>
              </w:rPr>
              <w:t>8.浪涌保护器品牌范围：ABB、施耐德、西门子。</w:t>
            </w:r>
          </w:p>
        </w:tc>
        <w:tc>
          <w:tcPr>
            <w:tcW w:w="406" w:type="pct"/>
            <w:vAlign w:val="center"/>
          </w:tcPr>
          <w:p w14:paraId="0C871EA6">
            <w:pPr>
              <w:pStyle w:val="25"/>
              <w:spacing w:line="360" w:lineRule="auto"/>
              <w:ind w:left="123"/>
              <w:jc w:val="center"/>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项</w:t>
            </w:r>
          </w:p>
        </w:tc>
        <w:tc>
          <w:tcPr>
            <w:tcW w:w="340" w:type="pct"/>
            <w:vAlign w:val="center"/>
          </w:tcPr>
          <w:p w14:paraId="36AF8B2A">
            <w:pPr>
              <w:pStyle w:val="25"/>
              <w:spacing w:line="360" w:lineRule="auto"/>
              <w:ind w:left="123"/>
              <w:jc w:val="center"/>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1</w:t>
            </w:r>
          </w:p>
        </w:tc>
      </w:tr>
      <w:tr w14:paraId="2AC925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381" w:type="pct"/>
            <w:vAlign w:val="center"/>
          </w:tcPr>
          <w:p w14:paraId="068BC98B">
            <w:pPr>
              <w:pStyle w:val="25"/>
              <w:spacing w:line="360" w:lineRule="auto"/>
              <w:jc w:val="center"/>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7</w:t>
            </w:r>
          </w:p>
        </w:tc>
        <w:tc>
          <w:tcPr>
            <w:tcW w:w="1039" w:type="pct"/>
            <w:vAlign w:val="center"/>
          </w:tcPr>
          <w:p w14:paraId="3BBF8B8C">
            <w:pPr>
              <w:pStyle w:val="25"/>
              <w:spacing w:line="360" w:lineRule="auto"/>
              <w:ind w:left="123"/>
              <w:jc w:val="center"/>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其他</w:t>
            </w:r>
          </w:p>
        </w:tc>
        <w:tc>
          <w:tcPr>
            <w:tcW w:w="2831" w:type="pct"/>
            <w:vAlign w:val="center"/>
          </w:tcPr>
          <w:p w14:paraId="3E596096">
            <w:pPr>
              <w:pStyle w:val="25"/>
              <w:numPr>
                <w:ilvl w:val="0"/>
                <w:numId w:val="3"/>
              </w:numPr>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墙体钻孔与修复、防火封堵；</w:t>
            </w:r>
          </w:p>
          <w:p w14:paraId="05DB3576">
            <w:pPr>
              <w:pStyle w:val="25"/>
              <w:numPr>
                <w:ilvl w:val="0"/>
                <w:numId w:val="3"/>
              </w:numPr>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旧设备拆除至校方指定位置；</w:t>
            </w:r>
          </w:p>
          <w:p w14:paraId="459E909C">
            <w:pPr>
              <w:pStyle w:val="25"/>
              <w:numPr>
                <w:ilvl w:val="0"/>
                <w:numId w:val="3"/>
              </w:numPr>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吊顶：吊顶拆除与恢复，与原吊顶一样，不允许有色差；</w:t>
            </w:r>
          </w:p>
          <w:p w14:paraId="6F1E98F8">
            <w:pPr>
              <w:pStyle w:val="25"/>
              <w:numPr>
                <w:ilvl w:val="0"/>
                <w:numId w:val="3"/>
              </w:numPr>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管井：管井拆除与恢复至拆除前状态；</w:t>
            </w:r>
          </w:p>
          <w:p w14:paraId="03DF5C4E">
            <w:pPr>
              <w:pStyle w:val="25"/>
              <w:numPr>
                <w:ilvl w:val="0"/>
                <w:numId w:val="3"/>
              </w:numPr>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附件保护：地面保护、家具保护、现场既有设备防护。</w:t>
            </w:r>
          </w:p>
          <w:p w14:paraId="2AE4D9B4">
            <w:pPr>
              <w:pStyle w:val="25"/>
              <w:numPr>
                <w:ilvl w:val="0"/>
                <w:numId w:val="3"/>
              </w:numPr>
              <w:spacing w:line="360" w:lineRule="auto"/>
              <w:ind w:left="123"/>
              <w:jc w:val="left"/>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施工措施：夜间施工、安全措施、超高等</w:t>
            </w:r>
          </w:p>
        </w:tc>
        <w:tc>
          <w:tcPr>
            <w:tcW w:w="406" w:type="pct"/>
            <w:vAlign w:val="center"/>
          </w:tcPr>
          <w:p w14:paraId="28809F2A">
            <w:pPr>
              <w:pStyle w:val="25"/>
              <w:spacing w:line="360" w:lineRule="auto"/>
              <w:ind w:left="123"/>
              <w:jc w:val="center"/>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项</w:t>
            </w:r>
          </w:p>
        </w:tc>
        <w:tc>
          <w:tcPr>
            <w:tcW w:w="340" w:type="pct"/>
            <w:vAlign w:val="center"/>
          </w:tcPr>
          <w:p w14:paraId="6966E0C0">
            <w:pPr>
              <w:pStyle w:val="25"/>
              <w:spacing w:line="360" w:lineRule="auto"/>
              <w:ind w:left="123"/>
              <w:jc w:val="center"/>
              <w:rPr>
                <w:rFonts w:ascii="Times New Roman" w:hAnsi="Times New Roman" w:eastAsia="方正兰亭黑简体" w:cs="Times New Roman"/>
                <w:color w:val="auto"/>
                <w:highlight w:val="none"/>
                <w:lang w:eastAsia="zh-CN"/>
              </w:rPr>
            </w:pPr>
            <w:r>
              <w:rPr>
                <w:rFonts w:ascii="Times New Roman" w:hAnsi="Times New Roman" w:eastAsia="方正兰亭黑简体" w:cs="Times New Roman"/>
                <w:color w:val="auto"/>
                <w:highlight w:val="none"/>
                <w:lang w:eastAsia="zh-CN"/>
              </w:rPr>
              <w:t>1</w:t>
            </w:r>
          </w:p>
        </w:tc>
      </w:tr>
    </w:tbl>
    <w:p w14:paraId="01ADB439">
      <w:pPr>
        <w:widowControl/>
        <w:shd w:val="clear" w:color="auto" w:fill="FFFFFF"/>
        <w:spacing w:line="360" w:lineRule="auto"/>
        <w:jc w:val="left"/>
        <w:rPr>
          <w:rFonts w:ascii="Times New Roman" w:hAnsi="Times New Roman" w:eastAsia="方正兰亭黑简体" w:cs="Times New Roman"/>
          <w:color w:val="auto"/>
          <w:kern w:val="0"/>
          <w:sz w:val="22"/>
          <w:szCs w:val="22"/>
          <w:highlight w:val="none"/>
        </w:rPr>
      </w:pPr>
    </w:p>
    <w:p w14:paraId="7FE79837">
      <w:pPr>
        <w:widowControl/>
        <w:shd w:val="clear" w:color="auto" w:fill="FFFFFF"/>
        <w:spacing w:line="360" w:lineRule="auto"/>
        <w:jc w:val="left"/>
        <w:rPr>
          <w:rFonts w:ascii="Times New Roman" w:hAnsi="Times New Roman" w:eastAsia="方正兰亭黑简体" w:cs="Times New Roman"/>
          <w:color w:val="auto"/>
          <w:kern w:val="0"/>
          <w:sz w:val="22"/>
          <w:szCs w:val="22"/>
          <w:highlight w:val="none"/>
        </w:rPr>
      </w:pPr>
    </w:p>
    <w:p w14:paraId="72C767F2">
      <w:pPr>
        <w:widowControl/>
        <w:shd w:val="clear" w:color="auto" w:fill="FFFFFF"/>
        <w:spacing w:line="360" w:lineRule="auto"/>
        <w:jc w:val="left"/>
        <w:rPr>
          <w:rFonts w:ascii="Times New Roman" w:hAnsi="Times New Roman" w:eastAsia="方正兰亭黑简体" w:cs="Times New Roman"/>
          <w:color w:val="auto"/>
          <w:kern w:val="0"/>
          <w:sz w:val="22"/>
          <w:szCs w:val="22"/>
          <w:highlight w:val="none"/>
        </w:rPr>
      </w:pPr>
    </w:p>
    <w:p w14:paraId="79F1EBEB">
      <w:pPr>
        <w:rPr>
          <w:rFonts w:ascii="Times New Roman" w:hAnsi="Times New Roman" w:eastAsia="方正兰亭黑简体" w:cs="Times New Roman"/>
          <w:b/>
          <w:bCs/>
          <w:color w:val="auto"/>
          <w:sz w:val="22"/>
          <w:szCs w:val="22"/>
          <w:highlight w:val="none"/>
        </w:rPr>
      </w:pPr>
      <w:bookmarkStart w:id="5" w:name="_GoBack"/>
      <w:bookmarkEnd w:id="5"/>
      <w:r>
        <w:rPr>
          <w:rFonts w:hint="eastAsia" w:ascii="Times New Roman" w:hAnsi="Times New Roman" w:eastAsia="方正兰亭黑简体" w:cs="Times New Roman"/>
          <w:b/>
          <w:bCs/>
          <w:color w:val="auto"/>
          <w:sz w:val="22"/>
          <w:szCs w:val="22"/>
          <w:highlight w:val="none"/>
        </w:rPr>
        <w:t>三、技术要求</w:t>
      </w:r>
    </w:p>
    <w:p w14:paraId="50F4984C">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1.</w:t>
      </w:r>
      <w:r>
        <w:rPr>
          <w:rFonts w:ascii="Times New Roman" w:hAnsi="Times New Roman" w:eastAsia="方正兰亭黑简体" w:cs="Times New Roman"/>
          <w:color w:val="auto"/>
          <w:sz w:val="22"/>
          <w:szCs w:val="28"/>
          <w:highlight w:val="none"/>
        </w:rPr>
        <w:t>应遵循的相关国家标准、行业标准、地方标准等标准、规范</w:t>
      </w:r>
    </w:p>
    <w:p w14:paraId="52837440">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1.1</w:t>
      </w:r>
      <w:r>
        <w:rPr>
          <w:rFonts w:ascii="Times New Roman" w:hAnsi="Times New Roman" w:eastAsia="方正兰亭黑简体" w:cs="Times New Roman"/>
          <w:color w:val="auto"/>
          <w:sz w:val="22"/>
          <w:szCs w:val="28"/>
          <w:highlight w:val="none"/>
        </w:rPr>
        <w:t>《民用建筑供暖通风与空气调节设计规范》（GB50736-2012）</w:t>
      </w:r>
    </w:p>
    <w:p w14:paraId="180F9085">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1.2</w:t>
      </w:r>
      <w:r>
        <w:rPr>
          <w:rFonts w:ascii="Times New Roman" w:hAnsi="Times New Roman" w:eastAsia="方正兰亭黑简体" w:cs="Times New Roman"/>
          <w:color w:val="auto"/>
          <w:sz w:val="22"/>
          <w:szCs w:val="28"/>
          <w:highlight w:val="none"/>
        </w:rPr>
        <w:t>《公共建筑节能设计标准》（GB50189-2015）</w:t>
      </w:r>
    </w:p>
    <w:p w14:paraId="28280CEB">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1.3</w:t>
      </w:r>
      <w:r>
        <w:rPr>
          <w:rFonts w:ascii="Times New Roman" w:hAnsi="Times New Roman" w:eastAsia="方正兰亭黑简体" w:cs="Times New Roman"/>
          <w:color w:val="auto"/>
          <w:sz w:val="22"/>
          <w:szCs w:val="28"/>
          <w:highlight w:val="none"/>
        </w:rPr>
        <w:t>《通风与空调工程施工规范》（GB50738-2011）</w:t>
      </w:r>
    </w:p>
    <w:p w14:paraId="23845B9B">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1.4</w:t>
      </w:r>
      <w:r>
        <w:rPr>
          <w:rFonts w:ascii="Times New Roman" w:hAnsi="Times New Roman" w:eastAsia="方正兰亭黑简体" w:cs="Times New Roman"/>
          <w:color w:val="auto"/>
          <w:sz w:val="22"/>
          <w:szCs w:val="28"/>
          <w:highlight w:val="none"/>
        </w:rPr>
        <w:t>《通风与空调工程施工质量验收规范》（GB50243-2016）</w:t>
      </w:r>
    </w:p>
    <w:p w14:paraId="27BB00AF">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1.5</w:t>
      </w:r>
      <w:r>
        <w:rPr>
          <w:rFonts w:ascii="Times New Roman" w:hAnsi="Times New Roman" w:eastAsia="方正兰亭黑简体" w:cs="Times New Roman"/>
          <w:color w:val="auto"/>
          <w:sz w:val="22"/>
          <w:szCs w:val="28"/>
          <w:highlight w:val="none"/>
        </w:rPr>
        <w:t>《单元式空气调节机》（GB17758-2010）</w:t>
      </w:r>
    </w:p>
    <w:p w14:paraId="4C15F5F7">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1.6</w:t>
      </w:r>
      <w:r>
        <w:rPr>
          <w:rFonts w:ascii="Times New Roman" w:hAnsi="Times New Roman" w:eastAsia="方正兰亭黑简体" w:cs="Times New Roman"/>
          <w:color w:val="auto"/>
          <w:sz w:val="22"/>
          <w:szCs w:val="28"/>
          <w:highlight w:val="none"/>
        </w:rPr>
        <w:t>《多联机空调系统工程技术规程》JGJ174-2010</w:t>
      </w:r>
    </w:p>
    <w:p w14:paraId="0189EE02">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1.7</w:t>
      </w:r>
      <w:r>
        <w:rPr>
          <w:rFonts w:ascii="Times New Roman" w:hAnsi="Times New Roman" w:eastAsia="方正兰亭黑简体" w:cs="Times New Roman"/>
          <w:color w:val="auto"/>
          <w:sz w:val="22"/>
          <w:szCs w:val="28"/>
          <w:highlight w:val="none"/>
        </w:rPr>
        <w:t>上海市《多联式空调（热泵）工程施工技术规程》DG/TJ08-2091-2024</w:t>
      </w:r>
    </w:p>
    <w:p w14:paraId="237C7E12">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1.8</w:t>
      </w:r>
      <w:r>
        <w:rPr>
          <w:rFonts w:ascii="Times New Roman" w:hAnsi="Times New Roman" w:eastAsia="方正兰亭黑简体" w:cs="Times New Roman"/>
          <w:color w:val="auto"/>
          <w:sz w:val="22"/>
          <w:szCs w:val="28"/>
          <w:highlight w:val="none"/>
        </w:rPr>
        <w:t>《多联式空调（热泵）机组能效限定值及能源效率等级》GB21454-2021</w:t>
      </w:r>
    </w:p>
    <w:p w14:paraId="79FD4CFB">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1.9</w:t>
      </w:r>
      <w:r>
        <w:rPr>
          <w:rFonts w:ascii="Times New Roman" w:hAnsi="Times New Roman" w:eastAsia="方正兰亭黑简体" w:cs="Times New Roman"/>
          <w:color w:val="auto"/>
          <w:sz w:val="22"/>
          <w:szCs w:val="28"/>
          <w:highlight w:val="none"/>
        </w:rPr>
        <w:t>《标牌》（GB/T13306-2016）</w:t>
      </w:r>
    </w:p>
    <w:p w14:paraId="057F39BA">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1.10</w:t>
      </w:r>
      <w:r>
        <w:rPr>
          <w:rFonts w:ascii="Times New Roman" w:hAnsi="Times New Roman" w:eastAsia="方正兰亭黑简体" w:cs="Times New Roman"/>
          <w:color w:val="auto"/>
          <w:sz w:val="22"/>
          <w:szCs w:val="28"/>
          <w:highlight w:val="none"/>
        </w:rPr>
        <w:t>《单元式空调机安全要求》（GB25130-2010）</w:t>
      </w:r>
    </w:p>
    <w:p w14:paraId="7CD64C17">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1.11</w:t>
      </w:r>
      <w:r>
        <w:rPr>
          <w:rFonts w:ascii="Times New Roman" w:hAnsi="Times New Roman" w:eastAsia="方正兰亭黑简体" w:cs="Times New Roman"/>
          <w:color w:val="auto"/>
          <w:sz w:val="22"/>
          <w:szCs w:val="28"/>
          <w:highlight w:val="none"/>
        </w:rPr>
        <w:t>《低压配电设计规范》（GB50054-2011）</w:t>
      </w:r>
    </w:p>
    <w:p w14:paraId="4431FF0C">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2.</w:t>
      </w:r>
      <w:r>
        <w:rPr>
          <w:rFonts w:ascii="Times New Roman" w:hAnsi="Times New Roman" w:eastAsia="方正兰亭黑简体" w:cs="Times New Roman"/>
          <w:color w:val="auto"/>
          <w:sz w:val="22"/>
          <w:szCs w:val="28"/>
          <w:highlight w:val="none"/>
        </w:rPr>
        <w:t>项目要求</w:t>
      </w:r>
    </w:p>
    <w:p w14:paraId="4D125064">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2.1</w:t>
      </w:r>
      <w:r>
        <w:rPr>
          <w:rFonts w:ascii="Times New Roman" w:hAnsi="Times New Roman" w:eastAsia="方正兰亭黑简体" w:cs="Times New Roman"/>
          <w:color w:val="auto"/>
          <w:sz w:val="22"/>
          <w:szCs w:val="28"/>
          <w:highlight w:val="none"/>
        </w:rPr>
        <w:t>室内机组</w:t>
      </w:r>
    </w:p>
    <w:p w14:paraId="52A2EEC8">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2.1</w:t>
      </w:r>
      <w:r>
        <w:rPr>
          <w:rFonts w:ascii="Times New Roman" w:hAnsi="Times New Roman" w:eastAsia="方正兰亭黑简体" w:cs="Times New Roman"/>
          <w:color w:val="auto"/>
          <w:sz w:val="22"/>
          <w:szCs w:val="28"/>
          <w:highlight w:val="none"/>
        </w:rPr>
        <w:t>.1多联机的室内机采用四面出风嵌入式，冷媒为R410a环保冷媒。</w:t>
      </w:r>
    </w:p>
    <w:p w14:paraId="4FAF626B">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2.1</w:t>
      </w:r>
      <w:r>
        <w:rPr>
          <w:rFonts w:ascii="Times New Roman" w:hAnsi="Times New Roman" w:eastAsia="方正兰亭黑简体" w:cs="Times New Roman"/>
          <w:color w:val="auto"/>
          <w:sz w:val="22"/>
          <w:szCs w:val="28"/>
          <w:highlight w:val="none"/>
        </w:rPr>
        <w:t>.2提供的设备应是在过去承接的工程中使用过的成熟产品，不允许使用未成熟的或新研制开发的产品。机组内配置的风机、盘管以及其它零部件应符合国家有关标准规定。</w:t>
      </w:r>
    </w:p>
    <w:p w14:paraId="165F9511">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2.1</w:t>
      </w:r>
      <w:r>
        <w:rPr>
          <w:rFonts w:ascii="Times New Roman" w:hAnsi="Times New Roman" w:eastAsia="方正兰亭黑简体" w:cs="Times New Roman"/>
          <w:color w:val="auto"/>
          <w:sz w:val="22"/>
          <w:szCs w:val="28"/>
          <w:highlight w:val="none"/>
        </w:rPr>
        <w:t>.3生产厂商应该对风机进行动平衡和静平衡测定及调整，并符合产品性能所规定的参数。</w:t>
      </w:r>
    </w:p>
    <w:p w14:paraId="6BE659C1">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2.1</w:t>
      </w:r>
      <w:r>
        <w:rPr>
          <w:rFonts w:ascii="Times New Roman" w:hAnsi="Times New Roman" w:eastAsia="方正兰亭黑简体" w:cs="Times New Roman"/>
          <w:color w:val="auto"/>
          <w:sz w:val="22"/>
          <w:szCs w:val="28"/>
          <w:highlight w:val="none"/>
        </w:rPr>
        <w:t>.4各类型的多联机在中速/高速运行时，所产生的噪音应满足设备表的限值要求。如设备在安装完成后噪声超出正常产品标准和规范要求时，中标人须采用有效的减振和消声措施，使之符合要求。</w:t>
      </w:r>
    </w:p>
    <w:p w14:paraId="7F0E443C">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2.1</w:t>
      </w:r>
      <w:r>
        <w:rPr>
          <w:rFonts w:ascii="Times New Roman" w:hAnsi="Times New Roman" w:eastAsia="方正兰亭黑简体" w:cs="Times New Roman"/>
          <w:color w:val="auto"/>
          <w:sz w:val="22"/>
          <w:szCs w:val="28"/>
          <w:highlight w:val="none"/>
        </w:rPr>
        <w:t>.5多联机应是原厂制造和装配的整机成品，包括压缩机、电动机、蒸发器、冷凝器、电子膨胀阀，电动机起动器以及有关机组操作及温度控制器等。各机组的功能必须满足设备表内所标注的要求。</w:t>
      </w:r>
    </w:p>
    <w:p w14:paraId="615CAD34">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2.1</w:t>
      </w:r>
      <w:r>
        <w:rPr>
          <w:rFonts w:ascii="Times New Roman" w:hAnsi="Times New Roman" w:eastAsia="方正兰亭黑简体" w:cs="Times New Roman"/>
          <w:color w:val="auto"/>
          <w:sz w:val="22"/>
          <w:szCs w:val="28"/>
          <w:highlight w:val="none"/>
        </w:rPr>
        <w:t>.6多联机系统具有冷媒流量预警技术，冷媒流量少时，具有故障报警功能。</w:t>
      </w:r>
    </w:p>
    <w:p w14:paraId="3B6D8406">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2.1</w:t>
      </w:r>
      <w:r>
        <w:rPr>
          <w:rFonts w:ascii="Times New Roman" w:hAnsi="Times New Roman" w:eastAsia="方正兰亭黑简体" w:cs="Times New Roman"/>
          <w:color w:val="auto"/>
          <w:sz w:val="22"/>
          <w:szCs w:val="28"/>
          <w:highlight w:val="none"/>
        </w:rPr>
        <w:t>.7室外机适用380伏三相50Hz的电源，室内机适用220伏单相50Hz的电源。</w:t>
      </w:r>
    </w:p>
    <w:p w14:paraId="736EB5BD">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2.1</w:t>
      </w:r>
      <w:r>
        <w:rPr>
          <w:rFonts w:ascii="Times New Roman" w:hAnsi="Times New Roman" w:eastAsia="方正兰亭黑简体" w:cs="Times New Roman"/>
          <w:color w:val="auto"/>
          <w:sz w:val="22"/>
          <w:szCs w:val="28"/>
          <w:highlight w:val="none"/>
        </w:rPr>
        <w:t>.8多联机选型的制冷工况为室内干球温度27℃、湿球温度19℃,室外干球温度35℃、湿球温度24℃,制热工况为室外干球温度7℃、湿球温度6℃。</w:t>
      </w:r>
    </w:p>
    <w:p w14:paraId="793F1283">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2.2</w:t>
      </w:r>
      <w:r>
        <w:rPr>
          <w:rFonts w:ascii="Times New Roman" w:hAnsi="Times New Roman" w:eastAsia="方正兰亭黑简体" w:cs="Times New Roman"/>
          <w:color w:val="auto"/>
          <w:sz w:val="22"/>
          <w:szCs w:val="28"/>
          <w:highlight w:val="none"/>
        </w:rPr>
        <w:t>室外机组</w:t>
      </w:r>
    </w:p>
    <w:p w14:paraId="03B6195D">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2.2</w:t>
      </w:r>
      <w:r>
        <w:rPr>
          <w:rFonts w:ascii="Times New Roman" w:hAnsi="Times New Roman" w:eastAsia="方正兰亭黑简体" w:cs="Times New Roman"/>
          <w:color w:val="auto"/>
          <w:sz w:val="22"/>
          <w:szCs w:val="28"/>
          <w:highlight w:val="none"/>
        </w:rPr>
        <w:t>.1室外机组采用顶出风机组须包括高压腔涡旋式或双转子式压缩机、冷凝器、冷凝器风机、电脑控制板、直流变速控制器等装备装配在由原厂制造的金属外壳内。</w:t>
      </w:r>
    </w:p>
    <w:p w14:paraId="7BF7BC4E">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2.2</w:t>
      </w:r>
      <w:r>
        <w:rPr>
          <w:rFonts w:ascii="Times New Roman" w:hAnsi="Times New Roman" w:eastAsia="方正兰亭黑简体" w:cs="Times New Roman"/>
          <w:color w:val="auto"/>
          <w:sz w:val="22"/>
          <w:szCs w:val="28"/>
          <w:highlight w:val="none"/>
        </w:rPr>
        <w:t>.2室外机组应具备后备运转的功能，以保证在某一台压缩机发生故障时，其他压缩机能紧急启动运转以避免整个系统的关闭。如提供后备运转的功能，需在投标书中详细说明。</w:t>
      </w:r>
    </w:p>
    <w:p w14:paraId="69FFED07">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2.2</w:t>
      </w:r>
      <w:r>
        <w:rPr>
          <w:rFonts w:ascii="Times New Roman" w:hAnsi="Times New Roman" w:eastAsia="方正兰亭黑简体" w:cs="Times New Roman"/>
          <w:color w:val="auto"/>
          <w:sz w:val="22"/>
          <w:szCs w:val="28"/>
          <w:highlight w:val="none"/>
        </w:rPr>
        <w:t>.3室外机组应能根据室内机负荷需求、室外机机组状态（是否有故障风险等），模块按需、变周期性轮换，提升整体模块运行的寿命，同时在满足用户需求的同时，采用最合适的外机开启以提升能效，降低电量消耗。</w:t>
      </w:r>
    </w:p>
    <w:p w14:paraId="1A350694">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2.2</w:t>
      </w:r>
      <w:r>
        <w:rPr>
          <w:rFonts w:ascii="Times New Roman" w:hAnsi="Times New Roman" w:eastAsia="方正兰亭黑简体" w:cs="Times New Roman"/>
          <w:color w:val="auto"/>
          <w:sz w:val="22"/>
          <w:szCs w:val="28"/>
          <w:highlight w:val="none"/>
        </w:rPr>
        <w:t>.4机组要有隔震装置，运转中不出现异响和振动，有夜间低噪运行模式。</w:t>
      </w:r>
    </w:p>
    <w:p w14:paraId="7F4A17DB">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2.2</w:t>
      </w:r>
      <w:r>
        <w:rPr>
          <w:rFonts w:ascii="Times New Roman" w:hAnsi="Times New Roman" w:eastAsia="方正兰亭黑简体" w:cs="Times New Roman"/>
          <w:color w:val="auto"/>
          <w:sz w:val="22"/>
          <w:szCs w:val="28"/>
          <w:highlight w:val="none"/>
        </w:rPr>
        <w:t>.5机壳应采用厚规镀锌钢板制造，配有原厂设计的散热口。机组须为防风雨保护适合室外安装，机壳表面须经防锈处理，然后外涂由业主所认可颜色的装饰面漆。须使用防锈蚀金属制成的螺丝、垫圈和螺帽。</w:t>
      </w:r>
    </w:p>
    <w:p w14:paraId="58822052">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2.2</w:t>
      </w:r>
      <w:r>
        <w:rPr>
          <w:rFonts w:ascii="Times New Roman" w:hAnsi="Times New Roman" w:eastAsia="方正兰亭黑简体" w:cs="Times New Roman"/>
          <w:color w:val="auto"/>
          <w:sz w:val="22"/>
          <w:szCs w:val="28"/>
          <w:highlight w:val="none"/>
        </w:rPr>
        <w:t>.6每个室外机组须提供包括但不限于下列保护措施：</w:t>
      </w:r>
    </w:p>
    <w:p w14:paraId="131EDC0F">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a)压缩机过热保护</w:t>
      </w:r>
    </w:p>
    <w:p w14:paraId="21ECDF01">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b)压缩机及风机电流过载保护</w:t>
      </w:r>
    </w:p>
    <w:p w14:paraId="1733DBA5">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c)系统高压保护装置</w:t>
      </w:r>
    </w:p>
    <w:p w14:paraId="3B7DF7D9">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d)系统低压保护装置</w:t>
      </w:r>
    </w:p>
    <w:p w14:paraId="6A9A0E6E">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e)风机电动机过热保护</w:t>
      </w:r>
    </w:p>
    <w:p w14:paraId="3328808E">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2.2</w:t>
      </w:r>
      <w:r>
        <w:rPr>
          <w:rFonts w:ascii="Times New Roman" w:hAnsi="Times New Roman" w:eastAsia="方正兰亭黑简体" w:cs="Times New Roman"/>
          <w:color w:val="auto"/>
          <w:sz w:val="22"/>
          <w:szCs w:val="28"/>
          <w:highlight w:val="none"/>
        </w:rPr>
        <w:t>.7压缩机</w:t>
      </w:r>
    </w:p>
    <w:p w14:paraId="33D8A553">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A.压缩机采用高压腔涡旋式或双转子式压缩机，适用于直流变速运行，采用冷媒冷却及适用于R410A环保冷媒。</w:t>
      </w:r>
    </w:p>
    <w:p w14:paraId="194B1D8C">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B.压缩器电动机应有过载保护措施。</w:t>
      </w:r>
    </w:p>
    <w:p w14:paraId="71B946C5">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C.机组内须配有对空调系统电动机变转速运转过程中产生的干扰性电磁波进行防护的装置。</w:t>
      </w:r>
    </w:p>
    <w:p w14:paraId="6BDCD545">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2.2</w:t>
      </w:r>
      <w:r>
        <w:rPr>
          <w:rFonts w:ascii="Times New Roman" w:hAnsi="Times New Roman" w:eastAsia="方正兰亭黑简体" w:cs="Times New Roman"/>
          <w:color w:val="auto"/>
          <w:sz w:val="22"/>
          <w:szCs w:val="28"/>
          <w:highlight w:val="none"/>
        </w:rPr>
        <w:t>.8冷凝器</w:t>
      </w:r>
    </w:p>
    <w:p w14:paraId="11EEB2E1">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A.冷凝器采用铜管铝箔翅片形式，由无缝紫铜管以机械胀管法与铝箔翅片胀接而成的交叉式盘管构成。</w:t>
      </w:r>
    </w:p>
    <w:p w14:paraId="0D510A21">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B.冷凝器采用φ7mm内螺纹换热管，铜管管壁厚度不小于0.25mm。铝箔翅片的片距≤1.4mm。</w:t>
      </w:r>
    </w:p>
    <w:p w14:paraId="78FE43CA">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C.冷凝器采用分区换热，上下层分流毛细管差异化，增大上侧冷媒流量，分液更均匀。</w:t>
      </w:r>
    </w:p>
    <w:p w14:paraId="4D7B983D">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D.换热器要求采用亲水防腐翅片。</w:t>
      </w:r>
    </w:p>
    <w:p w14:paraId="198C3FBE">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2.2</w:t>
      </w:r>
      <w:r>
        <w:rPr>
          <w:rFonts w:ascii="Times New Roman" w:hAnsi="Times New Roman" w:eastAsia="方正兰亭黑简体" w:cs="Times New Roman"/>
          <w:color w:val="auto"/>
          <w:sz w:val="22"/>
          <w:szCs w:val="28"/>
          <w:highlight w:val="none"/>
        </w:rPr>
        <w:t>.9冷凝器风机及电动机</w:t>
      </w:r>
    </w:p>
    <w:p w14:paraId="34761EDC">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A.风机应为直驱轴流式，具备耐侵蚀结构。</w:t>
      </w:r>
    </w:p>
    <w:p w14:paraId="328AB8A9">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B.风机在出厂前应通过动、静平衡的测试。</w:t>
      </w:r>
    </w:p>
    <w:p w14:paraId="0EDB03F7">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C.电动机采用直流变频风扇电机，绝缘等级为B级。</w:t>
      </w:r>
    </w:p>
    <w:p w14:paraId="0333C2AC">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D.室外机可根据负荷变化，调节冷凝器风机的转速。</w:t>
      </w:r>
    </w:p>
    <w:p w14:paraId="73BFECD7">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E.风机电动机应具有足够的过载能力，须适用于380伏、3相、50赫兹的电力供应。</w:t>
      </w:r>
    </w:p>
    <w:p w14:paraId="24EDE254">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2.2</w:t>
      </w:r>
      <w:r>
        <w:rPr>
          <w:rFonts w:ascii="Times New Roman" w:hAnsi="Times New Roman" w:eastAsia="方正兰亭黑简体" w:cs="Times New Roman"/>
          <w:color w:val="auto"/>
          <w:sz w:val="22"/>
          <w:szCs w:val="28"/>
          <w:highlight w:val="none"/>
        </w:rPr>
        <w:t>.10控制装置</w:t>
      </w:r>
    </w:p>
    <w:p w14:paraId="55108269">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A.热泵机组带四通换向阀。</w:t>
      </w:r>
    </w:p>
    <w:p w14:paraId="7567E470">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B.提供保护措施，如压缩机过热保护装置、系统高压保护装置、低压保护装置、风机电机过热保护装置。</w:t>
      </w:r>
    </w:p>
    <w:p w14:paraId="2DB384EA">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C.机组每台室内机应分别配置一个中文显示的有线液晶控制器，应具备且不限于开关控制、风量调节、风向摆动选择、运行模式选择（自动、制冷、除湿、送风等）、温度设定、定时开关、过滤网清洗自动提示等功能。</w:t>
      </w:r>
    </w:p>
    <w:p w14:paraId="5AFED1F5">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D.通讯（控制）线要求采用专用屏蔽型双绞线通信线，采用多主通讯方式，网络上所有机组能立即反馈状态信息，总线利用率高；内外机通讯速率达到20Kbps，数据交换更快速。</w:t>
      </w:r>
    </w:p>
    <w:p w14:paraId="7CC992BF">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E.电气及通讯（控制）布线注意事项：</w:t>
      </w:r>
    </w:p>
    <w:p w14:paraId="5C0F950F">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a）多联机电路分为强电（电源）电路与控制（通讯）电路两部分。</w:t>
      </w:r>
    </w:p>
    <w:p w14:paraId="5CD63B09">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b)通讯信号电路必须采用屏蔽措施，为防止强电信号对控制信号干扰，控制通讯线必须使用带屏蔽的双绞线。</w:t>
      </w:r>
    </w:p>
    <w:p w14:paraId="21A3B943">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c)通讯信号分为A和B两个极性，连接同一极性，不同极性不能相连（A和B之间不得连接）。</w:t>
      </w:r>
    </w:p>
    <w:p w14:paraId="210715E2">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d)通讯线屏蔽层一直连接一起，直到最末端一台室外机组才接地。</w:t>
      </w:r>
    </w:p>
    <w:p w14:paraId="27DF5113">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e)有主从机的机组，通讯（控制）线只接主机。</w:t>
      </w:r>
    </w:p>
    <w:p w14:paraId="3D3614CD">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f)电源线与控制线平行布线时，必须分别套电线管，并保持大于20厘米的间距。</w:t>
      </w:r>
    </w:p>
    <w:p w14:paraId="5EC8E093">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g)通讯（控制）线总长小于1000米。</w:t>
      </w:r>
    </w:p>
    <w:p w14:paraId="5B5C5B04">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2.2</w:t>
      </w:r>
      <w:r>
        <w:rPr>
          <w:rFonts w:ascii="Times New Roman" w:hAnsi="Times New Roman" w:eastAsia="方正兰亭黑简体" w:cs="Times New Roman"/>
          <w:color w:val="auto"/>
          <w:sz w:val="22"/>
          <w:szCs w:val="28"/>
          <w:highlight w:val="none"/>
        </w:rPr>
        <w:t>.11冷媒管</w:t>
      </w:r>
    </w:p>
    <w:p w14:paraId="011C8CB6">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A.冷媒管布设、尺寸及实验应按厂家技术要求执行，所有分支管均由投标人提供。</w:t>
      </w:r>
    </w:p>
    <w:p w14:paraId="3F4ED6F1">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B.冷媒管、电线、电气系统工程量由投标人深化设计确定并包含在总价内，后期不得变化总价。</w:t>
      </w:r>
    </w:p>
    <w:p w14:paraId="4E98B790">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C.冷媒液管与气管的保温采用难燃B1级闭孔橡塑发泡保温材料，冷媒液管保温层厚度不小于20mm，气管保温层厚度不小于15mm。</w:t>
      </w:r>
    </w:p>
    <w:p w14:paraId="53C6F6B6">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3.</w:t>
      </w:r>
      <w:r>
        <w:rPr>
          <w:rFonts w:ascii="Times New Roman" w:hAnsi="Times New Roman" w:eastAsia="方正兰亭黑简体" w:cs="Times New Roman"/>
          <w:color w:val="auto"/>
          <w:sz w:val="22"/>
          <w:szCs w:val="28"/>
          <w:highlight w:val="none"/>
        </w:rPr>
        <w:t>安全生产、文明施工管理</w:t>
      </w:r>
    </w:p>
    <w:p w14:paraId="12F3976F">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3</w:t>
      </w:r>
      <w:r>
        <w:rPr>
          <w:rFonts w:ascii="Times New Roman" w:hAnsi="Times New Roman" w:eastAsia="方正兰亭黑简体" w:cs="Times New Roman"/>
          <w:color w:val="auto"/>
          <w:sz w:val="22"/>
          <w:szCs w:val="28"/>
          <w:highlight w:val="none"/>
        </w:rPr>
        <w:t>.1、本项目投标人中标后应按照招标文件规定的方式提供货物及相关服务。</w:t>
      </w:r>
    </w:p>
    <w:p w14:paraId="260545B5">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3</w:t>
      </w:r>
      <w:r>
        <w:rPr>
          <w:rFonts w:ascii="Times New Roman" w:hAnsi="Times New Roman" w:eastAsia="方正兰亭黑简体" w:cs="Times New Roman"/>
          <w:color w:val="auto"/>
          <w:sz w:val="22"/>
          <w:szCs w:val="28"/>
          <w:highlight w:val="none"/>
        </w:rPr>
        <w:t>.2、安全生产、文明施工（安装）与环境保护要求。</w:t>
      </w:r>
    </w:p>
    <w:p w14:paraId="334FF610">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3</w:t>
      </w:r>
      <w:r>
        <w:rPr>
          <w:rFonts w:ascii="Times New Roman" w:hAnsi="Times New Roman" w:eastAsia="方正兰亭黑简体" w:cs="Times New Roman"/>
          <w:color w:val="auto"/>
          <w:sz w:val="22"/>
          <w:szCs w:val="28"/>
          <w:highlight w:val="none"/>
        </w:rPr>
        <w:t>.2.1投标人应具备上海市或有关行业管理部门规定的在本市进行相关安装、调试服务所需的资质（包括国家和本市各类专业工种持证上岗要求）、资格和一切手续（如有的话），由此引起的所有有关事宜及费用由投标人自行负责。</w:t>
      </w:r>
    </w:p>
    <w:p w14:paraId="1D9F9E54">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3</w:t>
      </w:r>
      <w:r>
        <w:rPr>
          <w:rFonts w:ascii="Times New Roman" w:hAnsi="Times New Roman" w:eastAsia="方正兰亭黑简体" w:cs="Times New Roman"/>
          <w:color w:val="auto"/>
          <w:sz w:val="22"/>
          <w:szCs w:val="28"/>
          <w:highlight w:val="none"/>
        </w:rPr>
        <w:t>.2.2在项目安装、调试实施期间为确保安装作业区域及周围环境的整洁和不影响其他活动正常进行，中标人应严格执行国家与上海市有关安全文明施工（安装）管理的法律、法规和政策，积极主动加强和落实安全文明施工（安装）及环境保护等有关管理工作，并按规定承担相应的费用。中标人若违反规定野蛮施工、违章作业等原因造成的一切损失和责任由中标人承担。</w:t>
      </w:r>
    </w:p>
    <w:p w14:paraId="0F89C02E">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3</w:t>
      </w:r>
      <w:r>
        <w:rPr>
          <w:rFonts w:ascii="Times New Roman" w:hAnsi="Times New Roman" w:eastAsia="方正兰亭黑简体" w:cs="Times New Roman"/>
          <w:color w:val="auto"/>
          <w:sz w:val="22"/>
          <w:szCs w:val="28"/>
          <w:highlight w:val="none"/>
        </w:rPr>
        <w:t>.2.3中标人在项目供货、安装实施期间，必须遵守国家与上海市各项有关安全作业规章、规范与制度，建立动用明火申请批准制度，安全用电等制度，确保杜绝各类事故的发生。</w:t>
      </w:r>
    </w:p>
    <w:p w14:paraId="329E5903">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3</w:t>
      </w:r>
      <w:r>
        <w:rPr>
          <w:rFonts w:ascii="Times New Roman" w:hAnsi="Times New Roman" w:eastAsia="方正兰亭黑简体" w:cs="Times New Roman"/>
          <w:color w:val="auto"/>
          <w:sz w:val="22"/>
          <w:szCs w:val="28"/>
          <w:highlight w:val="none"/>
        </w:rPr>
        <w:t>.2.4中标人现场设备安装负责人应具有专业证书，安装人员人员必须持证上岗。中标单位应对设备安装、调试期间自身和第三方安全与财产负责。</w:t>
      </w:r>
    </w:p>
    <w:p w14:paraId="7FC999AF">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3</w:t>
      </w:r>
      <w:r>
        <w:rPr>
          <w:rFonts w:ascii="Times New Roman" w:hAnsi="Times New Roman" w:eastAsia="方正兰亭黑简体" w:cs="Times New Roman"/>
          <w:color w:val="auto"/>
          <w:sz w:val="22"/>
          <w:szCs w:val="28"/>
          <w:highlight w:val="none"/>
        </w:rPr>
        <w:t>.2.5中标人在组织项目实施时必须按安装施工计划协调好现场施工（安装）工作，在项目验收合格移交前对到场货物承担保管责任。中标人在项目实施期间必须保护好施工区域内的环境和原有建筑、装饰与设施，保证环境和原有建筑、装饰与设施完好。</w:t>
      </w:r>
    </w:p>
    <w:p w14:paraId="7419C75B">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3</w:t>
      </w:r>
      <w:r>
        <w:rPr>
          <w:rFonts w:ascii="Times New Roman" w:hAnsi="Times New Roman" w:eastAsia="方正兰亭黑简体" w:cs="Times New Roman"/>
          <w:color w:val="auto"/>
          <w:sz w:val="22"/>
          <w:szCs w:val="28"/>
          <w:highlight w:val="none"/>
        </w:rPr>
        <w:t>.2.6各投标人在投标文件中要结合本项目的特点和采购人上述的具体要求制定相应的安全文明施工（安装）和安全生产管理措施，同时应适当考虑购买自己员工和第三方责任保险，并在报价措施费中列支必须的费用清单。</w:t>
      </w:r>
    </w:p>
    <w:p w14:paraId="1C01E6C5">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4.</w:t>
      </w:r>
      <w:r>
        <w:rPr>
          <w:rFonts w:ascii="Times New Roman" w:hAnsi="Times New Roman" w:eastAsia="方正兰亭黑简体" w:cs="Times New Roman"/>
          <w:color w:val="auto"/>
          <w:sz w:val="22"/>
          <w:szCs w:val="28"/>
          <w:highlight w:val="none"/>
        </w:rPr>
        <w:t>其他要求：</w:t>
      </w:r>
    </w:p>
    <w:p w14:paraId="0FFEDF06">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4</w:t>
      </w:r>
      <w:r>
        <w:rPr>
          <w:rFonts w:ascii="Times New Roman" w:hAnsi="Times New Roman" w:eastAsia="方正兰亭黑简体" w:cs="Times New Roman"/>
          <w:color w:val="auto"/>
          <w:sz w:val="22"/>
          <w:szCs w:val="28"/>
          <w:highlight w:val="none"/>
        </w:rPr>
        <w:t>.1节能政策</w:t>
      </w:r>
    </w:p>
    <w:p w14:paraId="3FBE9949">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根据《财政部发展改革委生态环境部市场监管总局关于调整优化节能产品、环境标志产品政府采购执行机制的通知》（财库〔2019〕9号）以及财政部、发展改革委发布的《节能产品政府采购品目清单》，本项目采购的多联式空调机组属于政府强制采购节能产品。</w:t>
      </w:r>
    </w:p>
    <w:p w14:paraId="0E0B5087">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4</w:t>
      </w:r>
      <w:r>
        <w:rPr>
          <w:rFonts w:ascii="Times New Roman" w:hAnsi="Times New Roman" w:eastAsia="方正兰亭黑简体" w:cs="Times New Roman"/>
          <w:color w:val="auto"/>
          <w:sz w:val="22"/>
          <w:szCs w:val="28"/>
          <w:highlight w:val="none"/>
        </w:rPr>
        <w:t>.2投标人在投标前应认真了解现场实际运输、安装条件、基础条件和其他相关条件。招标人对货物的尺寸有要求的，卖方提供的货物尺寸应符合招标人的规定。</w:t>
      </w:r>
    </w:p>
    <w:p w14:paraId="631CF7B3">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4.</w:t>
      </w:r>
      <w:r>
        <w:rPr>
          <w:rFonts w:ascii="Times New Roman" w:hAnsi="Times New Roman" w:eastAsia="方正兰亭黑简体" w:cs="Times New Roman"/>
          <w:color w:val="auto"/>
          <w:sz w:val="22"/>
          <w:szCs w:val="28"/>
          <w:highlight w:val="none"/>
        </w:rPr>
        <w:t>3由采购人提供的资料和数据，只是使投标人能够利用采购人现有的资料。采购人对投标人未了解安装现场，仅凭资料而由此作出的推论、解释和结论概不负责。</w:t>
      </w:r>
    </w:p>
    <w:p w14:paraId="695771C1">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4.</w:t>
      </w:r>
      <w:r>
        <w:rPr>
          <w:rFonts w:ascii="Times New Roman" w:hAnsi="Times New Roman" w:eastAsia="方正兰亭黑简体" w:cs="Times New Roman"/>
          <w:color w:val="auto"/>
          <w:sz w:val="22"/>
          <w:szCs w:val="28"/>
          <w:highlight w:val="none"/>
        </w:rPr>
        <w:t>4机组外壳材料、构架及内部部件、配件的表面处理应有良好的防腐性能，在机组所处的环境条件下应保证10年不生锈。室内机应满足冷凝水排放要求，应配冷凝水提升泵。</w:t>
      </w:r>
    </w:p>
    <w:p w14:paraId="5AB3F03F">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4.</w:t>
      </w:r>
      <w:r>
        <w:rPr>
          <w:rFonts w:ascii="Times New Roman" w:hAnsi="Times New Roman" w:eastAsia="方正兰亭黑简体" w:cs="Times New Roman"/>
          <w:color w:val="auto"/>
          <w:sz w:val="22"/>
          <w:szCs w:val="28"/>
          <w:highlight w:val="none"/>
        </w:rPr>
        <w:t>5中标人在货物供货前应对所供设备结合使用现场和本市环境实际条件情况能否达到满足合理的舒适环境标准进行复核，并根据复核结果提出合理建议报采购人批准。</w:t>
      </w:r>
    </w:p>
    <w:p w14:paraId="441499BF">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4.</w:t>
      </w:r>
      <w:r>
        <w:rPr>
          <w:rFonts w:ascii="Times New Roman" w:hAnsi="Times New Roman" w:eastAsia="方正兰亭黑简体" w:cs="Times New Roman"/>
          <w:color w:val="auto"/>
          <w:sz w:val="22"/>
          <w:szCs w:val="28"/>
          <w:highlight w:val="none"/>
        </w:rPr>
        <w:t>6中标人在货物供货前需将采购人所需货物的技术资料和使用条件报采购人认可后方可订货（组织生产）、供货。本项目调试安排及试用期间管理将纳入采购人的管理范围，中标人在此过程中须服从采购人的管理协调。</w:t>
      </w:r>
    </w:p>
    <w:p w14:paraId="655B0DB3">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4.</w:t>
      </w:r>
      <w:r>
        <w:rPr>
          <w:rFonts w:ascii="Times New Roman" w:hAnsi="Times New Roman" w:eastAsia="方正兰亭黑简体" w:cs="Times New Roman"/>
          <w:color w:val="auto"/>
          <w:sz w:val="22"/>
          <w:szCs w:val="28"/>
          <w:highlight w:val="none"/>
        </w:rPr>
        <w:t>7乙方施工负责范围：</w:t>
      </w:r>
    </w:p>
    <w:p w14:paraId="712979A5">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1、根据国家技术操作规范，按图精心施工，保质保量完成本合同项目。</w:t>
      </w:r>
    </w:p>
    <w:p w14:paraId="5F2CA52D">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2、在施工中应确保安全生产，遵守国家规定的安全规章制度。</w:t>
      </w:r>
    </w:p>
    <w:p w14:paraId="4EC9A176">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3、室内、外机组及线控器就位安装。</w:t>
      </w:r>
    </w:p>
    <w:p w14:paraId="28441E36">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4、施工过程中的管道打洞及封堵。</w:t>
      </w:r>
    </w:p>
    <w:p w14:paraId="5847B823">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5、室内外机组间冷媒管道安装连接，清洗、试压。</w:t>
      </w:r>
    </w:p>
    <w:p w14:paraId="526FEB3C">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6、室内、外机组间信号连接。</w:t>
      </w:r>
    </w:p>
    <w:p w14:paraId="2AA03271">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7、室内机组、室外机电源线电箱开关连接，室外机需要装隔离开关，由投标人负责。</w:t>
      </w:r>
    </w:p>
    <w:p w14:paraId="5EBBE421">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8、室内机组与有线温控器间信号系统安装与连接，室外机与室内机通讯线安装与接线。</w:t>
      </w:r>
    </w:p>
    <w:p w14:paraId="692B9FFA">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9、室内机冷凝水系统的安装。</w:t>
      </w:r>
    </w:p>
    <w:p w14:paraId="49A5196E">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10、系统调试。</w:t>
      </w:r>
    </w:p>
    <w:p w14:paraId="5DCD621B">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甲方配合工作：</w:t>
      </w:r>
    </w:p>
    <w:p w14:paraId="2B399B26">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1、甲方提供施工仓库。</w:t>
      </w:r>
    </w:p>
    <w:p w14:paraId="5C01C583">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5.</w:t>
      </w:r>
      <w:r>
        <w:rPr>
          <w:rFonts w:ascii="Times New Roman" w:hAnsi="Times New Roman" w:eastAsia="方正兰亭黑简体" w:cs="Times New Roman"/>
          <w:color w:val="auto"/>
          <w:sz w:val="22"/>
          <w:szCs w:val="28"/>
          <w:highlight w:val="none"/>
        </w:rPr>
        <w:t>质量标准与验收要求</w:t>
      </w:r>
    </w:p>
    <w:p w14:paraId="4B032215">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5.</w:t>
      </w:r>
      <w:r>
        <w:rPr>
          <w:rFonts w:ascii="Times New Roman" w:hAnsi="Times New Roman" w:eastAsia="方正兰亭黑简体" w:cs="Times New Roman"/>
          <w:color w:val="auto"/>
          <w:sz w:val="22"/>
          <w:szCs w:val="28"/>
          <w:highlight w:val="none"/>
        </w:rPr>
        <w:t>1投标人提供的产品和相关服务应符合国家和上海市与本项目有关的各项质量和安全标准、规范和验收要求以及相关政府管理部门和行业有关规定和规程，标准、规范等不一致的，以要求严的为准。安装后机组室内、室外噪音还应满足环保与环境使用要求(距机组1m测试)，投标单位应提供机组设备噪音指标。</w:t>
      </w:r>
    </w:p>
    <w:p w14:paraId="523F6442">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5.</w:t>
      </w:r>
      <w:r>
        <w:rPr>
          <w:rFonts w:ascii="Times New Roman" w:hAnsi="Times New Roman" w:eastAsia="方正兰亭黑简体" w:cs="Times New Roman"/>
          <w:color w:val="auto"/>
          <w:sz w:val="22"/>
          <w:szCs w:val="28"/>
          <w:highlight w:val="none"/>
        </w:rPr>
        <w:t>2如验收未获通过，中标人应整改至合格并接受采购人按照合同约定的违约处理。</w:t>
      </w:r>
    </w:p>
    <w:p w14:paraId="64F60FA4">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5.</w:t>
      </w:r>
      <w:r>
        <w:rPr>
          <w:rFonts w:ascii="Times New Roman" w:hAnsi="Times New Roman" w:eastAsia="方正兰亭黑简体" w:cs="Times New Roman"/>
          <w:color w:val="auto"/>
          <w:sz w:val="22"/>
          <w:szCs w:val="28"/>
          <w:highlight w:val="none"/>
        </w:rPr>
        <w:t>3中标人应承诺根据招标方要求提供2套全套资料，并负责或配合招标方完成资料竣工档案的编制工作。</w:t>
      </w:r>
    </w:p>
    <w:p w14:paraId="4EC2F459">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5.</w:t>
      </w:r>
      <w:r>
        <w:rPr>
          <w:rFonts w:ascii="Times New Roman" w:hAnsi="Times New Roman" w:eastAsia="方正兰亭黑简体" w:cs="Times New Roman"/>
          <w:color w:val="auto"/>
          <w:sz w:val="22"/>
          <w:szCs w:val="28"/>
          <w:highlight w:val="none"/>
        </w:rPr>
        <w:t>4、在货物交货时，中标人需向招标人出示产品质量与数量证明文件等资料。每套资料内容至少应包括：</w:t>
      </w:r>
    </w:p>
    <w:p w14:paraId="2824D825">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(1)产品出厂检验检测报告</w:t>
      </w:r>
    </w:p>
    <w:p w14:paraId="2884C6CE">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(2)产品出厂检验合格证/质量证明</w:t>
      </w:r>
    </w:p>
    <w:p w14:paraId="08CB8BA1">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(3)产品装箱单</w:t>
      </w:r>
    </w:p>
    <w:p w14:paraId="03B85B36">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(4)产品质量保证书</w:t>
      </w:r>
    </w:p>
    <w:p w14:paraId="528FD12D">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(5)设备原产地证书（如需）</w:t>
      </w:r>
    </w:p>
    <w:p w14:paraId="72588BC7">
      <w:pPr>
        <w:rPr>
          <w:rFonts w:ascii="Times New Roman" w:hAnsi="Times New Roman" w:eastAsia="方正兰亭黑简体" w:cs="Times New Roman"/>
          <w:color w:val="auto"/>
          <w:sz w:val="22"/>
          <w:szCs w:val="28"/>
          <w:highlight w:val="none"/>
        </w:rPr>
      </w:pPr>
      <w:r>
        <w:rPr>
          <w:rFonts w:ascii="Times New Roman" w:hAnsi="Times New Roman" w:eastAsia="方正兰亭黑简体" w:cs="Times New Roman"/>
          <w:color w:val="auto"/>
          <w:sz w:val="22"/>
          <w:szCs w:val="28"/>
          <w:highlight w:val="none"/>
        </w:rPr>
        <w:t>(6)其它有关招标方需归档的文件</w:t>
      </w:r>
    </w:p>
    <w:p w14:paraId="49F748BA">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6</w:t>
      </w:r>
      <w:r>
        <w:rPr>
          <w:rFonts w:ascii="Times New Roman" w:hAnsi="Times New Roman" w:eastAsia="方正兰亭黑简体" w:cs="Times New Roman"/>
          <w:color w:val="auto"/>
          <w:sz w:val="22"/>
          <w:szCs w:val="28"/>
          <w:highlight w:val="none"/>
        </w:rPr>
        <w:t>、所投标产品应按国标、部标或行业标准要求制造，达到合格标准。</w:t>
      </w:r>
    </w:p>
    <w:p w14:paraId="2EADF617">
      <w:pPr>
        <w:rPr>
          <w:rFonts w:ascii="Times New Roman" w:hAnsi="Times New Roman" w:eastAsia="方正兰亭黑简体" w:cs="Times New Roman"/>
          <w:color w:val="auto"/>
          <w:sz w:val="22"/>
          <w:szCs w:val="28"/>
          <w:highlight w:val="none"/>
        </w:rPr>
      </w:pPr>
      <w:r>
        <w:rPr>
          <w:rFonts w:hint="eastAsia" w:ascii="Times New Roman" w:hAnsi="Times New Roman" w:eastAsia="方正兰亭黑简体" w:cs="Times New Roman"/>
          <w:color w:val="auto"/>
          <w:sz w:val="22"/>
          <w:szCs w:val="28"/>
          <w:highlight w:val="none"/>
        </w:rPr>
        <w:t>7</w:t>
      </w:r>
      <w:r>
        <w:rPr>
          <w:rFonts w:ascii="Times New Roman" w:hAnsi="Times New Roman" w:eastAsia="方正兰亭黑简体" w:cs="Times New Roman"/>
          <w:color w:val="auto"/>
          <w:sz w:val="22"/>
          <w:szCs w:val="28"/>
          <w:highlight w:val="none"/>
        </w:rPr>
        <w:t>、售后服务不少于2年，各投标单位自报。</w:t>
      </w:r>
    </w:p>
    <w:p w14:paraId="62C6A71F">
      <w:pPr>
        <w:widowControl/>
        <w:shd w:val="clear" w:color="auto" w:fill="FFFFFF"/>
        <w:jc w:val="left"/>
        <w:rPr>
          <w:rFonts w:hint="eastAsia" w:ascii="方正兰亭黑简体" w:hAnsi="方正兰亭黑简体" w:eastAsia="方正兰亭黑简体" w:cs="方正兰亭黑简体"/>
          <w:b/>
          <w:bCs/>
          <w:color w:val="auto"/>
          <w:kern w:val="0"/>
          <w:sz w:val="22"/>
          <w:szCs w:val="22"/>
          <w:highlight w:val="none"/>
        </w:rPr>
      </w:pPr>
    </w:p>
    <w:p w14:paraId="7A063723">
      <w:pPr>
        <w:widowControl/>
        <w:shd w:val="clear" w:color="auto" w:fill="FFFFFF"/>
        <w:jc w:val="left"/>
        <w:rPr>
          <w:rFonts w:hint="eastAsia" w:ascii="方正兰亭黑简体" w:hAnsi="方正兰亭黑简体" w:eastAsia="方正兰亭黑简体" w:cs="方正兰亭黑简体"/>
          <w:color w:val="auto"/>
          <w:kern w:val="0"/>
          <w:sz w:val="22"/>
          <w:szCs w:val="22"/>
          <w:highlight w:val="none"/>
        </w:rPr>
      </w:pPr>
      <w:r>
        <w:rPr>
          <w:rFonts w:hint="eastAsia" w:ascii="方正兰亭黑简体" w:hAnsi="方正兰亭黑简体" w:eastAsia="方正兰亭黑简体" w:cs="方正兰亭黑简体"/>
          <w:b/>
          <w:bCs/>
          <w:color w:val="auto"/>
          <w:kern w:val="0"/>
          <w:sz w:val="22"/>
          <w:szCs w:val="22"/>
          <w:highlight w:val="none"/>
        </w:rPr>
        <w:t>三</w:t>
      </w:r>
      <w:r>
        <w:rPr>
          <w:rFonts w:ascii="方正兰亭黑简体" w:hAnsi="方正兰亭黑简体" w:eastAsia="方正兰亭黑简体" w:cs="方正兰亭黑简体"/>
          <w:b/>
          <w:bCs/>
          <w:color w:val="auto"/>
          <w:kern w:val="0"/>
          <w:sz w:val="22"/>
          <w:szCs w:val="22"/>
          <w:highlight w:val="none"/>
        </w:rPr>
        <w:t>、</w:t>
      </w:r>
      <w:r>
        <w:rPr>
          <w:rFonts w:hint="eastAsia" w:ascii="方正兰亭黑简体" w:hAnsi="方正兰亭黑简体" w:eastAsia="方正兰亭黑简体" w:cs="方正兰亭黑简体"/>
          <w:b/>
          <w:bCs/>
          <w:color w:val="auto"/>
          <w:kern w:val="0"/>
          <w:sz w:val="22"/>
          <w:szCs w:val="22"/>
          <w:highlight w:val="none"/>
        </w:rPr>
        <w:t>其他要求</w:t>
      </w:r>
    </w:p>
    <w:p w14:paraId="5B7E229D">
      <w:pPr>
        <w:widowControl/>
        <w:shd w:val="clear" w:color="auto" w:fill="FFFFFF"/>
        <w:spacing w:line="360" w:lineRule="auto"/>
        <w:jc w:val="left"/>
        <w:rPr>
          <w:rFonts w:ascii="Times New Roman" w:hAnsi="Times New Roman" w:eastAsia="方正兰亭黑简体" w:cs="Times New Roman"/>
          <w:color w:val="auto"/>
          <w:kern w:val="0"/>
          <w:sz w:val="22"/>
          <w:szCs w:val="22"/>
          <w:highlight w:val="none"/>
        </w:rPr>
      </w:pPr>
      <w:r>
        <w:rPr>
          <w:rFonts w:hint="eastAsia" w:ascii="Times New Roman" w:hAnsi="Times New Roman" w:eastAsia="方正兰亭黑简体" w:cs="Times New Roman"/>
          <w:color w:val="auto"/>
          <w:kern w:val="0"/>
          <w:sz w:val="22"/>
          <w:szCs w:val="22"/>
          <w:highlight w:val="none"/>
        </w:rPr>
        <w:t>1.质保时间</w:t>
      </w:r>
    </w:p>
    <w:p w14:paraId="1102C644">
      <w:pPr>
        <w:widowControl/>
        <w:shd w:val="clear" w:color="auto" w:fill="FFFFFF"/>
        <w:spacing w:line="360" w:lineRule="auto"/>
        <w:jc w:val="left"/>
        <w:rPr>
          <w:rFonts w:ascii="Times New Roman" w:hAnsi="Times New Roman" w:eastAsia="方正兰亭黑简体" w:cs="Times New Roman"/>
          <w:color w:val="auto"/>
          <w:kern w:val="0"/>
          <w:sz w:val="22"/>
          <w:szCs w:val="22"/>
          <w:highlight w:val="none"/>
        </w:rPr>
      </w:pPr>
      <w:r>
        <w:rPr>
          <w:rFonts w:hint="eastAsia" w:ascii="Times New Roman" w:hAnsi="Times New Roman" w:eastAsia="方正兰亭黑简体" w:cs="Times New Roman"/>
          <w:color w:val="auto"/>
          <w:kern w:val="0"/>
          <w:sz w:val="22"/>
          <w:szCs w:val="22"/>
          <w:highlight w:val="none"/>
        </w:rPr>
        <w:t>（1）质保期至少2年，质保期内原厂提供免费上门维护服务；</w:t>
      </w:r>
    </w:p>
    <w:p w14:paraId="327CE164">
      <w:pPr>
        <w:widowControl/>
        <w:shd w:val="clear" w:color="auto" w:fill="FFFFFF"/>
        <w:spacing w:line="360" w:lineRule="auto"/>
        <w:jc w:val="left"/>
        <w:rPr>
          <w:rFonts w:ascii="Times New Roman" w:hAnsi="Times New Roman" w:eastAsia="方正兰亭黑简体" w:cs="Times New Roman"/>
          <w:color w:val="auto"/>
          <w:kern w:val="0"/>
          <w:sz w:val="22"/>
          <w:szCs w:val="22"/>
          <w:highlight w:val="none"/>
        </w:rPr>
      </w:pPr>
      <w:r>
        <w:rPr>
          <w:rFonts w:hint="eastAsia" w:ascii="Times New Roman" w:hAnsi="Times New Roman" w:eastAsia="方正兰亭黑简体" w:cs="Times New Roman"/>
          <w:color w:val="auto"/>
          <w:kern w:val="0"/>
          <w:sz w:val="22"/>
          <w:szCs w:val="22"/>
          <w:highlight w:val="none"/>
        </w:rPr>
        <w:t>（2）质保期内所有设备保修服务方式均为设备生产厂家上门保修，即厂家派员到用户设备使用现场维修，由此产生的一切费用均由供应商或厂家承担；</w:t>
      </w:r>
    </w:p>
    <w:p w14:paraId="7BDF8620">
      <w:pPr>
        <w:widowControl/>
        <w:shd w:val="clear" w:color="auto" w:fill="FFFFFF"/>
        <w:spacing w:line="360" w:lineRule="auto"/>
        <w:jc w:val="left"/>
        <w:rPr>
          <w:rFonts w:ascii="Times New Roman" w:hAnsi="Times New Roman" w:eastAsia="方正兰亭黑简体" w:cs="Times New Roman"/>
          <w:color w:val="auto"/>
          <w:kern w:val="0"/>
          <w:sz w:val="22"/>
          <w:szCs w:val="22"/>
          <w:highlight w:val="none"/>
        </w:rPr>
      </w:pPr>
      <w:r>
        <w:rPr>
          <w:rFonts w:hint="eastAsia" w:ascii="Times New Roman" w:hAnsi="Times New Roman" w:eastAsia="方正兰亭黑简体" w:cs="Times New Roman"/>
          <w:color w:val="auto"/>
          <w:kern w:val="0"/>
          <w:sz w:val="22"/>
          <w:szCs w:val="22"/>
          <w:highlight w:val="none"/>
        </w:rPr>
        <w:t>（3）中标人应在设备质保期后适当年限内，有足够的备用件替换，以确保设备在无须更换关键器件的条件下能够连续正常运作而又不降低设备的可靠性，中标人须做出出承诺。</w:t>
      </w:r>
    </w:p>
    <w:p w14:paraId="492980CC">
      <w:pPr>
        <w:widowControl/>
        <w:shd w:val="clear" w:color="auto" w:fill="FFFFFF"/>
        <w:spacing w:line="360" w:lineRule="auto"/>
        <w:jc w:val="left"/>
        <w:rPr>
          <w:rFonts w:ascii="Times New Roman" w:hAnsi="Times New Roman" w:eastAsia="方正兰亭黑简体" w:cs="Times New Roman"/>
          <w:color w:val="auto"/>
          <w:kern w:val="0"/>
          <w:sz w:val="22"/>
          <w:szCs w:val="22"/>
          <w:highlight w:val="none"/>
        </w:rPr>
      </w:pPr>
      <w:r>
        <w:rPr>
          <w:rFonts w:hint="eastAsia" w:ascii="Times New Roman" w:hAnsi="Times New Roman" w:eastAsia="方正兰亭黑简体" w:cs="Times New Roman"/>
          <w:color w:val="auto"/>
          <w:kern w:val="0"/>
          <w:sz w:val="22"/>
          <w:szCs w:val="22"/>
          <w:highlight w:val="none"/>
        </w:rPr>
        <w:t>2</w:t>
      </w:r>
      <w:r>
        <w:rPr>
          <w:rFonts w:ascii="Times New Roman" w:hAnsi="Times New Roman" w:eastAsia="方正兰亭黑简体" w:cs="Times New Roman"/>
          <w:color w:val="auto"/>
          <w:kern w:val="0"/>
          <w:sz w:val="22"/>
          <w:szCs w:val="22"/>
          <w:highlight w:val="none"/>
        </w:rPr>
        <w:t>.</w:t>
      </w:r>
      <w:r>
        <w:rPr>
          <w:rFonts w:hint="eastAsia" w:ascii="Times New Roman" w:hAnsi="Times New Roman" w:eastAsia="方正兰亭黑简体" w:cs="Times New Roman"/>
          <w:color w:val="auto"/>
          <w:kern w:val="0"/>
          <w:sz w:val="22"/>
          <w:szCs w:val="22"/>
          <w:highlight w:val="none"/>
        </w:rPr>
        <w:t>售后服务标准</w:t>
      </w:r>
    </w:p>
    <w:p w14:paraId="583EDFA9">
      <w:pPr>
        <w:widowControl/>
        <w:shd w:val="clear" w:color="auto" w:fill="FFFFFF"/>
        <w:spacing w:line="360" w:lineRule="auto"/>
        <w:jc w:val="left"/>
        <w:rPr>
          <w:rFonts w:ascii="Times New Roman" w:hAnsi="Times New Roman" w:eastAsia="方正兰亭黑简体" w:cs="Times New Roman"/>
          <w:color w:val="auto"/>
          <w:kern w:val="0"/>
          <w:sz w:val="22"/>
          <w:szCs w:val="22"/>
          <w:highlight w:val="none"/>
        </w:rPr>
      </w:pPr>
      <w:r>
        <w:rPr>
          <w:rFonts w:hint="eastAsia" w:ascii="Times New Roman" w:hAnsi="Times New Roman" w:eastAsia="方正兰亭黑简体" w:cs="Times New Roman"/>
          <w:color w:val="auto"/>
          <w:kern w:val="0"/>
          <w:sz w:val="22"/>
          <w:szCs w:val="22"/>
          <w:highlight w:val="none"/>
        </w:rPr>
        <w:t>（1）故障响应为全天候，需提供至少7天×24小时服务级别的报修电话，响应时间为1小时，一周内不能修复的设备必须提供同等水平的替代设备保证正常运行。如因中标人违反以上规定而导致采购人发生各类事故，责任完全由中标人承担。</w:t>
      </w:r>
    </w:p>
    <w:p w14:paraId="7F173028">
      <w:pPr>
        <w:widowControl/>
        <w:shd w:val="clear" w:color="auto" w:fill="FFFFFF"/>
        <w:spacing w:line="360" w:lineRule="auto"/>
        <w:jc w:val="left"/>
        <w:rPr>
          <w:rFonts w:ascii="Times New Roman" w:hAnsi="Times New Roman" w:eastAsia="方正兰亭黑简体" w:cs="Times New Roman"/>
          <w:color w:val="auto"/>
          <w:kern w:val="0"/>
          <w:sz w:val="22"/>
          <w:szCs w:val="22"/>
          <w:highlight w:val="none"/>
        </w:rPr>
      </w:pPr>
      <w:r>
        <w:rPr>
          <w:rFonts w:hint="eastAsia" w:ascii="Times New Roman" w:hAnsi="Times New Roman" w:eastAsia="方正兰亭黑简体" w:cs="Times New Roman"/>
          <w:color w:val="auto"/>
          <w:kern w:val="0"/>
          <w:sz w:val="22"/>
          <w:szCs w:val="22"/>
          <w:highlight w:val="none"/>
        </w:rPr>
        <w:t>（2）当接到采购人故障维护请求后，1小时内给予响应，在4小时内中标人将派专门的技术人员到现场了解故障情况，并在8小时内负责维修或者更换损坏的零件、部件或设备。如果还不能解决，中标人承诺在24小时内赶到现场进行故障排除，并提供同等水平的代替设备保证正常运行。</w:t>
      </w:r>
    </w:p>
    <w:p w14:paraId="379F5F99">
      <w:pPr>
        <w:widowControl/>
        <w:shd w:val="clear" w:color="auto" w:fill="FFFFFF"/>
        <w:spacing w:line="360" w:lineRule="auto"/>
        <w:jc w:val="left"/>
        <w:rPr>
          <w:rFonts w:ascii="Times New Roman" w:hAnsi="Times New Roman" w:eastAsia="方正兰亭黑简体" w:cs="Times New Roman"/>
          <w:color w:val="auto"/>
          <w:kern w:val="0"/>
          <w:sz w:val="22"/>
          <w:szCs w:val="22"/>
          <w:highlight w:val="none"/>
        </w:rPr>
      </w:pPr>
      <w:r>
        <w:rPr>
          <w:rFonts w:hint="eastAsia" w:ascii="Times New Roman" w:hAnsi="Times New Roman" w:eastAsia="方正兰亭黑简体" w:cs="Times New Roman"/>
          <w:color w:val="auto"/>
          <w:kern w:val="0"/>
          <w:sz w:val="22"/>
          <w:szCs w:val="22"/>
          <w:highlight w:val="none"/>
        </w:rPr>
        <w:t>3</w:t>
      </w:r>
      <w:r>
        <w:rPr>
          <w:rFonts w:ascii="Times New Roman" w:hAnsi="Times New Roman" w:eastAsia="方正兰亭黑简体" w:cs="Times New Roman"/>
          <w:color w:val="auto"/>
          <w:kern w:val="0"/>
          <w:sz w:val="22"/>
          <w:szCs w:val="22"/>
          <w:highlight w:val="none"/>
        </w:rPr>
        <w:t>.履约验收</w:t>
      </w:r>
    </w:p>
    <w:p w14:paraId="78234E2A">
      <w:pPr>
        <w:widowControl/>
        <w:shd w:val="clear" w:color="auto" w:fill="FFFFFF"/>
        <w:spacing w:line="360" w:lineRule="auto"/>
        <w:jc w:val="left"/>
        <w:rPr>
          <w:rFonts w:ascii="Times New Roman" w:hAnsi="Times New Roman" w:eastAsia="方正兰亭黑简体" w:cs="Times New Roman"/>
          <w:color w:val="auto"/>
          <w:kern w:val="0"/>
          <w:sz w:val="22"/>
          <w:szCs w:val="22"/>
          <w:highlight w:val="none"/>
        </w:rPr>
      </w:pPr>
      <w:r>
        <w:rPr>
          <w:rFonts w:hint="eastAsia" w:ascii="Times New Roman" w:hAnsi="Times New Roman" w:eastAsia="方正兰亭黑简体" w:cs="Times New Roman"/>
          <w:color w:val="auto"/>
          <w:kern w:val="0"/>
          <w:sz w:val="22"/>
          <w:szCs w:val="22"/>
          <w:highlight w:val="none"/>
        </w:rPr>
        <w:t>采购人按学校相关规定组织验收小组对供应商交付的货物及服务进行验收。</w:t>
      </w:r>
    </w:p>
    <w:p w14:paraId="7D7A9C70">
      <w:pPr>
        <w:widowControl/>
        <w:shd w:val="clear" w:color="auto" w:fill="FFFFFF"/>
        <w:spacing w:line="360" w:lineRule="auto"/>
        <w:jc w:val="left"/>
        <w:rPr>
          <w:rFonts w:ascii="Times New Roman" w:hAnsi="Times New Roman" w:eastAsia="方正兰亭黑简体" w:cs="Times New Roman"/>
          <w:color w:val="auto"/>
          <w:kern w:val="0"/>
          <w:sz w:val="22"/>
          <w:szCs w:val="22"/>
          <w:highlight w:val="none"/>
        </w:rPr>
      </w:pPr>
      <w:r>
        <w:rPr>
          <w:rFonts w:hint="eastAsia" w:ascii="Times New Roman" w:hAnsi="Times New Roman" w:eastAsia="方正兰亭黑简体" w:cs="Times New Roman"/>
          <w:color w:val="auto"/>
          <w:kern w:val="0"/>
          <w:sz w:val="22"/>
          <w:szCs w:val="22"/>
          <w:highlight w:val="none"/>
        </w:rPr>
        <w:t>供货数量、型号和硬件规格以实物、产品资料及现场检测结果核对。</w:t>
      </w:r>
    </w:p>
    <w:p w14:paraId="63D06634">
      <w:pPr>
        <w:widowControl/>
        <w:shd w:val="clear" w:color="auto" w:fill="FFFFFF"/>
        <w:spacing w:line="360" w:lineRule="auto"/>
        <w:jc w:val="left"/>
        <w:rPr>
          <w:rFonts w:ascii="Times New Roman" w:hAnsi="Times New Roman" w:eastAsia="方正兰亭黑简体" w:cs="Times New Roman"/>
          <w:color w:val="auto"/>
          <w:kern w:val="0"/>
          <w:sz w:val="22"/>
          <w:szCs w:val="22"/>
          <w:highlight w:val="none"/>
        </w:rPr>
      </w:pPr>
      <w:r>
        <w:rPr>
          <w:rFonts w:hint="eastAsia" w:ascii="Times New Roman" w:hAnsi="Times New Roman" w:eastAsia="方正兰亭黑简体" w:cs="Times New Roman"/>
          <w:color w:val="auto"/>
          <w:kern w:val="0"/>
          <w:sz w:val="22"/>
          <w:szCs w:val="22"/>
          <w:highlight w:val="none"/>
        </w:rPr>
        <w:t>外观安装：设备安装牢固水平，外壳完好无破损，管路、布线整齐规范。</w:t>
      </w:r>
    </w:p>
    <w:p w14:paraId="4CEDB9EC">
      <w:pPr>
        <w:widowControl/>
        <w:shd w:val="clear" w:color="auto" w:fill="FFFFFF"/>
        <w:spacing w:line="360" w:lineRule="auto"/>
        <w:jc w:val="left"/>
        <w:rPr>
          <w:rFonts w:ascii="Times New Roman" w:hAnsi="Times New Roman" w:eastAsia="方正兰亭黑简体" w:cs="Times New Roman"/>
          <w:color w:val="auto"/>
          <w:kern w:val="0"/>
          <w:sz w:val="22"/>
          <w:szCs w:val="22"/>
          <w:highlight w:val="none"/>
        </w:rPr>
      </w:pPr>
      <w:r>
        <w:rPr>
          <w:rFonts w:hint="eastAsia" w:ascii="Times New Roman" w:hAnsi="Times New Roman" w:eastAsia="方正兰亭黑简体" w:cs="Times New Roman"/>
          <w:color w:val="auto"/>
          <w:kern w:val="0"/>
          <w:sz w:val="22"/>
          <w:szCs w:val="22"/>
          <w:highlight w:val="none"/>
        </w:rPr>
        <w:t>运行状态：机组启停正常，压缩机、风机运转无异响、无故障报警。</w:t>
      </w:r>
    </w:p>
    <w:p w14:paraId="57027530">
      <w:pPr>
        <w:widowControl/>
        <w:shd w:val="clear" w:color="auto" w:fill="FFFFFF"/>
        <w:spacing w:line="360" w:lineRule="auto"/>
        <w:jc w:val="left"/>
        <w:rPr>
          <w:rFonts w:ascii="Times New Roman" w:hAnsi="Times New Roman" w:eastAsia="方正兰亭黑简体" w:cs="Times New Roman"/>
          <w:color w:val="auto"/>
          <w:kern w:val="0"/>
          <w:sz w:val="22"/>
          <w:szCs w:val="22"/>
          <w:highlight w:val="none"/>
        </w:rPr>
      </w:pPr>
      <w:r>
        <w:rPr>
          <w:rFonts w:hint="eastAsia" w:ascii="Times New Roman" w:hAnsi="Times New Roman" w:eastAsia="方正兰亭黑简体" w:cs="Times New Roman"/>
          <w:color w:val="auto"/>
          <w:kern w:val="0"/>
          <w:sz w:val="22"/>
          <w:szCs w:val="22"/>
          <w:highlight w:val="none"/>
        </w:rPr>
        <w:t>系统控制：温度可控，冷/热/风量调节功能正常，满足使用需求。</w:t>
      </w:r>
    </w:p>
    <w:p w14:paraId="1456A634">
      <w:pPr>
        <w:widowControl/>
        <w:shd w:val="clear" w:color="auto" w:fill="FFFFFF"/>
        <w:spacing w:line="360" w:lineRule="auto"/>
        <w:jc w:val="left"/>
        <w:rPr>
          <w:rFonts w:ascii="Times New Roman" w:hAnsi="Times New Roman" w:eastAsia="方正兰亭黑简体" w:cs="Times New Roman"/>
          <w:color w:val="auto"/>
          <w:kern w:val="0"/>
          <w:sz w:val="22"/>
          <w:szCs w:val="22"/>
          <w:highlight w:val="none"/>
        </w:rPr>
      </w:pPr>
      <w:r>
        <w:rPr>
          <w:rFonts w:hint="eastAsia" w:ascii="Times New Roman" w:hAnsi="Times New Roman" w:eastAsia="方正兰亭黑简体" w:cs="Times New Roman"/>
          <w:color w:val="auto"/>
          <w:kern w:val="0"/>
          <w:sz w:val="22"/>
          <w:szCs w:val="22"/>
          <w:highlight w:val="none"/>
        </w:rPr>
        <w:t>管路密封：冷媒无泄漏，冷凝水排水通畅，无渗水、漏风、结露问题。</w:t>
      </w:r>
    </w:p>
    <w:p w14:paraId="5B32E4B7">
      <w:pPr>
        <w:widowControl/>
        <w:shd w:val="clear" w:color="auto" w:fill="FFFFFF"/>
        <w:spacing w:line="360" w:lineRule="auto"/>
        <w:jc w:val="left"/>
        <w:rPr>
          <w:rFonts w:ascii="Times New Roman" w:hAnsi="Times New Roman" w:eastAsia="方正兰亭黑简体" w:cs="Times New Roman"/>
          <w:color w:val="auto"/>
          <w:kern w:val="0"/>
          <w:sz w:val="22"/>
          <w:szCs w:val="22"/>
          <w:highlight w:val="none"/>
        </w:rPr>
      </w:pPr>
      <w:r>
        <w:rPr>
          <w:rFonts w:hint="eastAsia" w:ascii="Times New Roman" w:hAnsi="Times New Roman" w:eastAsia="方正兰亭黑简体" w:cs="Times New Roman"/>
          <w:color w:val="auto"/>
          <w:kern w:val="0"/>
          <w:sz w:val="22"/>
          <w:szCs w:val="22"/>
          <w:highlight w:val="none"/>
        </w:rPr>
        <w:t>安全资料：接地及电气接线合规安全，设备资料、合格证齐全有效。</w:t>
      </w:r>
    </w:p>
    <w:p w14:paraId="4A7D39CA">
      <w:pP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br w:type="page"/>
      </w:r>
    </w:p>
    <w:p w14:paraId="411ED725">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第三章 评审办法</w:t>
      </w:r>
    </w:p>
    <w:p w14:paraId="57307B56">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综合本项目的特点，根据相关法律法规的规定，本着保护竞争，维护采购工作公开、公平、公正原则，特制定本评审办法，作为选定本次采购中标人的依据。</w:t>
      </w:r>
    </w:p>
    <w:p w14:paraId="79F8645C">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1、成立比选评审小组</w:t>
      </w:r>
    </w:p>
    <w:p w14:paraId="492F209F">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采购人将根据货物与服务的特点，依规组建比选小组，比选小组由3人或以上的单数组成。</w:t>
      </w:r>
    </w:p>
    <w:p w14:paraId="30034FB3">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2、具体评分细则如下：</w:t>
      </w:r>
    </w:p>
    <w:tbl>
      <w:tblPr>
        <w:tblStyle w:val="14"/>
        <w:tblW w:w="498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630"/>
        <w:gridCol w:w="2009"/>
        <w:gridCol w:w="774"/>
        <w:gridCol w:w="6284"/>
      </w:tblGrid>
      <w:tr w14:paraId="014335F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5" w:type="pct"/>
            <w:vAlign w:val="center"/>
          </w:tcPr>
          <w:p w14:paraId="0A155B00">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序号</w:t>
            </w:r>
          </w:p>
        </w:tc>
        <w:tc>
          <w:tcPr>
            <w:tcW w:w="1036" w:type="pct"/>
            <w:vAlign w:val="center"/>
          </w:tcPr>
          <w:p w14:paraId="7050C1B9">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评审因素</w:t>
            </w:r>
          </w:p>
        </w:tc>
        <w:tc>
          <w:tcPr>
            <w:tcW w:w="399" w:type="pct"/>
            <w:vAlign w:val="center"/>
          </w:tcPr>
          <w:p w14:paraId="6524D549">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分值</w:t>
            </w:r>
          </w:p>
        </w:tc>
        <w:tc>
          <w:tcPr>
            <w:tcW w:w="3238" w:type="pct"/>
            <w:vAlign w:val="center"/>
          </w:tcPr>
          <w:p w14:paraId="51172DC1">
            <w:pPr>
              <w:spacing w:line="360" w:lineRule="auto"/>
              <w:jc w:val="center"/>
              <w:rPr>
                <w:rFonts w:hint="eastAsia"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评分说明</w:t>
            </w:r>
          </w:p>
        </w:tc>
      </w:tr>
      <w:tr w14:paraId="7BDEFAE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4"/>
            <w:vAlign w:val="center"/>
          </w:tcPr>
          <w:p w14:paraId="0A79C09D">
            <w:pPr>
              <w:spacing w:line="36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一、价格部分</w:t>
            </w:r>
          </w:p>
        </w:tc>
      </w:tr>
      <w:tr w14:paraId="3FE223E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499" w:hRule="atLeast"/>
          <w:jc w:val="center"/>
        </w:trPr>
        <w:tc>
          <w:tcPr>
            <w:tcW w:w="325" w:type="pct"/>
            <w:vAlign w:val="center"/>
          </w:tcPr>
          <w:p w14:paraId="344BB01E">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1</w:t>
            </w:r>
          </w:p>
        </w:tc>
        <w:tc>
          <w:tcPr>
            <w:tcW w:w="1036" w:type="pct"/>
            <w:vAlign w:val="center"/>
          </w:tcPr>
          <w:p w14:paraId="56B04271">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价格得分</w:t>
            </w:r>
          </w:p>
          <w:p w14:paraId="42F1D732">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（客观分）</w:t>
            </w:r>
          </w:p>
        </w:tc>
        <w:tc>
          <w:tcPr>
            <w:tcW w:w="399" w:type="pct"/>
            <w:vAlign w:val="center"/>
          </w:tcPr>
          <w:p w14:paraId="52D97374">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30</w:t>
            </w:r>
          </w:p>
        </w:tc>
        <w:tc>
          <w:tcPr>
            <w:tcW w:w="3238" w:type="pct"/>
            <w:vAlign w:val="center"/>
          </w:tcPr>
          <w:p w14:paraId="7B2EFE42">
            <w:pPr>
              <w:spacing w:line="360" w:lineRule="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采用低价优先法计算，即满足比选文件要求且最低的报价为基准价，其价格分为满分30分。其他报价单位的报价得分计算公式如下：</w:t>
            </w:r>
          </w:p>
          <w:p w14:paraId="54DD1101">
            <w:pPr>
              <w:spacing w:line="360" w:lineRule="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报价得分＝30×（评标基准价/投标报价）。</w:t>
            </w:r>
          </w:p>
        </w:tc>
      </w:tr>
      <w:tr w14:paraId="4D7A244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4"/>
            <w:vAlign w:val="center"/>
          </w:tcPr>
          <w:p w14:paraId="61888599">
            <w:pPr>
              <w:spacing w:line="360" w:lineRule="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二、商务、技术部分</w:t>
            </w:r>
          </w:p>
        </w:tc>
      </w:tr>
      <w:tr w14:paraId="2784A32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21" w:hRule="atLeast"/>
          <w:jc w:val="center"/>
        </w:trPr>
        <w:tc>
          <w:tcPr>
            <w:tcW w:w="325" w:type="pct"/>
            <w:vAlign w:val="center"/>
          </w:tcPr>
          <w:p w14:paraId="61CDE479">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2</w:t>
            </w:r>
          </w:p>
        </w:tc>
        <w:tc>
          <w:tcPr>
            <w:tcW w:w="1036" w:type="pct"/>
            <w:vAlign w:val="center"/>
          </w:tcPr>
          <w:p w14:paraId="32C2D066">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设备技术参数响应</w:t>
            </w:r>
          </w:p>
          <w:p w14:paraId="76C195BE">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（客观分）</w:t>
            </w:r>
          </w:p>
        </w:tc>
        <w:tc>
          <w:tcPr>
            <w:tcW w:w="399" w:type="pct"/>
            <w:vAlign w:val="center"/>
          </w:tcPr>
          <w:p w14:paraId="7B9A9F2B">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24</w:t>
            </w:r>
          </w:p>
        </w:tc>
        <w:tc>
          <w:tcPr>
            <w:tcW w:w="3238" w:type="pct"/>
            <w:vAlign w:val="center"/>
          </w:tcPr>
          <w:p w14:paraId="75D92C47">
            <w:pPr>
              <w:spacing w:line="360" w:lineRule="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根据招标文件采购需求中设备清单及技术参数，“★”号条款参数不满足或存在负偏离的；扣3分，扣完为止。</w:t>
            </w:r>
          </w:p>
        </w:tc>
      </w:tr>
      <w:tr w14:paraId="170EA18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5" w:type="pct"/>
            <w:vAlign w:val="center"/>
          </w:tcPr>
          <w:p w14:paraId="267385F4">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3</w:t>
            </w:r>
          </w:p>
        </w:tc>
        <w:tc>
          <w:tcPr>
            <w:tcW w:w="1036" w:type="pct"/>
            <w:vAlign w:val="center"/>
          </w:tcPr>
          <w:p w14:paraId="38E6AE5E">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项目实施及验收计划</w:t>
            </w:r>
          </w:p>
          <w:p w14:paraId="04BC25FE">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（主观分）</w:t>
            </w:r>
          </w:p>
        </w:tc>
        <w:tc>
          <w:tcPr>
            <w:tcW w:w="399" w:type="pct"/>
            <w:vAlign w:val="center"/>
          </w:tcPr>
          <w:p w14:paraId="410A2C95">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26</w:t>
            </w:r>
          </w:p>
        </w:tc>
        <w:tc>
          <w:tcPr>
            <w:tcW w:w="3238" w:type="pct"/>
            <w:vAlign w:val="center"/>
          </w:tcPr>
          <w:p w14:paraId="3E5D2985">
            <w:pPr>
              <w:spacing w:line="360" w:lineRule="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施工方案、项目实施进度计划、产品的交货、安装、调试、测试方案、与环控系统的对接方案、质量保证措施、保证安全生产，文明施工的措施，相对较优者得20-26分，基本可行者得12-19分，相对较差着得0-11分</w:t>
            </w:r>
          </w:p>
        </w:tc>
      </w:tr>
      <w:tr w14:paraId="177083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97" w:hRule="atLeast"/>
          <w:jc w:val="center"/>
        </w:trPr>
        <w:tc>
          <w:tcPr>
            <w:tcW w:w="325" w:type="pct"/>
            <w:vAlign w:val="center"/>
          </w:tcPr>
          <w:p w14:paraId="27581D40">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4</w:t>
            </w:r>
          </w:p>
        </w:tc>
        <w:tc>
          <w:tcPr>
            <w:tcW w:w="1036" w:type="pct"/>
            <w:tcBorders>
              <w:top w:val="single" w:color="auto" w:sz="6" w:space="0"/>
              <w:left w:val="single" w:color="auto" w:sz="6" w:space="0"/>
              <w:bottom w:val="single" w:color="auto" w:sz="6" w:space="0"/>
              <w:right w:val="single" w:color="auto" w:sz="6" w:space="0"/>
            </w:tcBorders>
            <w:vAlign w:val="center"/>
          </w:tcPr>
          <w:p w14:paraId="7A66EC39">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售后服务方案</w:t>
            </w:r>
          </w:p>
          <w:p w14:paraId="59814DF4">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（主观分）</w:t>
            </w:r>
          </w:p>
        </w:tc>
        <w:tc>
          <w:tcPr>
            <w:tcW w:w="399" w:type="pct"/>
            <w:vAlign w:val="center"/>
          </w:tcPr>
          <w:p w14:paraId="50985E3C">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10</w:t>
            </w:r>
          </w:p>
        </w:tc>
        <w:tc>
          <w:tcPr>
            <w:tcW w:w="3238" w:type="pct"/>
            <w:vAlign w:val="center"/>
          </w:tcPr>
          <w:p w14:paraId="0064006A">
            <w:pPr>
              <w:spacing w:line="360" w:lineRule="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保修承诺的具体内容和实施措施（根据投标人提供的售后服务方案的合理性和可行性进行综合评审，包括服务体系、服务内容、故障解决方案、响应时间、专业技术人员保障，团队等以及质保期后的服务方案，相对较优者得7-10分，基本可行者得4-6分，相对较差着得0-3分</w:t>
            </w:r>
          </w:p>
        </w:tc>
      </w:tr>
      <w:tr w14:paraId="5AF9ABF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774" w:hRule="atLeast"/>
          <w:jc w:val="center"/>
        </w:trPr>
        <w:tc>
          <w:tcPr>
            <w:tcW w:w="325" w:type="pct"/>
            <w:vAlign w:val="center"/>
          </w:tcPr>
          <w:p w14:paraId="526256CF">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5</w:t>
            </w:r>
          </w:p>
        </w:tc>
        <w:tc>
          <w:tcPr>
            <w:tcW w:w="1036" w:type="pct"/>
            <w:vAlign w:val="center"/>
          </w:tcPr>
          <w:p w14:paraId="21A92DA8">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业绩案例</w:t>
            </w:r>
          </w:p>
          <w:p w14:paraId="724945A5">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（客观分）</w:t>
            </w:r>
          </w:p>
        </w:tc>
        <w:tc>
          <w:tcPr>
            <w:tcW w:w="399" w:type="pct"/>
            <w:vAlign w:val="center"/>
          </w:tcPr>
          <w:p w14:paraId="0001ACF4">
            <w:pPr>
              <w:spacing w:line="36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10</w:t>
            </w:r>
          </w:p>
        </w:tc>
        <w:tc>
          <w:tcPr>
            <w:tcW w:w="3238" w:type="pct"/>
            <w:vAlign w:val="center"/>
          </w:tcPr>
          <w:p w14:paraId="5B54B03B">
            <w:pPr>
              <w:spacing w:line="360" w:lineRule="auto"/>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提供投标人或设备厂家近三年以来近似的业绩案例，每提供一项业绩得2分，最高得10分。注：需提供合同复印件或中标通知书，加盖公司公章，复印件需在投标文件中，否则该业绩不予认可。</w:t>
            </w:r>
          </w:p>
        </w:tc>
      </w:tr>
    </w:tbl>
    <w:p w14:paraId="3747E778">
      <w:pPr>
        <w:jc w:val="center"/>
        <w:rPr>
          <w:rFonts w:hint="eastAsia" w:ascii="方正兰亭黑简体" w:hAnsi="方正兰亭黑简体" w:eastAsia="方正兰亭黑简体" w:cs="方正兰亭黑简体"/>
          <w:b/>
          <w:bCs/>
          <w:color w:val="auto"/>
          <w:sz w:val="24"/>
          <w:szCs w:val="32"/>
          <w:highlight w:val="none"/>
        </w:rPr>
        <w:sectPr>
          <w:footerReference r:id="rId3" w:type="default"/>
          <w:type w:val="continuous"/>
          <w:pgSz w:w="11906" w:h="16838"/>
          <w:pgMar w:top="1440" w:right="1080" w:bottom="1440" w:left="1080" w:header="851" w:footer="992" w:gutter="0"/>
          <w:cols w:space="425" w:num="1"/>
          <w:docGrid w:type="lines" w:linePitch="312" w:charSpace="0"/>
        </w:sectPr>
      </w:pPr>
    </w:p>
    <w:p w14:paraId="5C87C946">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第四章 格式附件</w:t>
      </w:r>
    </w:p>
    <w:p w14:paraId="604164BC">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附件1：报价单</w:t>
      </w:r>
    </w:p>
    <w:p w14:paraId="47C26620">
      <w:pPr>
        <w:spacing w:line="440" w:lineRule="exact"/>
        <w:jc w:val="center"/>
        <w:rPr>
          <w:rFonts w:hint="eastAsia" w:ascii="宋体" w:hAnsi="宋体" w:eastAsia="宋体"/>
          <w:color w:val="auto"/>
          <w:sz w:val="24"/>
          <w:highlight w:val="none"/>
        </w:rPr>
      </w:pPr>
      <w:r>
        <w:rPr>
          <w:rFonts w:hint="eastAsia" w:ascii="黑体" w:hAnsi="华文楷体" w:eastAsia="黑体"/>
          <w:b/>
          <w:color w:val="auto"/>
          <w:sz w:val="36"/>
          <w:szCs w:val="36"/>
          <w:highlight w:val="none"/>
        </w:rPr>
        <w:t>报   价   单</w:t>
      </w:r>
    </w:p>
    <w:p w14:paraId="07D4ADB3">
      <w:pPr>
        <w:spacing w:line="440" w:lineRule="exact"/>
        <w:jc w:val="left"/>
        <w:rPr>
          <w:rFonts w:hint="eastAsia" w:ascii="黑体" w:hAnsi="华文楷体" w:eastAsia="黑体"/>
          <w:color w:val="auto"/>
          <w:sz w:val="24"/>
          <w:highlight w:val="none"/>
        </w:rPr>
      </w:pPr>
      <w:r>
        <w:rPr>
          <w:rFonts w:hint="eastAsia" w:ascii="黑体" w:hAnsi="华文楷体" w:eastAsia="黑体"/>
          <w:b/>
          <w:color w:val="auto"/>
          <w:sz w:val="24"/>
          <w:highlight w:val="none"/>
        </w:rPr>
        <w:t xml:space="preserve">TO: </w:t>
      </w:r>
      <w:r>
        <w:rPr>
          <w:rFonts w:hint="eastAsia" w:ascii="黑体" w:hAnsi="华文楷体" w:eastAsia="黑体"/>
          <w:color w:val="auto"/>
          <w:sz w:val="24"/>
          <w:highlight w:val="none"/>
        </w:rPr>
        <w:t xml:space="preserve"> 上海海事大学 采购与招投标管理中心</w:t>
      </w:r>
      <w:r>
        <w:rPr>
          <w:rFonts w:hint="eastAsia" w:ascii="黑体" w:hAnsi="华文楷体" w:eastAsia="黑体"/>
          <w:b/>
          <w:color w:val="auto"/>
          <w:sz w:val="36"/>
          <w:szCs w:val="36"/>
          <w:highlight w:val="none"/>
        </w:rPr>
        <w:t xml:space="preserve">             </w:t>
      </w:r>
      <w:r>
        <w:rPr>
          <w:rFonts w:hint="eastAsia" w:ascii="黑体" w:hAnsi="华文楷体" w:eastAsia="黑体"/>
          <w:color w:val="auto"/>
          <w:sz w:val="24"/>
          <w:highlight w:val="none"/>
        </w:rPr>
        <w:t>项目编号：</w:t>
      </w:r>
      <w:r>
        <w:rPr>
          <w:rFonts w:hint="eastAsia" w:ascii="黑体" w:hAnsi="华文楷体" w:eastAsia="黑体"/>
          <w:color w:val="auto"/>
          <w:sz w:val="24"/>
          <w:highlight w:val="none"/>
          <w:lang w:eastAsia="zh-CN"/>
        </w:rPr>
        <w:t>HFBX2026113</w:t>
      </w:r>
      <w:r>
        <w:rPr>
          <w:rFonts w:hint="eastAsia" w:ascii="黑体" w:hAnsi="华文楷体" w:eastAsia="黑体"/>
          <w:b/>
          <w:color w:val="auto"/>
          <w:sz w:val="36"/>
          <w:szCs w:val="36"/>
          <w:highlight w:val="none"/>
        </w:rPr>
        <w:t xml:space="preserve">                                   </w:t>
      </w:r>
    </w:p>
    <w:p w14:paraId="051857DD">
      <w:pPr>
        <w:spacing w:line="440" w:lineRule="exact"/>
        <w:rPr>
          <w:rFonts w:hint="eastAsia" w:ascii="方正仿宋_GB2312" w:hAnsi="方正仿宋_GB2312" w:eastAsia="方正仿宋_GB2312" w:cs="方正仿宋_GB2312"/>
          <w:b/>
          <w:color w:val="auto"/>
          <w:sz w:val="24"/>
          <w:highlight w:val="none"/>
        </w:rPr>
      </w:pPr>
      <w:r>
        <w:rPr>
          <w:rFonts w:hint="eastAsia" w:ascii="黑体" w:hAnsi="华文楷体" w:eastAsia="黑体"/>
          <w:b/>
          <w:color w:val="auto"/>
          <w:sz w:val="24"/>
          <w:highlight w:val="none"/>
        </w:rPr>
        <w:t>电子邮箱：</w:t>
      </w:r>
      <w:r>
        <w:rPr>
          <w:color w:val="auto"/>
          <w:highlight w:val="none"/>
        </w:rPr>
        <w:fldChar w:fldCharType="begin"/>
      </w:r>
      <w:r>
        <w:rPr>
          <w:color w:val="auto"/>
          <w:highlight w:val="none"/>
        </w:rPr>
        <w:instrText xml:space="preserve"> HYPERLINK "mailto:quotation@shmtu.edu.cn" </w:instrText>
      </w:r>
      <w:r>
        <w:rPr>
          <w:color w:val="auto"/>
          <w:highlight w:val="none"/>
        </w:rPr>
        <w:fldChar w:fldCharType="separate"/>
      </w:r>
      <w:r>
        <w:rPr>
          <w:rStyle w:val="18"/>
          <w:rFonts w:ascii="黑体" w:hAnsi="华文楷体" w:eastAsia="黑体"/>
          <w:b/>
          <w:color w:val="auto"/>
          <w:sz w:val="24"/>
          <w:highlight w:val="none"/>
        </w:rPr>
        <w:t>quotation@shmtu.edu.cn</w:t>
      </w:r>
      <w:r>
        <w:rPr>
          <w:rStyle w:val="18"/>
          <w:rFonts w:ascii="黑体" w:hAnsi="华文楷体" w:eastAsia="黑体"/>
          <w:b/>
          <w:color w:val="auto"/>
          <w:sz w:val="24"/>
          <w:highlight w:val="none"/>
        </w:rPr>
        <w:fldChar w:fldCharType="end"/>
      </w:r>
    </w:p>
    <w:p w14:paraId="11EF76BB">
      <w:pPr>
        <w:spacing w:line="440" w:lineRule="exact"/>
        <w:rPr>
          <w:rFonts w:hint="eastAsia" w:ascii="黑体" w:hAnsi="华文楷体" w:eastAsia="黑体"/>
          <w:b/>
          <w:color w:val="auto"/>
          <w:sz w:val="24"/>
          <w:highlight w:val="none"/>
        </w:rPr>
      </w:pPr>
      <w:r>
        <w:rPr>
          <w:rFonts w:hint="eastAsia" w:ascii="黑体" w:hAnsi="华文楷体" w:eastAsia="黑体"/>
          <w:b/>
          <w:color w:val="auto"/>
          <w:sz w:val="24"/>
          <w:highlight w:val="none"/>
        </w:rPr>
        <w:t>公司名称：</w:t>
      </w:r>
      <w:r>
        <w:rPr>
          <w:rFonts w:hint="eastAsia" w:ascii="黑体" w:hAnsi="华文楷体" w:eastAsia="黑体"/>
          <w:color w:val="auto"/>
          <w:sz w:val="24"/>
          <w:highlight w:val="none"/>
        </w:rPr>
        <w:t xml:space="preserve">                                                </w:t>
      </w:r>
      <w:r>
        <w:rPr>
          <w:rFonts w:hint="eastAsia" w:ascii="黑体" w:hAnsi="华文楷体" w:eastAsia="黑体"/>
          <w:b/>
          <w:color w:val="auto"/>
          <w:sz w:val="24"/>
          <w:highlight w:val="none"/>
        </w:rPr>
        <w:t>联系人：</w:t>
      </w:r>
    </w:p>
    <w:p w14:paraId="2AAA9550">
      <w:pPr>
        <w:spacing w:line="440" w:lineRule="exact"/>
        <w:rPr>
          <w:rFonts w:hint="eastAsia" w:ascii="黑体" w:hAnsi="华文楷体" w:eastAsia="黑体"/>
          <w:b/>
          <w:color w:val="auto"/>
          <w:sz w:val="24"/>
          <w:highlight w:val="none"/>
        </w:rPr>
      </w:pPr>
      <w:r>
        <w:rPr>
          <w:rFonts w:hint="eastAsia" w:ascii="黑体" w:hAnsi="华文楷体" w:eastAsia="黑体"/>
          <w:b/>
          <w:color w:val="auto"/>
          <w:sz w:val="24"/>
          <w:highlight w:val="none"/>
        </w:rPr>
        <w:t>电子邮箱：                                                公司地址：</w:t>
      </w:r>
    </w:p>
    <w:p w14:paraId="6D2EEC6F">
      <w:pPr>
        <w:spacing w:line="440" w:lineRule="exact"/>
        <w:rPr>
          <w:rFonts w:hint="eastAsia" w:ascii="黑体" w:hAnsi="华文楷体" w:eastAsia="黑体"/>
          <w:b/>
          <w:color w:val="auto"/>
          <w:sz w:val="24"/>
          <w:highlight w:val="none"/>
        </w:rPr>
      </w:pPr>
      <w:r>
        <w:rPr>
          <w:rFonts w:hint="eastAsia" w:ascii="黑体" w:hAnsi="华文楷体" w:eastAsia="黑体"/>
          <w:b/>
          <w:color w:val="auto"/>
          <w:sz w:val="24"/>
          <w:highlight w:val="none"/>
        </w:rPr>
        <w:t>电话：                                                    联系人手机：</w:t>
      </w:r>
    </w:p>
    <w:p w14:paraId="3C315E61">
      <w:pPr>
        <w:spacing w:line="440" w:lineRule="exact"/>
        <w:rPr>
          <w:rFonts w:hint="eastAsia" w:ascii="黑体" w:hAnsi="华文楷体" w:eastAsia="黑体"/>
          <w:b/>
          <w:color w:val="auto"/>
          <w:sz w:val="24"/>
          <w:highlight w:val="none"/>
        </w:rPr>
      </w:pPr>
    </w:p>
    <w:tbl>
      <w:tblPr>
        <w:tblStyle w:val="1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2"/>
        <w:gridCol w:w="2015"/>
        <w:gridCol w:w="949"/>
        <w:gridCol w:w="1430"/>
        <w:gridCol w:w="568"/>
        <w:gridCol w:w="856"/>
        <w:gridCol w:w="856"/>
        <w:gridCol w:w="1202"/>
        <w:gridCol w:w="1366"/>
      </w:tblGrid>
      <w:tr w14:paraId="603A4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top w:val="single" w:color="auto" w:sz="12" w:space="0"/>
              <w:left w:val="single" w:color="auto" w:sz="12" w:space="0"/>
              <w:bottom w:val="double" w:color="auto" w:sz="4" w:space="0"/>
            </w:tcBorders>
            <w:vAlign w:val="center"/>
          </w:tcPr>
          <w:p w14:paraId="4CFE730C">
            <w:pPr>
              <w:spacing w:line="440" w:lineRule="exact"/>
              <w:jc w:val="center"/>
              <w:rPr>
                <w:rFonts w:hint="eastAsia" w:ascii="黑体" w:hAnsi="华文楷体" w:eastAsia="黑体"/>
                <w:color w:val="auto"/>
                <w:kern w:val="0"/>
                <w:sz w:val="24"/>
                <w:highlight w:val="none"/>
              </w:rPr>
            </w:pPr>
            <w:r>
              <w:rPr>
                <w:rFonts w:hint="eastAsia" w:ascii="黑体" w:hAnsi="华文楷体" w:eastAsia="黑体"/>
                <w:color w:val="auto"/>
                <w:kern w:val="0"/>
                <w:sz w:val="24"/>
                <w:highlight w:val="none"/>
              </w:rPr>
              <w:t>序号</w:t>
            </w:r>
          </w:p>
        </w:tc>
        <w:tc>
          <w:tcPr>
            <w:tcW w:w="1036" w:type="pct"/>
            <w:tcBorders>
              <w:top w:val="single" w:color="auto" w:sz="12" w:space="0"/>
              <w:bottom w:val="double" w:color="auto" w:sz="4" w:space="0"/>
            </w:tcBorders>
            <w:vAlign w:val="center"/>
          </w:tcPr>
          <w:p w14:paraId="58907BF5">
            <w:pPr>
              <w:spacing w:line="440" w:lineRule="exact"/>
              <w:jc w:val="center"/>
              <w:rPr>
                <w:rFonts w:hint="eastAsia" w:ascii="黑体" w:hAnsi="华文楷体" w:eastAsia="黑体"/>
                <w:color w:val="auto"/>
                <w:kern w:val="0"/>
                <w:sz w:val="24"/>
                <w:highlight w:val="none"/>
              </w:rPr>
            </w:pPr>
            <w:r>
              <w:rPr>
                <w:rFonts w:hint="eastAsia" w:ascii="黑体" w:hAnsi="华文楷体" w:eastAsia="黑体"/>
                <w:color w:val="auto"/>
                <w:kern w:val="0"/>
                <w:sz w:val="24"/>
                <w:highlight w:val="none"/>
              </w:rPr>
              <w:t>产品名称</w:t>
            </w:r>
          </w:p>
        </w:tc>
        <w:tc>
          <w:tcPr>
            <w:tcW w:w="488" w:type="pct"/>
            <w:tcBorders>
              <w:top w:val="single" w:color="auto" w:sz="12" w:space="0"/>
              <w:bottom w:val="double" w:color="auto" w:sz="4" w:space="0"/>
            </w:tcBorders>
            <w:vAlign w:val="center"/>
          </w:tcPr>
          <w:p w14:paraId="39F055B9">
            <w:pPr>
              <w:spacing w:line="440" w:lineRule="exact"/>
              <w:jc w:val="center"/>
              <w:rPr>
                <w:rFonts w:hint="eastAsia" w:ascii="黑体" w:hAnsi="华文楷体" w:eastAsia="黑体"/>
                <w:color w:val="auto"/>
                <w:kern w:val="0"/>
                <w:sz w:val="24"/>
                <w:highlight w:val="none"/>
              </w:rPr>
            </w:pPr>
            <w:r>
              <w:rPr>
                <w:rFonts w:hint="eastAsia" w:ascii="黑体" w:hAnsi="华文楷体" w:eastAsia="黑体"/>
                <w:color w:val="auto"/>
                <w:kern w:val="0"/>
                <w:sz w:val="24"/>
                <w:highlight w:val="none"/>
              </w:rPr>
              <w:t>品牌</w:t>
            </w:r>
          </w:p>
        </w:tc>
        <w:tc>
          <w:tcPr>
            <w:tcW w:w="733" w:type="pct"/>
            <w:tcBorders>
              <w:top w:val="single" w:color="auto" w:sz="12" w:space="0"/>
              <w:bottom w:val="double" w:color="auto" w:sz="4" w:space="0"/>
            </w:tcBorders>
            <w:vAlign w:val="center"/>
          </w:tcPr>
          <w:p w14:paraId="54156D60">
            <w:pPr>
              <w:spacing w:line="440" w:lineRule="exact"/>
              <w:jc w:val="center"/>
              <w:rPr>
                <w:rFonts w:hint="eastAsia" w:ascii="黑体" w:hAnsi="华文楷体" w:eastAsia="黑体"/>
                <w:color w:val="auto"/>
                <w:kern w:val="0"/>
                <w:sz w:val="24"/>
                <w:highlight w:val="none"/>
              </w:rPr>
            </w:pPr>
            <w:r>
              <w:rPr>
                <w:rFonts w:hint="eastAsia" w:ascii="黑体" w:hAnsi="华文楷体" w:eastAsia="黑体"/>
                <w:color w:val="auto"/>
                <w:kern w:val="0"/>
                <w:sz w:val="24"/>
                <w:highlight w:val="none"/>
              </w:rPr>
              <w:t>型号规格</w:t>
            </w:r>
          </w:p>
        </w:tc>
        <w:tc>
          <w:tcPr>
            <w:tcW w:w="292" w:type="pct"/>
            <w:tcBorders>
              <w:top w:val="single" w:color="auto" w:sz="12" w:space="0"/>
              <w:bottom w:val="double" w:color="auto" w:sz="4" w:space="0"/>
            </w:tcBorders>
            <w:vAlign w:val="center"/>
          </w:tcPr>
          <w:p w14:paraId="5511ED8A">
            <w:pPr>
              <w:spacing w:line="440" w:lineRule="exact"/>
              <w:jc w:val="center"/>
              <w:rPr>
                <w:rFonts w:hint="eastAsia" w:ascii="黑体" w:hAnsi="华文楷体" w:eastAsia="黑体"/>
                <w:color w:val="auto"/>
                <w:kern w:val="0"/>
                <w:sz w:val="24"/>
                <w:highlight w:val="none"/>
              </w:rPr>
            </w:pPr>
            <w:r>
              <w:rPr>
                <w:rFonts w:hint="eastAsia" w:ascii="黑体" w:hAnsi="华文楷体" w:eastAsia="黑体"/>
                <w:color w:val="auto"/>
                <w:kern w:val="0"/>
                <w:sz w:val="24"/>
                <w:highlight w:val="none"/>
              </w:rPr>
              <w:t>数量</w:t>
            </w:r>
          </w:p>
        </w:tc>
        <w:tc>
          <w:tcPr>
            <w:tcW w:w="440" w:type="pct"/>
            <w:tcBorders>
              <w:top w:val="single" w:color="auto" w:sz="12" w:space="0"/>
              <w:bottom w:val="double" w:color="auto" w:sz="4" w:space="0"/>
            </w:tcBorders>
            <w:vAlign w:val="center"/>
          </w:tcPr>
          <w:p w14:paraId="2BD2B607">
            <w:pPr>
              <w:spacing w:line="440" w:lineRule="exact"/>
              <w:jc w:val="center"/>
              <w:rPr>
                <w:rFonts w:hint="eastAsia" w:ascii="黑体" w:hAnsi="华文楷体" w:eastAsia="黑体"/>
                <w:color w:val="auto"/>
                <w:kern w:val="0"/>
                <w:sz w:val="24"/>
                <w:highlight w:val="none"/>
              </w:rPr>
            </w:pPr>
            <w:r>
              <w:rPr>
                <w:rFonts w:hint="eastAsia" w:ascii="黑体" w:hAnsi="华文楷体" w:eastAsia="黑体"/>
                <w:color w:val="auto"/>
                <w:kern w:val="0"/>
                <w:sz w:val="24"/>
                <w:highlight w:val="none"/>
              </w:rPr>
              <w:t>单价</w:t>
            </w:r>
          </w:p>
        </w:tc>
        <w:tc>
          <w:tcPr>
            <w:tcW w:w="440" w:type="pct"/>
            <w:tcBorders>
              <w:top w:val="single" w:color="auto" w:sz="12" w:space="0"/>
              <w:bottom w:val="double" w:color="auto" w:sz="4" w:space="0"/>
            </w:tcBorders>
            <w:vAlign w:val="center"/>
          </w:tcPr>
          <w:p w14:paraId="4D9DFDCA">
            <w:pPr>
              <w:spacing w:line="440" w:lineRule="exact"/>
              <w:jc w:val="center"/>
              <w:rPr>
                <w:rFonts w:hint="eastAsia" w:ascii="黑体" w:hAnsi="华文楷体" w:eastAsia="黑体"/>
                <w:color w:val="auto"/>
                <w:kern w:val="0"/>
                <w:sz w:val="24"/>
                <w:highlight w:val="none"/>
              </w:rPr>
            </w:pPr>
            <w:r>
              <w:rPr>
                <w:rFonts w:hint="eastAsia" w:ascii="黑体" w:hAnsi="华文楷体" w:eastAsia="黑体"/>
                <w:color w:val="auto"/>
                <w:kern w:val="0"/>
                <w:sz w:val="24"/>
                <w:highlight w:val="none"/>
              </w:rPr>
              <w:t>金额</w:t>
            </w:r>
          </w:p>
        </w:tc>
        <w:tc>
          <w:tcPr>
            <w:tcW w:w="618" w:type="pct"/>
            <w:tcBorders>
              <w:top w:val="single" w:color="auto" w:sz="12" w:space="0"/>
              <w:bottom w:val="double" w:color="auto" w:sz="4" w:space="0"/>
            </w:tcBorders>
            <w:vAlign w:val="center"/>
          </w:tcPr>
          <w:p w14:paraId="411E00A8">
            <w:pPr>
              <w:spacing w:line="440" w:lineRule="exact"/>
              <w:jc w:val="center"/>
              <w:rPr>
                <w:rFonts w:hint="eastAsia" w:ascii="黑体" w:hAnsi="华文楷体" w:eastAsia="黑体"/>
                <w:color w:val="auto"/>
                <w:kern w:val="0"/>
                <w:sz w:val="24"/>
                <w:highlight w:val="none"/>
              </w:rPr>
            </w:pPr>
            <w:r>
              <w:rPr>
                <w:rFonts w:hint="eastAsia" w:ascii="黑体" w:hAnsi="华文楷体" w:eastAsia="黑体"/>
                <w:color w:val="auto"/>
                <w:kern w:val="0"/>
                <w:sz w:val="24"/>
                <w:highlight w:val="none"/>
              </w:rPr>
              <w:t>质保时间</w:t>
            </w:r>
          </w:p>
        </w:tc>
        <w:tc>
          <w:tcPr>
            <w:tcW w:w="700" w:type="pct"/>
            <w:tcBorders>
              <w:top w:val="single" w:color="auto" w:sz="12" w:space="0"/>
              <w:bottom w:val="double" w:color="auto" w:sz="4" w:space="0"/>
              <w:right w:val="single" w:color="auto" w:sz="12" w:space="0"/>
            </w:tcBorders>
            <w:vAlign w:val="center"/>
          </w:tcPr>
          <w:p w14:paraId="370BF171">
            <w:pPr>
              <w:spacing w:line="440" w:lineRule="exact"/>
              <w:jc w:val="center"/>
              <w:rPr>
                <w:rFonts w:hint="eastAsia" w:ascii="黑体" w:hAnsi="华文楷体" w:eastAsia="黑体"/>
                <w:color w:val="auto"/>
                <w:kern w:val="0"/>
                <w:sz w:val="24"/>
                <w:highlight w:val="none"/>
              </w:rPr>
            </w:pPr>
            <w:r>
              <w:rPr>
                <w:rFonts w:ascii="黑体" w:hAnsi="华文楷体" w:eastAsia="黑体"/>
                <w:color w:val="auto"/>
                <w:kern w:val="0"/>
                <w:sz w:val="24"/>
                <w:highlight w:val="none"/>
              </w:rPr>
              <w:t>最快供货</w:t>
            </w:r>
            <w:r>
              <w:rPr>
                <w:rFonts w:hint="eastAsia" w:ascii="黑体" w:hAnsi="华文楷体" w:eastAsia="黑体"/>
                <w:color w:val="auto"/>
                <w:kern w:val="0"/>
                <w:sz w:val="24"/>
                <w:highlight w:val="none"/>
              </w:rPr>
              <w:t>时间</w:t>
            </w:r>
          </w:p>
        </w:tc>
      </w:tr>
      <w:tr w14:paraId="79D21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top w:val="double" w:color="auto" w:sz="4" w:space="0"/>
              <w:left w:val="single" w:color="auto" w:sz="12" w:space="0"/>
            </w:tcBorders>
          </w:tcPr>
          <w:p w14:paraId="380F483C">
            <w:pPr>
              <w:spacing w:line="440" w:lineRule="exact"/>
              <w:jc w:val="center"/>
              <w:rPr>
                <w:rFonts w:hint="eastAsia"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1</w:t>
            </w:r>
          </w:p>
        </w:tc>
        <w:tc>
          <w:tcPr>
            <w:tcW w:w="1036" w:type="pct"/>
            <w:tcBorders>
              <w:top w:val="double" w:color="auto" w:sz="4" w:space="0"/>
            </w:tcBorders>
            <w:vAlign w:val="center"/>
          </w:tcPr>
          <w:p w14:paraId="3D52FBF7">
            <w:pPr>
              <w:ind w:left="-63" w:leftChars="-30" w:right="-63" w:rightChars="-30"/>
              <w:jc w:val="center"/>
              <w:rPr>
                <w:rFonts w:hint="eastAsia" w:ascii="宋体" w:hAnsi="宋体" w:cs="宋体"/>
                <w:color w:val="auto"/>
                <w:sz w:val="18"/>
                <w:szCs w:val="18"/>
                <w:highlight w:val="none"/>
              </w:rPr>
            </w:pPr>
          </w:p>
        </w:tc>
        <w:tc>
          <w:tcPr>
            <w:tcW w:w="488" w:type="pct"/>
            <w:tcBorders>
              <w:top w:val="double" w:color="auto" w:sz="4" w:space="0"/>
            </w:tcBorders>
          </w:tcPr>
          <w:p w14:paraId="3399083A">
            <w:pPr>
              <w:spacing w:line="440" w:lineRule="exact"/>
              <w:jc w:val="center"/>
              <w:rPr>
                <w:rFonts w:hint="eastAsia" w:ascii="方正仿宋_GB2312" w:hAnsi="华文楷体" w:eastAsia="方正仿宋_GB2312"/>
                <w:color w:val="auto"/>
                <w:kern w:val="0"/>
                <w:sz w:val="24"/>
                <w:highlight w:val="none"/>
              </w:rPr>
            </w:pPr>
          </w:p>
        </w:tc>
        <w:tc>
          <w:tcPr>
            <w:tcW w:w="733" w:type="pct"/>
            <w:tcBorders>
              <w:top w:val="double" w:color="auto" w:sz="4" w:space="0"/>
            </w:tcBorders>
          </w:tcPr>
          <w:p w14:paraId="10DD5637">
            <w:pPr>
              <w:spacing w:line="440" w:lineRule="exact"/>
              <w:jc w:val="center"/>
              <w:rPr>
                <w:rFonts w:hint="eastAsia" w:ascii="方正仿宋_GB2312" w:hAnsi="华文楷体" w:eastAsia="方正仿宋_GB2312"/>
                <w:color w:val="auto"/>
                <w:kern w:val="0"/>
                <w:sz w:val="24"/>
                <w:highlight w:val="none"/>
              </w:rPr>
            </w:pPr>
          </w:p>
        </w:tc>
        <w:tc>
          <w:tcPr>
            <w:tcW w:w="292" w:type="pct"/>
            <w:tcBorders>
              <w:top w:val="double" w:color="auto" w:sz="4" w:space="0"/>
            </w:tcBorders>
          </w:tcPr>
          <w:p w14:paraId="164137DA">
            <w:pPr>
              <w:spacing w:line="440" w:lineRule="exact"/>
              <w:jc w:val="center"/>
              <w:rPr>
                <w:rFonts w:hint="eastAsia" w:ascii="方正仿宋_GB2312" w:hAnsi="华文楷体" w:eastAsia="方正仿宋_GB2312"/>
                <w:color w:val="auto"/>
                <w:kern w:val="0"/>
                <w:sz w:val="24"/>
                <w:highlight w:val="none"/>
              </w:rPr>
            </w:pPr>
          </w:p>
        </w:tc>
        <w:tc>
          <w:tcPr>
            <w:tcW w:w="440" w:type="pct"/>
            <w:tcBorders>
              <w:top w:val="double" w:color="auto" w:sz="4" w:space="0"/>
            </w:tcBorders>
          </w:tcPr>
          <w:p w14:paraId="5F085EB1">
            <w:pPr>
              <w:spacing w:line="440" w:lineRule="exact"/>
              <w:jc w:val="center"/>
              <w:rPr>
                <w:rFonts w:hint="eastAsia" w:ascii="方正仿宋_GB2312" w:hAnsi="华文楷体" w:eastAsia="方正仿宋_GB2312"/>
                <w:color w:val="auto"/>
                <w:kern w:val="0"/>
                <w:sz w:val="24"/>
                <w:highlight w:val="none"/>
              </w:rPr>
            </w:pPr>
          </w:p>
        </w:tc>
        <w:tc>
          <w:tcPr>
            <w:tcW w:w="440" w:type="pct"/>
            <w:tcBorders>
              <w:top w:val="double" w:color="auto" w:sz="4" w:space="0"/>
            </w:tcBorders>
          </w:tcPr>
          <w:p w14:paraId="5F25847D">
            <w:pPr>
              <w:spacing w:line="440" w:lineRule="exact"/>
              <w:jc w:val="center"/>
              <w:rPr>
                <w:rFonts w:hint="eastAsia" w:ascii="方正仿宋_GB2312" w:hAnsi="华文楷体" w:eastAsia="方正仿宋_GB2312"/>
                <w:color w:val="auto"/>
                <w:kern w:val="0"/>
                <w:sz w:val="24"/>
                <w:highlight w:val="none"/>
              </w:rPr>
            </w:pPr>
          </w:p>
        </w:tc>
        <w:tc>
          <w:tcPr>
            <w:tcW w:w="618" w:type="pct"/>
            <w:tcBorders>
              <w:top w:val="double" w:color="auto" w:sz="4" w:space="0"/>
            </w:tcBorders>
          </w:tcPr>
          <w:p w14:paraId="3D58A798">
            <w:pPr>
              <w:spacing w:line="440" w:lineRule="exact"/>
              <w:jc w:val="center"/>
              <w:rPr>
                <w:rFonts w:hint="eastAsia" w:ascii="方正仿宋_GB2312" w:hAnsi="华文楷体" w:eastAsia="方正仿宋_GB2312"/>
                <w:color w:val="auto"/>
                <w:kern w:val="0"/>
                <w:sz w:val="24"/>
                <w:highlight w:val="none"/>
              </w:rPr>
            </w:pPr>
          </w:p>
        </w:tc>
        <w:tc>
          <w:tcPr>
            <w:tcW w:w="700" w:type="pct"/>
            <w:tcBorders>
              <w:top w:val="double" w:color="auto" w:sz="4" w:space="0"/>
              <w:right w:val="single" w:color="auto" w:sz="12" w:space="0"/>
            </w:tcBorders>
          </w:tcPr>
          <w:p w14:paraId="0D22598C">
            <w:pPr>
              <w:spacing w:line="440" w:lineRule="exact"/>
              <w:jc w:val="center"/>
              <w:rPr>
                <w:rFonts w:hint="eastAsia" w:ascii="方正仿宋_GB2312" w:hAnsi="华文楷体" w:eastAsia="方正仿宋_GB2312"/>
                <w:color w:val="auto"/>
                <w:kern w:val="0"/>
                <w:sz w:val="24"/>
                <w:highlight w:val="none"/>
              </w:rPr>
            </w:pPr>
          </w:p>
        </w:tc>
      </w:tr>
      <w:tr w14:paraId="0CE91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tcBorders>
          </w:tcPr>
          <w:p w14:paraId="0B9CCBF9">
            <w:pPr>
              <w:spacing w:line="440" w:lineRule="exact"/>
              <w:jc w:val="center"/>
              <w:rPr>
                <w:rFonts w:hint="eastAsia"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2</w:t>
            </w:r>
          </w:p>
        </w:tc>
        <w:tc>
          <w:tcPr>
            <w:tcW w:w="1036" w:type="pct"/>
            <w:vAlign w:val="center"/>
          </w:tcPr>
          <w:p w14:paraId="1949D478">
            <w:pPr>
              <w:ind w:left="-63" w:leftChars="-30" w:right="-63" w:rightChars="-30"/>
              <w:jc w:val="center"/>
              <w:rPr>
                <w:rFonts w:hint="eastAsia" w:ascii="宋体" w:hAnsi="宋体" w:cs="宋体"/>
                <w:color w:val="auto"/>
                <w:sz w:val="18"/>
                <w:szCs w:val="18"/>
                <w:highlight w:val="none"/>
              </w:rPr>
            </w:pPr>
          </w:p>
        </w:tc>
        <w:tc>
          <w:tcPr>
            <w:tcW w:w="488" w:type="pct"/>
          </w:tcPr>
          <w:p w14:paraId="4068BE3C">
            <w:pPr>
              <w:spacing w:line="440" w:lineRule="exact"/>
              <w:jc w:val="center"/>
              <w:rPr>
                <w:rFonts w:hint="eastAsia" w:ascii="方正仿宋_GB2312" w:hAnsi="华文楷体" w:eastAsia="方正仿宋_GB2312"/>
                <w:color w:val="auto"/>
                <w:kern w:val="0"/>
                <w:sz w:val="24"/>
                <w:highlight w:val="none"/>
              </w:rPr>
            </w:pPr>
          </w:p>
        </w:tc>
        <w:tc>
          <w:tcPr>
            <w:tcW w:w="733" w:type="pct"/>
          </w:tcPr>
          <w:p w14:paraId="0D56D7F2">
            <w:pPr>
              <w:spacing w:line="440" w:lineRule="exact"/>
              <w:jc w:val="center"/>
              <w:rPr>
                <w:rFonts w:hint="eastAsia" w:ascii="方正仿宋_GB2312" w:hAnsi="华文楷体" w:eastAsia="方正仿宋_GB2312"/>
                <w:color w:val="auto"/>
                <w:kern w:val="0"/>
                <w:sz w:val="24"/>
                <w:highlight w:val="none"/>
              </w:rPr>
            </w:pPr>
          </w:p>
        </w:tc>
        <w:tc>
          <w:tcPr>
            <w:tcW w:w="292" w:type="pct"/>
          </w:tcPr>
          <w:p w14:paraId="57A711B7">
            <w:pPr>
              <w:spacing w:line="440" w:lineRule="exact"/>
              <w:jc w:val="center"/>
              <w:rPr>
                <w:rFonts w:hint="eastAsia" w:ascii="方正仿宋_GB2312" w:hAnsi="华文楷体" w:eastAsia="方正仿宋_GB2312"/>
                <w:color w:val="auto"/>
                <w:kern w:val="0"/>
                <w:sz w:val="24"/>
                <w:highlight w:val="none"/>
              </w:rPr>
            </w:pPr>
          </w:p>
        </w:tc>
        <w:tc>
          <w:tcPr>
            <w:tcW w:w="440" w:type="pct"/>
          </w:tcPr>
          <w:p w14:paraId="3F5F792A">
            <w:pPr>
              <w:spacing w:line="440" w:lineRule="exact"/>
              <w:jc w:val="center"/>
              <w:rPr>
                <w:rFonts w:hint="eastAsia" w:ascii="方正仿宋_GB2312" w:hAnsi="华文楷体" w:eastAsia="方正仿宋_GB2312"/>
                <w:color w:val="auto"/>
                <w:kern w:val="0"/>
                <w:sz w:val="24"/>
                <w:highlight w:val="none"/>
              </w:rPr>
            </w:pPr>
          </w:p>
        </w:tc>
        <w:tc>
          <w:tcPr>
            <w:tcW w:w="440" w:type="pct"/>
          </w:tcPr>
          <w:p w14:paraId="4CB8185F">
            <w:pPr>
              <w:spacing w:line="440" w:lineRule="exact"/>
              <w:jc w:val="center"/>
              <w:rPr>
                <w:rFonts w:hint="eastAsia" w:ascii="方正仿宋_GB2312" w:hAnsi="华文楷体" w:eastAsia="方正仿宋_GB2312"/>
                <w:color w:val="auto"/>
                <w:kern w:val="0"/>
                <w:sz w:val="24"/>
                <w:highlight w:val="none"/>
              </w:rPr>
            </w:pPr>
          </w:p>
        </w:tc>
        <w:tc>
          <w:tcPr>
            <w:tcW w:w="618" w:type="pct"/>
          </w:tcPr>
          <w:p w14:paraId="4D8BE5BA">
            <w:pPr>
              <w:spacing w:line="440" w:lineRule="exact"/>
              <w:jc w:val="center"/>
              <w:rPr>
                <w:rFonts w:hint="eastAsia" w:ascii="方正仿宋_GB2312" w:hAnsi="华文楷体" w:eastAsia="方正仿宋_GB2312"/>
                <w:color w:val="auto"/>
                <w:kern w:val="0"/>
                <w:sz w:val="24"/>
                <w:highlight w:val="none"/>
              </w:rPr>
            </w:pPr>
          </w:p>
        </w:tc>
        <w:tc>
          <w:tcPr>
            <w:tcW w:w="700" w:type="pct"/>
            <w:tcBorders>
              <w:right w:val="single" w:color="auto" w:sz="12" w:space="0"/>
            </w:tcBorders>
          </w:tcPr>
          <w:p w14:paraId="0AF8FC05">
            <w:pPr>
              <w:spacing w:line="440" w:lineRule="exact"/>
              <w:jc w:val="center"/>
              <w:rPr>
                <w:rFonts w:hint="eastAsia" w:ascii="方正仿宋_GB2312" w:hAnsi="华文楷体" w:eastAsia="方正仿宋_GB2312"/>
                <w:color w:val="auto"/>
                <w:kern w:val="0"/>
                <w:sz w:val="24"/>
                <w:highlight w:val="none"/>
              </w:rPr>
            </w:pPr>
          </w:p>
        </w:tc>
      </w:tr>
      <w:tr w14:paraId="042FE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tcPr>
          <w:p w14:paraId="644E529F">
            <w:pPr>
              <w:spacing w:line="440" w:lineRule="exact"/>
              <w:jc w:val="center"/>
              <w:rPr>
                <w:rFonts w:hint="eastAsia"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3</w:t>
            </w:r>
          </w:p>
        </w:tc>
        <w:tc>
          <w:tcPr>
            <w:tcW w:w="1036" w:type="pct"/>
            <w:tcBorders>
              <w:bottom w:val="single" w:color="auto" w:sz="4" w:space="0"/>
            </w:tcBorders>
            <w:vAlign w:val="center"/>
          </w:tcPr>
          <w:p w14:paraId="2BC4774D">
            <w:pPr>
              <w:ind w:left="-42" w:leftChars="-20" w:right="-42" w:rightChars="-20"/>
              <w:jc w:val="center"/>
              <w:rPr>
                <w:rFonts w:hint="eastAsia" w:ascii="宋体" w:hAnsi="宋体" w:cs="宋体"/>
                <w:color w:val="auto"/>
                <w:sz w:val="18"/>
                <w:szCs w:val="18"/>
                <w:highlight w:val="none"/>
              </w:rPr>
            </w:pPr>
          </w:p>
        </w:tc>
        <w:tc>
          <w:tcPr>
            <w:tcW w:w="488" w:type="pct"/>
            <w:tcBorders>
              <w:bottom w:val="single" w:color="auto" w:sz="4" w:space="0"/>
            </w:tcBorders>
          </w:tcPr>
          <w:p w14:paraId="2B21A123">
            <w:pPr>
              <w:spacing w:line="440" w:lineRule="exact"/>
              <w:jc w:val="center"/>
              <w:rPr>
                <w:rFonts w:hint="eastAsia" w:ascii="方正仿宋_GB2312" w:hAnsi="华文楷体" w:eastAsia="方正仿宋_GB2312"/>
                <w:color w:val="auto"/>
                <w:kern w:val="0"/>
                <w:sz w:val="24"/>
                <w:highlight w:val="none"/>
              </w:rPr>
            </w:pPr>
          </w:p>
        </w:tc>
        <w:tc>
          <w:tcPr>
            <w:tcW w:w="733" w:type="pct"/>
            <w:tcBorders>
              <w:bottom w:val="single" w:color="auto" w:sz="4" w:space="0"/>
            </w:tcBorders>
          </w:tcPr>
          <w:p w14:paraId="442F7F3A">
            <w:pPr>
              <w:spacing w:line="440" w:lineRule="exact"/>
              <w:jc w:val="center"/>
              <w:rPr>
                <w:rFonts w:hint="eastAsia" w:ascii="方正仿宋_GB2312" w:hAnsi="华文楷体" w:eastAsia="方正仿宋_GB2312"/>
                <w:color w:val="auto"/>
                <w:kern w:val="0"/>
                <w:sz w:val="24"/>
                <w:highlight w:val="none"/>
              </w:rPr>
            </w:pPr>
          </w:p>
        </w:tc>
        <w:tc>
          <w:tcPr>
            <w:tcW w:w="292" w:type="pct"/>
            <w:tcBorders>
              <w:bottom w:val="single" w:color="auto" w:sz="4" w:space="0"/>
            </w:tcBorders>
          </w:tcPr>
          <w:p w14:paraId="6D30A0CB">
            <w:pPr>
              <w:spacing w:line="440" w:lineRule="exact"/>
              <w:jc w:val="center"/>
              <w:rPr>
                <w:rFonts w:hint="eastAsia" w:ascii="方正仿宋_GB2312" w:hAnsi="华文楷体" w:eastAsia="方正仿宋_GB2312"/>
                <w:color w:val="auto"/>
                <w:kern w:val="0"/>
                <w:sz w:val="24"/>
                <w:highlight w:val="none"/>
              </w:rPr>
            </w:pPr>
          </w:p>
        </w:tc>
        <w:tc>
          <w:tcPr>
            <w:tcW w:w="440" w:type="pct"/>
            <w:tcBorders>
              <w:bottom w:val="single" w:color="auto" w:sz="4" w:space="0"/>
            </w:tcBorders>
          </w:tcPr>
          <w:p w14:paraId="7D958BF2">
            <w:pPr>
              <w:spacing w:line="440" w:lineRule="exact"/>
              <w:jc w:val="center"/>
              <w:rPr>
                <w:rFonts w:hint="eastAsia" w:ascii="方正仿宋_GB2312" w:hAnsi="华文楷体" w:eastAsia="方正仿宋_GB2312"/>
                <w:color w:val="auto"/>
                <w:kern w:val="0"/>
                <w:sz w:val="24"/>
                <w:highlight w:val="none"/>
              </w:rPr>
            </w:pPr>
          </w:p>
        </w:tc>
        <w:tc>
          <w:tcPr>
            <w:tcW w:w="440" w:type="pct"/>
            <w:tcBorders>
              <w:bottom w:val="single" w:color="auto" w:sz="4" w:space="0"/>
            </w:tcBorders>
          </w:tcPr>
          <w:p w14:paraId="6D26BB06">
            <w:pPr>
              <w:spacing w:line="440" w:lineRule="exact"/>
              <w:jc w:val="center"/>
              <w:rPr>
                <w:rFonts w:hint="eastAsia" w:ascii="方正仿宋_GB2312" w:hAnsi="华文楷体" w:eastAsia="方正仿宋_GB2312"/>
                <w:color w:val="auto"/>
                <w:kern w:val="0"/>
                <w:sz w:val="24"/>
                <w:highlight w:val="none"/>
              </w:rPr>
            </w:pPr>
          </w:p>
        </w:tc>
        <w:tc>
          <w:tcPr>
            <w:tcW w:w="618" w:type="pct"/>
            <w:tcBorders>
              <w:bottom w:val="single" w:color="auto" w:sz="4" w:space="0"/>
            </w:tcBorders>
          </w:tcPr>
          <w:p w14:paraId="01E1B59E">
            <w:pPr>
              <w:spacing w:line="440" w:lineRule="exact"/>
              <w:jc w:val="center"/>
              <w:rPr>
                <w:rFonts w:hint="eastAsia"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tcPr>
          <w:p w14:paraId="4B01192F">
            <w:pPr>
              <w:spacing w:line="440" w:lineRule="exact"/>
              <w:jc w:val="center"/>
              <w:rPr>
                <w:rFonts w:hint="eastAsia" w:ascii="方正仿宋_GB2312" w:hAnsi="华文楷体" w:eastAsia="方正仿宋_GB2312"/>
                <w:color w:val="auto"/>
                <w:kern w:val="0"/>
                <w:sz w:val="24"/>
                <w:highlight w:val="none"/>
              </w:rPr>
            </w:pPr>
          </w:p>
        </w:tc>
      </w:tr>
      <w:tr w14:paraId="70878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tcPr>
          <w:p w14:paraId="3DF2A16F">
            <w:pPr>
              <w:spacing w:line="440" w:lineRule="exact"/>
              <w:jc w:val="center"/>
              <w:rPr>
                <w:rFonts w:hint="eastAsia"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4</w:t>
            </w:r>
          </w:p>
        </w:tc>
        <w:tc>
          <w:tcPr>
            <w:tcW w:w="1036" w:type="pct"/>
            <w:tcBorders>
              <w:bottom w:val="single" w:color="auto" w:sz="4" w:space="0"/>
            </w:tcBorders>
          </w:tcPr>
          <w:p w14:paraId="202805C1">
            <w:pPr>
              <w:spacing w:line="440" w:lineRule="exact"/>
              <w:jc w:val="center"/>
              <w:rPr>
                <w:rFonts w:hint="eastAsia" w:ascii="方正仿宋_GB2312" w:hAnsi="华文楷体" w:eastAsia="方正仿宋_GB2312"/>
                <w:color w:val="auto"/>
                <w:kern w:val="0"/>
                <w:sz w:val="24"/>
                <w:highlight w:val="none"/>
              </w:rPr>
            </w:pPr>
          </w:p>
        </w:tc>
        <w:tc>
          <w:tcPr>
            <w:tcW w:w="488" w:type="pct"/>
            <w:tcBorders>
              <w:bottom w:val="single" w:color="auto" w:sz="4" w:space="0"/>
            </w:tcBorders>
          </w:tcPr>
          <w:p w14:paraId="3A717C34">
            <w:pPr>
              <w:spacing w:line="440" w:lineRule="exact"/>
              <w:jc w:val="center"/>
              <w:rPr>
                <w:rFonts w:hint="eastAsia" w:ascii="方正仿宋_GB2312" w:hAnsi="华文楷体" w:eastAsia="方正仿宋_GB2312"/>
                <w:color w:val="auto"/>
                <w:kern w:val="0"/>
                <w:sz w:val="24"/>
                <w:highlight w:val="none"/>
              </w:rPr>
            </w:pPr>
          </w:p>
        </w:tc>
        <w:tc>
          <w:tcPr>
            <w:tcW w:w="733" w:type="pct"/>
            <w:tcBorders>
              <w:bottom w:val="single" w:color="auto" w:sz="4" w:space="0"/>
            </w:tcBorders>
          </w:tcPr>
          <w:p w14:paraId="2EB6AE7C">
            <w:pPr>
              <w:spacing w:line="440" w:lineRule="exact"/>
              <w:jc w:val="center"/>
              <w:rPr>
                <w:rFonts w:hint="eastAsia" w:ascii="方正仿宋_GB2312" w:hAnsi="华文楷体" w:eastAsia="方正仿宋_GB2312"/>
                <w:color w:val="auto"/>
                <w:kern w:val="0"/>
                <w:sz w:val="24"/>
                <w:highlight w:val="none"/>
              </w:rPr>
            </w:pPr>
          </w:p>
        </w:tc>
        <w:tc>
          <w:tcPr>
            <w:tcW w:w="292" w:type="pct"/>
            <w:tcBorders>
              <w:bottom w:val="single" w:color="auto" w:sz="4" w:space="0"/>
            </w:tcBorders>
          </w:tcPr>
          <w:p w14:paraId="31508B7D">
            <w:pPr>
              <w:spacing w:line="440" w:lineRule="exact"/>
              <w:jc w:val="center"/>
              <w:rPr>
                <w:rFonts w:hint="eastAsia" w:ascii="方正仿宋_GB2312" w:hAnsi="华文楷体" w:eastAsia="方正仿宋_GB2312"/>
                <w:color w:val="auto"/>
                <w:kern w:val="0"/>
                <w:sz w:val="24"/>
                <w:highlight w:val="none"/>
              </w:rPr>
            </w:pPr>
          </w:p>
        </w:tc>
        <w:tc>
          <w:tcPr>
            <w:tcW w:w="440" w:type="pct"/>
            <w:tcBorders>
              <w:bottom w:val="single" w:color="auto" w:sz="4" w:space="0"/>
            </w:tcBorders>
          </w:tcPr>
          <w:p w14:paraId="7A03F5FA">
            <w:pPr>
              <w:spacing w:line="440" w:lineRule="exact"/>
              <w:jc w:val="center"/>
              <w:rPr>
                <w:rFonts w:hint="eastAsia" w:ascii="方正仿宋_GB2312" w:hAnsi="华文楷体" w:eastAsia="方正仿宋_GB2312"/>
                <w:color w:val="auto"/>
                <w:kern w:val="0"/>
                <w:sz w:val="24"/>
                <w:highlight w:val="none"/>
              </w:rPr>
            </w:pPr>
          </w:p>
        </w:tc>
        <w:tc>
          <w:tcPr>
            <w:tcW w:w="440" w:type="pct"/>
            <w:tcBorders>
              <w:bottom w:val="single" w:color="auto" w:sz="4" w:space="0"/>
            </w:tcBorders>
          </w:tcPr>
          <w:p w14:paraId="0500612C">
            <w:pPr>
              <w:spacing w:line="440" w:lineRule="exact"/>
              <w:jc w:val="center"/>
              <w:rPr>
                <w:rFonts w:hint="eastAsia" w:ascii="方正仿宋_GB2312" w:hAnsi="华文楷体" w:eastAsia="方正仿宋_GB2312"/>
                <w:color w:val="auto"/>
                <w:kern w:val="0"/>
                <w:sz w:val="24"/>
                <w:highlight w:val="none"/>
              </w:rPr>
            </w:pPr>
          </w:p>
        </w:tc>
        <w:tc>
          <w:tcPr>
            <w:tcW w:w="618" w:type="pct"/>
            <w:tcBorders>
              <w:bottom w:val="single" w:color="auto" w:sz="4" w:space="0"/>
            </w:tcBorders>
          </w:tcPr>
          <w:p w14:paraId="7A9C9771">
            <w:pPr>
              <w:spacing w:line="440" w:lineRule="exact"/>
              <w:jc w:val="center"/>
              <w:rPr>
                <w:rFonts w:hint="eastAsia"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tcPr>
          <w:p w14:paraId="646ACEAC">
            <w:pPr>
              <w:spacing w:line="440" w:lineRule="exact"/>
              <w:jc w:val="center"/>
              <w:rPr>
                <w:rFonts w:hint="eastAsia" w:ascii="方正仿宋_GB2312" w:hAnsi="华文楷体" w:eastAsia="方正仿宋_GB2312"/>
                <w:color w:val="auto"/>
                <w:kern w:val="0"/>
                <w:sz w:val="24"/>
                <w:highlight w:val="none"/>
              </w:rPr>
            </w:pPr>
          </w:p>
        </w:tc>
      </w:tr>
      <w:tr w14:paraId="30ABC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tcPr>
          <w:p w14:paraId="1ABE7E34">
            <w:pPr>
              <w:spacing w:line="440" w:lineRule="exact"/>
              <w:jc w:val="center"/>
              <w:rPr>
                <w:rFonts w:hint="eastAsia"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5</w:t>
            </w:r>
          </w:p>
        </w:tc>
        <w:tc>
          <w:tcPr>
            <w:tcW w:w="1036" w:type="pct"/>
            <w:tcBorders>
              <w:bottom w:val="single" w:color="auto" w:sz="4" w:space="0"/>
            </w:tcBorders>
          </w:tcPr>
          <w:p w14:paraId="18FC46C4">
            <w:pPr>
              <w:spacing w:line="440" w:lineRule="exact"/>
              <w:jc w:val="center"/>
              <w:rPr>
                <w:rFonts w:hint="eastAsia" w:ascii="方正仿宋_GB2312" w:hAnsi="华文楷体" w:eastAsia="方正仿宋_GB2312"/>
                <w:color w:val="auto"/>
                <w:kern w:val="0"/>
                <w:sz w:val="24"/>
                <w:highlight w:val="none"/>
              </w:rPr>
            </w:pPr>
          </w:p>
        </w:tc>
        <w:tc>
          <w:tcPr>
            <w:tcW w:w="488" w:type="pct"/>
            <w:tcBorders>
              <w:bottom w:val="single" w:color="auto" w:sz="4" w:space="0"/>
            </w:tcBorders>
          </w:tcPr>
          <w:p w14:paraId="213397AF">
            <w:pPr>
              <w:spacing w:line="440" w:lineRule="exact"/>
              <w:jc w:val="center"/>
              <w:rPr>
                <w:rFonts w:hint="eastAsia" w:ascii="方正仿宋_GB2312" w:hAnsi="华文楷体" w:eastAsia="方正仿宋_GB2312"/>
                <w:color w:val="auto"/>
                <w:kern w:val="0"/>
                <w:sz w:val="24"/>
                <w:highlight w:val="none"/>
              </w:rPr>
            </w:pPr>
          </w:p>
        </w:tc>
        <w:tc>
          <w:tcPr>
            <w:tcW w:w="733" w:type="pct"/>
            <w:tcBorders>
              <w:bottom w:val="single" w:color="auto" w:sz="4" w:space="0"/>
            </w:tcBorders>
          </w:tcPr>
          <w:p w14:paraId="534EDD2E">
            <w:pPr>
              <w:spacing w:line="440" w:lineRule="exact"/>
              <w:jc w:val="center"/>
              <w:rPr>
                <w:rFonts w:hint="eastAsia" w:ascii="方正仿宋_GB2312" w:hAnsi="华文楷体" w:eastAsia="方正仿宋_GB2312"/>
                <w:color w:val="auto"/>
                <w:kern w:val="0"/>
                <w:sz w:val="24"/>
                <w:highlight w:val="none"/>
              </w:rPr>
            </w:pPr>
          </w:p>
        </w:tc>
        <w:tc>
          <w:tcPr>
            <w:tcW w:w="292" w:type="pct"/>
            <w:tcBorders>
              <w:bottom w:val="single" w:color="auto" w:sz="4" w:space="0"/>
            </w:tcBorders>
          </w:tcPr>
          <w:p w14:paraId="138807ED">
            <w:pPr>
              <w:spacing w:line="440" w:lineRule="exact"/>
              <w:jc w:val="center"/>
              <w:rPr>
                <w:rFonts w:hint="eastAsia" w:ascii="方正仿宋_GB2312" w:hAnsi="华文楷体" w:eastAsia="方正仿宋_GB2312"/>
                <w:color w:val="auto"/>
                <w:kern w:val="0"/>
                <w:sz w:val="24"/>
                <w:highlight w:val="none"/>
              </w:rPr>
            </w:pPr>
          </w:p>
        </w:tc>
        <w:tc>
          <w:tcPr>
            <w:tcW w:w="440" w:type="pct"/>
            <w:tcBorders>
              <w:bottom w:val="single" w:color="auto" w:sz="4" w:space="0"/>
            </w:tcBorders>
          </w:tcPr>
          <w:p w14:paraId="64A4DD3F">
            <w:pPr>
              <w:spacing w:line="440" w:lineRule="exact"/>
              <w:jc w:val="center"/>
              <w:rPr>
                <w:rFonts w:hint="eastAsia" w:ascii="方正仿宋_GB2312" w:hAnsi="华文楷体" w:eastAsia="方正仿宋_GB2312"/>
                <w:color w:val="auto"/>
                <w:kern w:val="0"/>
                <w:sz w:val="24"/>
                <w:highlight w:val="none"/>
              </w:rPr>
            </w:pPr>
          </w:p>
        </w:tc>
        <w:tc>
          <w:tcPr>
            <w:tcW w:w="440" w:type="pct"/>
            <w:tcBorders>
              <w:bottom w:val="single" w:color="auto" w:sz="4" w:space="0"/>
            </w:tcBorders>
          </w:tcPr>
          <w:p w14:paraId="23C8A509">
            <w:pPr>
              <w:spacing w:line="440" w:lineRule="exact"/>
              <w:jc w:val="center"/>
              <w:rPr>
                <w:rFonts w:hint="eastAsia" w:ascii="方正仿宋_GB2312" w:hAnsi="华文楷体" w:eastAsia="方正仿宋_GB2312"/>
                <w:color w:val="auto"/>
                <w:kern w:val="0"/>
                <w:sz w:val="24"/>
                <w:highlight w:val="none"/>
              </w:rPr>
            </w:pPr>
          </w:p>
        </w:tc>
        <w:tc>
          <w:tcPr>
            <w:tcW w:w="618" w:type="pct"/>
            <w:tcBorders>
              <w:bottom w:val="single" w:color="auto" w:sz="4" w:space="0"/>
            </w:tcBorders>
          </w:tcPr>
          <w:p w14:paraId="63701A5E">
            <w:pPr>
              <w:spacing w:line="440" w:lineRule="exact"/>
              <w:jc w:val="center"/>
              <w:rPr>
                <w:rFonts w:hint="eastAsia"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tcPr>
          <w:p w14:paraId="5EB068A8">
            <w:pPr>
              <w:spacing w:line="440" w:lineRule="exact"/>
              <w:jc w:val="center"/>
              <w:rPr>
                <w:rFonts w:hint="eastAsia" w:ascii="方正仿宋_GB2312" w:hAnsi="华文楷体" w:eastAsia="方正仿宋_GB2312"/>
                <w:color w:val="auto"/>
                <w:kern w:val="0"/>
                <w:sz w:val="24"/>
                <w:highlight w:val="none"/>
              </w:rPr>
            </w:pPr>
          </w:p>
        </w:tc>
      </w:tr>
      <w:tr w14:paraId="29CBF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pct"/>
            <w:gridSpan w:val="4"/>
            <w:tcBorders>
              <w:top w:val="double" w:color="auto" w:sz="4" w:space="0"/>
              <w:left w:val="single" w:color="auto" w:sz="12" w:space="0"/>
              <w:bottom w:val="single" w:color="auto" w:sz="12" w:space="0"/>
            </w:tcBorders>
          </w:tcPr>
          <w:p w14:paraId="49E715C9">
            <w:pPr>
              <w:spacing w:line="440" w:lineRule="exact"/>
              <w:jc w:val="center"/>
              <w:rPr>
                <w:rFonts w:hint="eastAsia" w:ascii="黑体" w:hAnsi="华文楷体" w:eastAsia="黑体" w:cs="Times New Roman"/>
                <w:color w:val="auto"/>
                <w:kern w:val="0"/>
                <w:sz w:val="24"/>
                <w:highlight w:val="none"/>
              </w:rPr>
            </w:pPr>
            <w:r>
              <w:rPr>
                <w:rFonts w:hint="eastAsia" w:ascii="黑体" w:hAnsi="华文楷体" w:eastAsia="黑体" w:cs="Times New Roman"/>
                <w:color w:val="auto"/>
                <w:kern w:val="0"/>
                <w:sz w:val="24"/>
                <w:highlight w:val="none"/>
              </w:rPr>
              <w:t>合计金额（人民币）</w:t>
            </w:r>
          </w:p>
        </w:tc>
        <w:tc>
          <w:tcPr>
            <w:tcW w:w="2492" w:type="pct"/>
            <w:gridSpan w:val="5"/>
            <w:tcBorders>
              <w:top w:val="double" w:color="auto" w:sz="4" w:space="0"/>
              <w:bottom w:val="single" w:color="auto" w:sz="12" w:space="0"/>
              <w:right w:val="single" w:color="auto" w:sz="12" w:space="0"/>
            </w:tcBorders>
          </w:tcPr>
          <w:p w14:paraId="413BAF97">
            <w:pPr>
              <w:spacing w:line="440" w:lineRule="exact"/>
              <w:jc w:val="center"/>
              <w:rPr>
                <w:rFonts w:hint="eastAsia" w:ascii="黑体" w:hAnsi="华文楷体" w:eastAsia="黑体" w:cs="Times New Roman"/>
                <w:color w:val="auto"/>
                <w:kern w:val="0"/>
                <w:sz w:val="24"/>
                <w:highlight w:val="none"/>
              </w:rPr>
            </w:pPr>
            <w:r>
              <w:rPr>
                <w:rFonts w:hint="eastAsia" w:ascii="黑体" w:hAnsi="华文楷体" w:eastAsia="黑体" w:cs="Times New Roman"/>
                <w:color w:val="auto"/>
                <w:kern w:val="0"/>
                <w:sz w:val="24"/>
                <w:highlight w:val="none"/>
              </w:rPr>
              <w:t xml:space="preserve">￥           （大写）：                               </w:t>
            </w:r>
          </w:p>
        </w:tc>
      </w:tr>
    </w:tbl>
    <w:p w14:paraId="111FBAE7">
      <w:pPr>
        <w:spacing w:line="440" w:lineRule="exact"/>
        <w:rPr>
          <w:rFonts w:hint="eastAsia" w:ascii="黑体" w:hAnsi="华文楷体" w:eastAsia="黑体"/>
          <w:b/>
          <w:color w:val="auto"/>
          <w:sz w:val="24"/>
          <w:highlight w:val="none"/>
        </w:rPr>
      </w:pPr>
    </w:p>
    <w:p w14:paraId="0951F7B4">
      <w:pPr>
        <w:spacing w:line="440" w:lineRule="exact"/>
        <w:rPr>
          <w:rFonts w:hint="eastAsia" w:ascii="黑体" w:hAnsi="华文楷体" w:eastAsia="黑体"/>
          <w:b/>
          <w:color w:val="auto"/>
          <w:sz w:val="24"/>
          <w:highlight w:val="none"/>
        </w:rPr>
      </w:pPr>
    </w:p>
    <w:p w14:paraId="28986851">
      <w:pPr>
        <w:pStyle w:val="13"/>
        <w:ind w:firstLine="0" w:firstLineChars="0"/>
        <w:rPr>
          <w:color w:val="auto"/>
          <w:highlight w:val="none"/>
        </w:rPr>
      </w:pPr>
    </w:p>
    <w:p w14:paraId="79E6C08B">
      <w:pPr>
        <w:spacing w:line="440" w:lineRule="exact"/>
        <w:rPr>
          <w:rFonts w:hint="eastAsia" w:ascii="黑体" w:hAnsi="华文楷体" w:eastAsia="黑体"/>
          <w:color w:val="auto"/>
          <w:sz w:val="24"/>
          <w:highlight w:val="none"/>
        </w:rPr>
      </w:pPr>
      <w:r>
        <w:rPr>
          <w:rFonts w:hint="eastAsia" w:ascii="黑体" w:hAnsi="华文楷体" w:eastAsia="黑体"/>
          <w:color w:val="auto"/>
          <w:sz w:val="24"/>
          <w:highlight w:val="none"/>
        </w:rPr>
        <w:t>公司名称（盖章）：          委托代理人（签字）：        报价日期：      年    月   日</w:t>
      </w:r>
    </w:p>
    <w:p w14:paraId="24757B86">
      <w:pPr>
        <w:rPr>
          <w:rFonts w:hint="eastAsia" w:ascii="黑体" w:hAnsi="华文楷体" w:eastAsia="黑体"/>
          <w:color w:val="auto"/>
          <w:szCs w:val="21"/>
          <w:highlight w:val="none"/>
        </w:rPr>
      </w:pPr>
    </w:p>
    <w:p w14:paraId="4A10943A">
      <w:pPr>
        <w:rPr>
          <w:rFonts w:hint="eastAsia" w:ascii="黑体" w:hAnsi="华文楷体" w:eastAsia="黑体"/>
          <w:color w:val="auto"/>
          <w:szCs w:val="21"/>
          <w:highlight w:val="none"/>
        </w:rPr>
      </w:pPr>
      <w:r>
        <w:rPr>
          <w:rFonts w:hint="eastAsia" w:ascii="黑体" w:hAnsi="华文楷体" w:eastAsia="黑体"/>
          <w:color w:val="auto"/>
          <w:szCs w:val="21"/>
          <w:highlight w:val="none"/>
        </w:rPr>
        <w:t>报价说明：1、报价公司提供的上述产品，应完全满足或者优于我校提出的需求。</w:t>
      </w:r>
    </w:p>
    <w:p w14:paraId="79135906">
      <w:pPr>
        <w:rPr>
          <w:rFonts w:hint="eastAsia" w:ascii="黑体" w:hAnsi="华文楷体" w:eastAsia="黑体"/>
          <w:color w:val="auto"/>
          <w:szCs w:val="21"/>
          <w:highlight w:val="none"/>
        </w:rPr>
      </w:pPr>
      <w:r>
        <w:rPr>
          <w:rFonts w:hint="eastAsia" w:ascii="黑体" w:hAnsi="华文楷体" w:eastAsia="黑体"/>
          <w:color w:val="auto"/>
          <w:szCs w:val="21"/>
          <w:highlight w:val="none"/>
        </w:rPr>
        <w:t xml:space="preserve">          2、如属非标配产品，其技术指标（特别是优于我校需求的部分）请另行附页说明。</w:t>
      </w:r>
    </w:p>
    <w:p w14:paraId="764B20DB">
      <w:pPr>
        <w:rPr>
          <w:rFonts w:hint="eastAsia" w:ascii="黑体" w:hAnsi="华文楷体" w:eastAsia="黑体"/>
          <w:color w:val="auto"/>
          <w:szCs w:val="21"/>
          <w:highlight w:val="none"/>
        </w:rPr>
      </w:pPr>
      <w:r>
        <w:rPr>
          <w:rFonts w:hint="eastAsia" w:ascii="黑体" w:hAnsi="华文楷体" w:eastAsia="黑体"/>
          <w:color w:val="auto"/>
          <w:szCs w:val="21"/>
          <w:highlight w:val="none"/>
        </w:rPr>
        <w:t xml:space="preserve">          3、特殊的售后服务措施、代理证明情况等需要说明的，请另行附页说明。</w:t>
      </w:r>
    </w:p>
    <w:p w14:paraId="3B385E21">
      <w:pPr>
        <w:rPr>
          <w:rFonts w:hint="eastAsia" w:ascii="黑体" w:hAnsi="华文楷体" w:eastAsia="黑体"/>
          <w:color w:val="auto"/>
          <w:szCs w:val="21"/>
          <w:highlight w:val="none"/>
        </w:rPr>
      </w:pPr>
      <w:r>
        <w:rPr>
          <w:rFonts w:hint="eastAsia" w:ascii="黑体" w:hAnsi="华文楷体" w:eastAsia="黑体"/>
          <w:color w:val="auto"/>
          <w:szCs w:val="21"/>
          <w:highlight w:val="none"/>
        </w:rPr>
        <w:t xml:space="preserve">          4、报价单附页（如有）共</w:t>
      </w:r>
      <w:r>
        <w:rPr>
          <w:rFonts w:hint="eastAsia" w:ascii="黑体" w:hAnsi="华文楷体" w:eastAsia="黑体"/>
          <w:color w:val="auto"/>
          <w:szCs w:val="21"/>
          <w:highlight w:val="none"/>
          <w:u w:val="single"/>
        </w:rPr>
        <w:t xml:space="preserve">      </w:t>
      </w:r>
      <w:r>
        <w:rPr>
          <w:rFonts w:hint="eastAsia" w:ascii="黑体" w:hAnsi="华文楷体" w:eastAsia="黑体"/>
          <w:color w:val="auto"/>
          <w:szCs w:val="21"/>
          <w:highlight w:val="none"/>
        </w:rPr>
        <w:t>页。</w:t>
      </w:r>
    </w:p>
    <w:p w14:paraId="7C7FF977">
      <w:pPr>
        <w:rPr>
          <w:rFonts w:hint="eastAsia" w:ascii="仿宋" w:hAnsi="仿宋" w:eastAsia="仿宋"/>
          <w:b/>
          <w:bCs/>
          <w:color w:val="auto"/>
          <w:kern w:val="0"/>
          <w:sz w:val="36"/>
          <w:szCs w:val="36"/>
          <w:highlight w:val="none"/>
        </w:rPr>
      </w:pPr>
      <w:r>
        <w:rPr>
          <w:rFonts w:hint="eastAsia" w:ascii="仿宋" w:hAnsi="仿宋" w:eastAsia="仿宋"/>
          <w:b/>
          <w:bCs/>
          <w:color w:val="auto"/>
          <w:kern w:val="0"/>
          <w:sz w:val="36"/>
          <w:szCs w:val="36"/>
          <w:highlight w:val="none"/>
        </w:rPr>
        <w:br w:type="page"/>
      </w:r>
    </w:p>
    <w:p w14:paraId="5492567F">
      <w:pPr>
        <w:spacing w:after="157" w:afterLines="50"/>
        <w:jc w:val="center"/>
        <w:rPr>
          <w:rFonts w:hint="eastAsia" w:ascii="仿宋" w:hAnsi="仿宋" w:eastAsia="仿宋"/>
          <w:b/>
          <w:bCs/>
          <w:color w:val="auto"/>
          <w:kern w:val="0"/>
          <w:sz w:val="36"/>
          <w:szCs w:val="36"/>
          <w:highlight w:val="none"/>
        </w:rPr>
      </w:pPr>
      <w:r>
        <w:rPr>
          <w:rFonts w:hint="eastAsia" w:ascii="仿宋" w:hAnsi="仿宋" w:eastAsia="仿宋"/>
          <w:b/>
          <w:bCs/>
          <w:color w:val="auto"/>
          <w:kern w:val="0"/>
          <w:sz w:val="36"/>
          <w:szCs w:val="36"/>
          <w:highlight w:val="none"/>
        </w:rPr>
        <w:t>报价承诺函</w:t>
      </w:r>
    </w:p>
    <w:p w14:paraId="0D0D212E">
      <w:pPr>
        <w:spacing w:after="157" w:afterLines="50"/>
        <w:rPr>
          <w:rFonts w:hint="eastAsia" w:ascii="仿宋" w:hAnsi="仿宋" w:eastAsia="仿宋" w:cs="宋体"/>
          <w:color w:val="auto"/>
          <w:sz w:val="24"/>
          <w:highlight w:val="none"/>
        </w:rPr>
      </w:pPr>
      <w:r>
        <w:rPr>
          <w:rFonts w:hint="eastAsia" w:ascii="仿宋" w:hAnsi="仿宋" w:eastAsia="仿宋" w:cs="宋体"/>
          <w:color w:val="auto"/>
          <w:sz w:val="24"/>
          <w:highlight w:val="none"/>
          <w:lang w:val="zh-CN"/>
        </w:rPr>
        <w:t>致：</w:t>
      </w:r>
      <w:r>
        <w:rPr>
          <w:rFonts w:hint="eastAsia" w:ascii="仿宋" w:hAnsi="仿宋" w:eastAsia="仿宋" w:cs="宋体"/>
          <w:color w:val="auto"/>
          <w:sz w:val="24"/>
          <w:highlight w:val="none"/>
        </w:rPr>
        <w:t>上海海事大学</w:t>
      </w:r>
    </w:p>
    <w:p w14:paraId="4BBE896C">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lang w:val="zh-CN"/>
        </w:rPr>
        <w:t>我</w:t>
      </w:r>
      <w:r>
        <w:rPr>
          <w:rFonts w:ascii="仿宋" w:hAnsi="仿宋" w:eastAsia="仿宋" w:cs="宋体"/>
          <w:color w:val="auto"/>
          <w:sz w:val="24"/>
          <w:highlight w:val="none"/>
          <w:lang w:val="zh-CN"/>
        </w:rPr>
        <w:t>公司在参加本次</w:t>
      </w:r>
      <w:r>
        <w:rPr>
          <w:rFonts w:hint="eastAsia" w:ascii="仿宋" w:hAnsi="仿宋" w:eastAsia="仿宋" w:cs="宋体"/>
          <w:color w:val="auto"/>
          <w:sz w:val="24"/>
          <w:highlight w:val="none"/>
        </w:rPr>
        <w:t>比选采购</w:t>
      </w:r>
      <w:r>
        <w:rPr>
          <w:rFonts w:ascii="仿宋" w:hAnsi="仿宋" w:eastAsia="仿宋" w:cs="宋体"/>
          <w:color w:val="auto"/>
          <w:sz w:val="24"/>
          <w:highlight w:val="none"/>
          <w:lang w:val="zh-CN"/>
        </w:rPr>
        <w:t>活动中，</w:t>
      </w:r>
      <w:r>
        <w:rPr>
          <w:rFonts w:hint="eastAsia" w:ascii="仿宋" w:hAnsi="仿宋" w:eastAsia="仿宋" w:cs="宋体"/>
          <w:color w:val="auto"/>
          <w:sz w:val="24"/>
          <w:highlight w:val="none"/>
          <w:lang w:val="zh-CN"/>
        </w:rPr>
        <w:t>作出如下</w:t>
      </w:r>
      <w:r>
        <w:rPr>
          <w:rFonts w:ascii="仿宋" w:hAnsi="仿宋" w:eastAsia="仿宋" w:cs="宋体"/>
          <w:color w:val="auto"/>
          <w:sz w:val="24"/>
          <w:highlight w:val="none"/>
          <w:lang w:val="zh-CN"/>
        </w:rPr>
        <w:t>承诺：</w:t>
      </w:r>
    </w:p>
    <w:p w14:paraId="67AAD869">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lang w:val="zh-CN"/>
        </w:rPr>
        <w:t>一、</w:t>
      </w:r>
      <w:r>
        <w:rPr>
          <w:rFonts w:hint="eastAsia" w:ascii="仿宋" w:hAnsi="仿宋" w:eastAsia="仿宋" w:cs="宋体"/>
          <w:color w:val="auto"/>
          <w:sz w:val="24"/>
          <w:highlight w:val="none"/>
        </w:rPr>
        <w:t>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具备独立法人资格，能够独立承担民事责任。</w:t>
      </w:r>
    </w:p>
    <w:p w14:paraId="203D2EBB">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二、我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财务状况良好，具备履行合同所需资金实力。</w:t>
      </w:r>
    </w:p>
    <w:p w14:paraId="663675B4">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三、我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拥有履行项目所需的专业技术人员和先进的生产设备。</w:t>
      </w:r>
    </w:p>
    <w:p w14:paraId="524E55F4">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四、我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依法纳税，并按时缴纳社会保险费。</w:t>
      </w:r>
    </w:p>
    <w:p w14:paraId="22444A22">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五、我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在最近三年内无任何违法违规行为，信誉良好。</w:t>
      </w:r>
    </w:p>
    <w:p w14:paraId="30DCC1AF">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六、我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完全符合政府采购法及其他相关法律法规的规定。</w:t>
      </w:r>
    </w:p>
    <w:p w14:paraId="1FFF2D6B">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rPr>
        <w:t>七</w:t>
      </w:r>
      <w:r>
        <w:rPr>
          <w:rFonts w:hint="eastAsia" w:ascii="仿宋" w:hAnsi="仿宋" w:eastAsia="仿宋" w:cs="宋体"/>
          <w:color w:val="auto"/>
          <w:sz w:val="24"/>
          <w:highlight w:val="none"/>
          <w:lang w:val="zh-CN"/>
        </w:rPr>
        <w:t>、</w:t>
      </w:r>
      <w:r>
        <w:rPr>
          <w:rFonts w:hint="eastAsia" w:ascii="仿宋" w:hAnsi="仿宋" w:eastAsia="仿宋" w:cs="宋体"/>
          <w:color w:val="auto"/>
          <w:sz w:val="24"/>
          <w:highlight w:val="none"/>
        </w:rPr>
        <w:t>我</w:t>
      </w:r>
      <w:r>
        <w:rPr>
          <w:rFonts w:hint="eastAsia" w:ascii="仿宋" w:hAnsi="仿宋" w:eastAsia="仿宋" w:cs="宋体"/>
          <w:color w:val="auto"/>
          <w:sz w:val="24"/>
          <w:highlight w:val="none"/>
          <w:lang w:val="zh-CN"/>
        </w:rPr>
        <w:t>公司提供的相关文件均真实、有效。</w:t>
      </w:r>
    </w:p>
    <w:p w14:paraId="1B7E295B">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八、我</w:t>
      </w:r>
      <w:r>
        <w:rPr>
          <w:rFonts w:hint="eastAsia" w:ascii="仿宋" w:hAnsi="仿宋" w:eastAsia="仿宋" w:cs="宋体"/>
          <w:color w:val="auto"/>
          <w:sz w:val="24"/>
          <w:highlight w:val="none"/>
          <w:lang w:val="zh-CN"/>
        </w:rPr>
        <w:t>公司未挂靠、借用资质进行投标等违法违规行为。</w:t>
      </w:r>
    </w:p>
    <w:p w14:paraId="52054679">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rPr>
        <w:t>九、</w:t>
      </w:r>
      <w:r>
        <w:rPr>
          <w:rFonts w:hint="eastAsia" w:ascii="仿宋" w:hAnsi="仿宋" w:eastAsia="仿宋" w:cs="宋体"/>
          <w:color w:val="auto"/>
          <w:sz w:val="24"/>
          <w:highlight w:val="none"/>
          <w:lang w:val="zh-CN"/>
        </w:rPr>
        <w:t>我公司承诺在参加本</w:t>
      </w:r>
      <w:r>
        <w:rPr>
          <w:rFonts w:hint="eastAsia" w:ascii="仿宋" w:hAnsi="仿宋" w:eastAsia="仿宋" w:cs="宋体"/>
          <w:color w:val="auto"/>
          <w:sz w:val="24"/>
          <w:highlight w:val="none"/>
        </w:rPr>
        <w:t>次</w:t>
      </w:r>
      <w:r>
        <w:rPr>
          <w:rFonts w:hint="eastAsia" w:ascii="仿宋" w:hAnsi="仿宋" w:eastAsia="仿宋" w:cs="宋体"/>
          <w:color w:val="auto"/>
          <w:sz w:val="24"/>
          <w:highlight w:val="none"/>
          <w:lang w:val="zh-CN"/>
        </w:rPr>
        <w:t>采购活动中，</w:t>
      </w:r>
      <w:r>
        <w:rPr>
          <w:rFonts w:hint="eastAsia" w:ascii="仿宋" w:hAnsi="仿宋" w:eastAsia="仿宋" w:cs="宋体"/>
          <w:color w:val="auto"/>
          <w:sz w:val="24"/>
          <w:highlight w:val="none"/>
        </w:rPr>
        <w:t>不存在串标围标行为</w:t>
      </w:r>
      <w:r>
        <w:rPr>
          <w:rFonts w:hint="eastAsia" w:ascii="仿宋" w:hAnsi="仿宋" w:eastAsia="仿宋" w:cs="宋体"/>
          <w:color w:val="auto"/>
          <w:sz w:val="24"/>
          <w:highlight w:val="none"/>
          <w:lang w:val="zh-CN"/>
        </w:rPr>
        <w:t>，</w:t>
      </w:r>
      <w:r>
        <w:rPr>
          <w:rFonts w:hint="eastAsia" w:ascii="仿宋" w:hAnsi="仿宋" w:eastAsia="仿宋" w:cs="宋体"/>
          <w:color w:val="auto"/>
          <w:sz w:val="24"/>
          <w:highlight w:val="none"/>
        </w:rPr>
        <w:t>不存在</w:t>
      </w:r>
      <w:r>
        <w:rPr>
          <w:rFonts w:hint="eastAsia" w:ascii="仿宋" w:hAnsi="仿宋" w:eastAsia="仿宋" w:cs="宋体"/>
          <w:color w:val="auto"/>
          <w:sz w:val="24"/>
          <w:highlight w:val="none"/>
          <w:lang w:val="zh-CN"/>
        </w:rPr>
        <w:t>损害</w:t>
      </w:r>
      <w:r>
        <w:rPr>
          <w:rFonts w:hint="eastAsia" w:ascii="仿宋" w:hAnsi="仿宋" w:eastAsia="仿宋" w:cs="宋体"/>
          <w:color w:val="auto"/>
          <w:sz w:val="24"/>
          <w:highlight w:val="none"/>
        </w:rPr>
        <w:t>校方</w:t>
      </w:r>
      <w:r>
        <w:rPr>
          <w:rFonts w:hint="eastAsia" w:ascii="仿宋" w:hAnsi="仿宋" w:eastAsia="仿宋" w:cs="宋体"/>
          <w:color w:val="auto"/>
          <w:sz w:val="24"/>
          <w:highlight w:val="none"/>
          <w:lang w:val="zh-CN"/>
        </w:rPr>
        <w:t>或者其他</w:t>
      </w:r>
      <w:r>
        <w:rPr>
          <w:rFonts w:hint="eastAsia" w:ascii="仿宋" w:hAnsi="仿宋" w:eastAsia="仿宋" w:cs="宋体"/>
          <w:color w:val="auto"/>
          <w:sz w:val="24"/>
          <w:highlight w:val="none"/>
        </w:rPr>
        <w:t>报价单位</w:t>
      </w:r>
      <w:r>
        <w:rPr>
          <w:rFonts w:hint="eastAsia" w:ascii="仿宋" w:hAnsi="仿宋" w:eastAsia="仿宋" w:cs="宋体"/>
          <w:color w:val="auto"/>
          <w:sz w:val="24"/>
          <w:highlight w:val="none"/>
          <w:lang w:val="zh-CN"/>
        </w:rPr>
        <w:t>利益的行为。</w:t>
      </w:r>
    </w:p>
    <w:p w14:paraId="2F6D7590">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rPr>
        <w:t>十、</w:t>
      </w:r>
      <w:r>
        <w:rPr>
          <w:rFonts w:hint="eastAsia" w:ascii="仿宋" w:hAnsi="仿宋" w:eastAsia="仿宋" w:cs="宋体"/>
          <w:color w:val="auto"/>
          <w:sz w:val="24"/>
          <w:highlight w:val="none"/>
          <w:lang w:val="zh-CN"/>
        </w:rPr>
        <w:t>我</w:t>
      </w:r>
      <w:r>
        <w:rPr>
          <w:rFonts w:hint="eastAsia" w:ascii="仿宋" w:hAnsi="仿宋" w:eastAsia="仿宋" w:cs="宋体"/>
          <w:color w:val="auto"/>
          <w:sz w:val="24"/>
          <w:highlight w:val="none"/>
        </w:rPr>
        <w:t>公司管理层中</w:t>
      </w:r>
      <w:r>
        <w:rPr>
          <w:rFonts w:hint="eastAsia" w:ascii="仿宋" w:hAnsi="仿宋" w:eastAsia="仿宋" w:cs="宋体"/>
          <w:color w:val="auto"/>
          <w:sz w:val="24"/>
          <w:highlight w:val="none"/>
          <w:lang w:val="zh-CN"/>
        </w:rPr>
        <w:t>没有从</w:t>
      </w:r>
      <w:r>
        <w:rPr>
          <w:rFonts w:hint="eastAsia" w:ascii="仿宋" w:hAnsi="仿宋" w:eastAsia="仿宋" w:cs="宋体"/>
          <w:color w:val="auto"/>
          <w:sz w:val="24"/>
          <w:highlight w:val="none"/>
        </w:rPr>
        <w:t>贵校</w:t>
      </w:r>
      <w:r>
        <w:rPr>
          <w:rFonts w:hint="eastAsia" w:ascii="仿宋" w:hAnsi="仿宋" w:eastAsia="仿宋" w:cs="宋体"/>
          <w:color w:val="auto"/>
          <w:sz w:val="24"/>
          <w:highlight w:val="none"/>
          <w:lang w:val="zh-CN"/>
        </w:rPr>
        <w:t>离职或退休3年以内的人员担任控股股东或实际控股人、董事、监事，也没有聘用从</w:t>
      </w:r>
      <w:r>
        <w:rPr>
          <w:rFonts w:hint="eastAsia" w:ascii="仿宋" w:hAnsi="仿宋" w:eastAsia="仿宋" w:cs="宋体"/>
          <w:color w:val="auto"/>
          <w:sz w:val="24"/>
          <w:highlight w:val="none"/>
        </w:rPr>
        <w:t>贵校</w:t>
      </w:r>
      <w:r>
        <w:rPr>
          <w:rFonts w:hint="eastAsia" w:ascii="仿宋" w:hAnsi="仿宋" w:eastAsia="仿宋" w:cs="宋体"/>
          <w:color w:val="auto"/>
          <w:sz w:val="24"/>
          <w:highlight w:val="none"/>
          <w:lang w:val="zh-CN"/>
        </w:rPr>
        <w:t>离职或退休3年以内的人员。</w:t>
      </w:r>
    </w:p>
    <w:p w14:paraId="1543D47B">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rPr>
        <w:t>我公司保证上述声明真实无误，如有不实，愿承担相应法律责任。</w:t>
      </w:r>
    </w:p>
    <w:p w14:paraId="663B2AE1">
      <w:pPr>
        <w:spacing w:after="157" w:afterLines="50"/>
        <w:rPr>
          <w:rFonts w:hint="eastAsia" w:ascii="仿宋" w:hAnsi="仿宋" w:eastAsia="仿宋" w:cs="宋体"/>
          <w:color w:val="auto"/>
          <w:sz w:val="24"/>
          <w:highlight w:val="none"/>
          <w:lang w:val="zh-CN"/>
        </w:rPr>
      </w:pPr>
    </w:p>
    <w:p w14:paraId="06E8DC6C">
      <w:pPr>
        <w:spacing w:after="157" w:afterLines="50"/>
        <w:rPr>
          <w:rFonts w:hint="eastAsia" w:ascii="黑体" w:hAnsi="华文楷体" w:eastAsia="黑体"/>
          <w:b/>
          <w:bCs/>
          <w:color w:val="auto"/>
          <w:sz w:val="32"/>
          <w:szCs w:val="32"/>
          <w:highlight w:val="none"/>
        </w:rPr>
      </w:pPr>
      <w:r>
        <w:rPr>
          <w:rFonts w:hint="eastAsia" w:ascii="黑体" w:hAnsi="华文楷体" w:eastAsia="黑体"/>
          <w:color w:val="auto"/>
          <w:sz w:val="24"/>
          <w:highlight w:val="none"/>
        </w:rPr>
        <w:t>公司名称（盖章）：                              委托代理人（签字）：</w:t>
      </w:r>
    </w:p>
    <w:p w14:paraId="2E5CD72E">
      <w:pPr>
        <w:pStyle w:val="7"/>
        <w:rPr>
          <w:rFonts w:hint="eastAsia" w:ascii="方正兰亭黑简体" w:hAnsi="方正兰亭黑简体" w:eastAsia="方正兰亭黑简体" w:cs="方正兰亭黑简体"/>
          <w:color w:val="auto"/>
          <w:sz w:val="22"/>
          <w:szCs w:val="28"/>
          <w:highlight w:val="none"/>
        </w:rPr>
      </w:pPr>
    </w:p>
    <w:p w14:paraId="3AB7BF2D">
      <w:pPr>
        <w:pStyle w:val="7"/>
        <w:rPr>
          <w:rFonts w:hint="eastAsia" w:ascii="方正兰亭黑简体" w:hAnsi="方正兰亭黑简体" w:eastAsia="方正兰亭黑简体" w:cs="方正兰亭黑简体"/>
          <w:color w:val="auto"/>
          <w:sz w:val="22"/>
          <w:szCs w:val="28"/>
          <w:highlight w:val="none"/>
        </w:rPr>
      </w:pPr>
    </w:p>
    <w:p w14:paraId="362DF56B">
      <w:pPr>
        <w:jc w:val="left"/>
        <w:rPr>
          <w:rFonts w:hint="eastAsia" w:ascii="方正兰亭黑简体" w:hAnsi="方正兰亭黑简体" w:eastAsia="方正兰亭黑简体" w:cs="方正兰亭黑简体"/>
          <w:color w:val="auto"/>
          <w:sz w:val="22"/>
          <w:szCs w:val="28"/>
          <w:highlight w:val="none"/>
        </w:rPr>
        <w:sectPr>
          <w:pgSz w:w="11906" w:h="16838"/>
          <w:pgMar w:top="1440" w:right="1083" w:bottom="1440" w:left="1083" w:header="851" w:footer="992" w:gutter="0"/>
          <w:cols w:space="0" w:num="1"/>
          <w:docGrid w:type="lines" w:linePitch="314" w:charSpace="0"/>
        </w:sectPr>
      </w:pPr>
    </w:p>
    <w:p w14:paraId="1C2CDC12">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附件2：其他材料</w:t>
      </w:r>
    </w:p>
    <w:p w14:paraId="00035BFC">
      <w:pPr>
        <w:pStyle w:val="6"/>
        <w:ind w:left="0" w:leftChars="0"/>
        <w:rPr>
          <w:color w:val="auto"/>
          <w:highlight w:val="none"/>
        </w:rPr>
      </w:pPr>
      <w:r>
        <w:rPr>
          <w:rFonts w:hint="eastAsia" w:ascii="方正兰亭黑简体" w:hAnsi="方正兰亭黑简体" w:eastAsia="方正兰亭黑简体" w:cs="方正兰亭黑简体"/>
          <w:color w:val="auto"/>
          <w:sz w:val="22"/>
          <w:szCs w:val="28"/>
          <w:highlight w:val="none"/>
        </w:rPr>
        <w:t>包括但不限于：</w:t>
      </w:r>
    </w:p>
    <w:p w14:paraId="1BEC83ED">
      <w:pPr>
        <w:pStyle w:val="6"/>
        <w:ind w:left="0" w:leftChars="0"/>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1、营业执照扫描件</w:t>
      </w:r>
    </w:p>
    <w:p w14:paraId="5B8DE979">
      <w:pPr>
        <w:pStyle w:val="6"/>
        <w:ind w:left="0" w:leftChars="0"/>
        <w:rPr>
          <w:rFonts w:hint="eastAsia" w:ascii="方正兰亭黑简体" w:hAnsi="方正兰亭黑简体" w:eastAsia="方正兰亭黑简体" w:cs="方正兰亭黑简体"/>
          <w:color w:val="auto"/>
          <w:sz w:val="22"/>
          <w:szCs w:val="28"/>
          <w:highlight w:val="none"/>
        </w:rPr>
      </w:pPr>
      <w:r>
        <w:rPr>
          <w:rFonts w:ascii="方正兰亭黑简体" w:hAnsi="方正兰亭黑简体" w:eastAsia="方正兰亭黑简体" w:cs="方正兰亭黑简体"/>
          <w:color w:val="auto"/>
          <w:sz w:val="22"/>
          <w:szCs w:val="28"/>
          <w:highlight w:val="none"/>
        </w:rPr>
        <w:t>2、</w:t>
      </w:r>
      <w:r>
        <w:rPr>
          <w:rFonts w:hint="eastAsia" w:ascii="方正兰亭黑简体" w:hAnsi="方正兰亭黑简体" w:eastAsia="方正兰亭黑简体" w:cs="方正兰亭黑简体"/>
          <w:color w:val="auto"/>
          <w:sz w:val="22"/>
          <w:szCs w:val="28"/>
          <w:highlight w:val="none"/>
        </w:rPr>
        <w:t>产品资料（产品参数及性能）</w:t>
      </w:r>
    </w:p>
    <w:p w14:paraId="6E42AE78">
      <w:pPr>
        <w:pStyle w:val="6"/>
        <w:ind w:left="0" w:leftChars="0"/>
        <w:rPr>
          <w:rFonts w:hint="eastAsia" w:ascii="方正兰亭黑简体" w:hAnsi="方正兰亭黑简体" w:eastAsia="方正兰亭黑简体" w:cs="方正兰亭黑简体"/>
          <w:color w:val="auto"/>
          <w:sz w:val="22"/>
          <w:szCs w:val="28"/>
          <w:highlight w:val="none"/>
        </w:rPr>
      </w:pPr>
      <w:r>
        <w:rPr>
          <w:rFonts w:ascii="方正兰亭黑简体" w:hAnsi="方正兰亭黑简体" w:eastAsia="方正兰亭黑简体" w:cs="方正兰亭黑简体"/>
          <w:color w:val="auto"/>
          <w:sz w:val="22"/>
          <w:szCs w:val="28"/>
          <w:highlight w:val="none"/>
        </w:rPr>
        <w:t>3、</w:t>
      </w:r>
      <w:r>
        <w:rPr>
          <w:rFonts w:hint="eastAsia" w:ascii="方正兰亭黑简体" w:hAnsi="方正兰亭黑简体" w:eastAsia="方正兰亭黑简体" w:cs="方正兰亭黑简体"/>
          <w:color w:val="auto"/>
          <w:sz w:val="22"/>
          <w:szCs w:val="28"/>
          <w:highlight w:val="none"/>
        </w:rPr>
        <w:t>实施计划</w:t>
      </w:r>
    </w:p>
    <w:p w14:paraId="0F2C1C25">
      <w:pPr>
        <w:pStyle w:val="6"/>
        <w:ind w:left="0" w:leftChars="0"/>
        <w:rPr>
          <w:rFonts w:hint="eastAsia" w:ascii="方正兰亭黑简体" w:hAnsi="方正兰亭黑简体" w:eastAsia="方正兰亭黑简体" w:cs="方正兰亭黑简体"/>
          <w:color w:val="auto"/>
          <w:sz w:val="22"/>
          <w:szCs w:val="28"/>
          <w:highlight w:val="none"/>
        </w:rPr>
      </w:pPr>
      <w:r>
        <w:rPr>
          <w:rFonts w:ascii="方正兰亭黑简体" w:hAnsi="方正兰亭黑简体" w:eastAsia="方正兰亭黑简体" w:cs="方正兰亭黑简体"/>
          <w:color w:val="auto"/>
          <w:sz w:val="22"/>
          <w:szCs w:val="28"/>
          <w:highlight w:val="none"/>
        </w:rPr>
        <w:t>4、</w:t>
      </w:r>
      <w:r>
        <w:rPr>
          <w:rFonts w:hint="eastAsia" w:ascii="方正兰亭黑简体" w:hAnsi="方正兰亭黑简体" w:eastAsia="方正兰亭黑简体" w:cs="方正兰亭黑简体"/>
          <w:color w:val="auto"/>
          <w:sz w:val="22"/>
          <w:szCs w:val="28"/>
          <w:highlight w:val="none"/>
        </w:rPr>
        <w:t>售后方案</w:t>
      </w:r>
    </w:p>
    <w:p w14:paraId="2A40764F">
      <w:pPr>
        <w:pStyle w:val="6"/>
        <w:ind w:left="0" w:leftChars="0"/>
        <w:rPr>
          <w:rFonts w:hint="eastAsia" w:ascii="方正兰亭黑简体" w:hAnsi="方正兰亭黑简体" w:eastAsia="方正兰亭黑简体" w:cs="方正兰亭黑简体"/>
          <w:color w:val="auto"/>
          <w:sz w:val="22"/>
          <w:szCs w:val="28"/>
          <w:highlight w:val="none"/>
        </w:rPr>
      </w:pPr>
      <w:r>
        <w:rPr>
          <w:rFonts w:ascii="方正兰亭黑简体" w:hAnsi="方正兰亭黑简体" w:eastAsia="方正兰亭黑简体" w:cs="方正兰亭黑简体"/>
          <w:color w:val="auto"/>
          <w:sz w:val="22"/>
          <w:szCs w:val="28"/>
          <w:highlight w:val="none"/>
        </w:rPr>
        <w:t>5、</w:t>
      </w:r>
      <w:r>
        <w:rPr>
          <w:rFonts w:hint="eastAsia" w:ascii="方正兰亭黑简体" w:hAnsi="方正兰亭黑简体" w:eastAsia="方正兰亭黑简体" w:cs="方正兰亭黑简体"/>
          <w:color w:val="auto"/>
          <w:sz w:val="22"/>
          <w:szCs w:val="28"/>
          <w:highlight w:val="none"/>
        </w:rPr>
        <w:t>业绩案例</w:t>
      </w:r>
    </w:p>
    <w:p w14:paraId="06077764">
      <w:pPr>
        <w:pStyle w:val="6"/>
        <w:ind w:left="0" w:leftChars="0"/>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6、其他所必需的相关材料</w:t>
      </w:r>
    </w:p>
    <w:sectPr>
      <w:pgSz w:w="11906" w:h="16838"/>
      <w:pgMar w:top="1440" w:right="1083" w:bottom="1440" w:left="1083" w:header="851" w:footer="992" w:gutter="0"/>
      <w:cols w:space="0" w:num="1"/>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D25DF56-3B5A-4393-A320-97E6BACA347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Times NR MT Pro Medium">
    <w:panose1 w:val="02010600010101010101"/>
    <w:charset w:val="86"/>
    <w:family w:val="auto"/>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楷体">
    <w:panose1 w:val="02010609060101010101"/>
    <w:charset w:val="86"/>
    <w:family w:val="modern"/>
    <w:pitch w:val="default"/>
    <w:sig w:usb0="800002BF" w:usb1="38CF7CFA" w:usb2="00000016" w:usb3="00000000" w:csb0="00040001" w:csb1="00000000"/>
  </w:font>
  <w:font w:name="方正兰亭黑简体">
    <w:panose1 w:val="02000000000000000000"/>
    <w:charset w:val="86"/>
    <w:family w:val="auto"/>
    <w:pitch w:val="default"/>
    <w:sig w:usb0="A00002BF" w:usb1="184F6CFA" w:usb2="00000012" w:usb3="00000000" w:csb0="00040001" w:csb1="00000000"/>
    <w:embedRegular r:id="rId2" w:fontKey="{76970D79-3BA5-4E4B-BD8A-0B50FB86CB24}"/>
  </w:font>
  <w:font w:name="华文楷体">
    <w:panose1 w:val="02010600040101010101"/>
    <w:charset w:val="86"/>
    <w:family w:val="auto"/>
    <w:pitch w:val="default"/>
    <w:sig w:usb0="A00002BF" w:usb1="78CF7CFB" w:usb2="00000016" w:usb3="00000000" w:csb0="6006009F" w:csb1="DFD70000"/>
    <w:embedRegular r:id="rId3" w:fontKey="{2B993016-D793-44DA-AFBC-779F5A4D6FA6}"/>
  </w:font>
  <w:font w:name="方正仿宋_GB2312">
    <w:panose1 w:val="02000000000000000000"/>
    <w:charset w:val="86"/>
    <w:family w:val="auto"/>
    <w:pitch w:val="default"/>
    <w:sig w:usb0="A00002BF" w:usb1="184F6CFA" w:usb2="00000012" w:usb3="00000000" w:csb0="00040001" w:csb1="00000000"/>
    <w:embedRegular r:id="rId4" w:fontKey="{5F3714EB-CEEA-40CD-ABBF-19F666F5A144}"/>
  </w:font>
  <w:font w:name="仿宋">
    <w:panose1 w:val="02010609060101010101"/>
    <w:charset w:val="86"/>
    <w:family w:val="modern"/>
    <w:pitch w:val="default"/>
    <w:sig w:usb0="800002BF" w:usb1="38CF7CFA" w:usb2="00000016" w:usb3="00000000" w:csb0="00040001" w:csb1="00000000"/>
    <w:embedRegular r:id="rId5" w:fontKey="{E544112A-881E-448D-B3FE-D2410678D35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157E9">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832227">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A832227">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281E11"/>
    <w:multiLevelType w:val="singleLevel"/>
    <w:tmpl w:val="DC281E11"/>
    <w:lvl w:ilvl="0" w:tentative="0">
      <w:start w:val="1"/>
      <w:numFmt w:val="decimal"/>
      <w:lvlText w:val="%1."/>
      <w:lvlJc w:val="left"/>
      <w:pPr>
        <w:tabs>
          <w:tab w:val="left" w:pos="312"/>
        </w:tabs>
      </w:pPr>
    </w:lvl>
  </w:abstractNum>
  <w:abstractNum w:abstractNumId="1">
    <w:nsid w:val="17722401"/>
    <w:multiLevelType w:val="multilevel"/>
    <w:tmpl w:val="17722401"/>
    <w:lvl w:ilvl="0" w:tentative="0">
      <w:start w:val="1"/>
      <w:numFmt w:val="japaneseCounting"/>
      <w:pStyle w:val="2"/>
      <w:lvlText w:val="%1、"/>
      <w:lvlJc w:val="left"/>
      <w:pPr>
        <w:ind w:left="464" w:hanging="720"/>
      </w:pPr>
      <w:rPr>
        <w:rFonts w:hint="default"/>
      </w:rPr>
    </w:lvl>
    <w:lvl w:ilvl="1" w:tentative="0">
      <w:start w:val="1"/>
      <w:numFmt w:val="decimalEnclosedCircle"/>
      <w:lvlText w:val="%2"/>
      <w:lvlJc w:val="left"/>
      <w:pPr>
        <w:ind w:left="544" w:hanging="360"/>
      </w:pPr>
      <w:rPr>
        <w:rFonts w:hint="default"/>
      </w:rPr>
    </w:lvl>
    <w:lvl w:ilvl="2" w:tentative="0">
      <w:start w:val="1"/>
      <w:numFmt w:val="lowerRoman"/>
      <w:lvlText w:val="%3."/>
      <w:lvlJc w:val="right"/>
      <w:pPr>
        <w:ind w:left="1064" w:hanging="440"/>
      </w:pPr>
    </w:lvl>
    <w:lvl w:ilvl="3" w:tentative="0">
      <w:start w:val="1"/>
      <w:numFmt w:val="decimal"/>
      <w:lvlText w:val="%4."/>
      <w:lvlJc w:val="left"/>
      <w:pPr>
        <w:ind w:left="1504" w:hanging="440"/>
      </w:pPr>
    </w:lvl>
    <w:lvl w:ilvl="4" w:tentative="0">
      <w:start w:val="1"/>
      <w:numFmt w:val="lowerLetter"/>
      <w:lvlText w:val="%5)"/>
      <w:lvlJc w:val="left"/>
      <w:pPr>
        <w:ind w:left="1944" w:hanging="440"/>
      </w:pPr>
    </w:lvl>
    <w:lvl w:ilvl="5" w:tentative="0">
      <w:start w:val="1"/>
      <w:numFmt w:val="lowerRoman"/>
      <w:lvlText w:val="%6."/>
      <w:lvlJc w:val="right"/>
      <w:pPr>
        <w:ind w:left="2384" w:hanging="440"/>
      </w:pPr>
    </w:lvl>
    <w:lvl w:ilvl="6" w:tentative="0">
      <w:start w:val="1"/>
      <w:numFmt w:val="decimal"/>
      <w:lvlText w:val="%7."/>
      <w:lvlJc w:val="left"/>
      <w:pPr>
        <w:ind w:left="2824" w:hanging="440"/>
      </w:pPr>
    </w:lvl>
    <w:lvl w:ilvl="7" w:tentative="0">
      <w:start w:val="1"/>
      <w:numFmt w:val="lowerLetter"/>
      <w:lvlText w:val="%8)"/>
      <w:lvlJc w:val="left"/>
      <w:pPr>
        <w:ind w:left="3264" w:hanging="440"/>
      </w:pPr>
    </w:lvl>
    <w:lvl w:ilvl="8" w:tentative="0">
      <w:start w:val="1"/>
      <w:numFmt w:val="lowerRoman"/>
      <w:lvlText w:val="%9."/>
      <w:lvlJc w:val="right"/>
      <w:pPr>
        <w:ind w:left="3704" w:hanging="440"/>
      </w:pPr>
    </w:lvl>
  </w:abstractNum>
  <w:abstractNum w:abstractNumId="2">
    <w:nsid w:val="6EE46474"/>
    <w:multiLevelType w:val="multilevel"/>
    <w:tmpl w:val="6EE46474"/>
    <w:lvl w:ilvl="0" w:tentative="0">
      <w:start w:val="1"/>
      <w:numFmt w:val="decimal"/>
      <w:lvlText w:val="%1"/>
      <w:lvlJc w:val="left"/>
      <w:pPr>
        <w:ind w:left="425" w:hanging="425"/>
      </w:pPr>
      <w:rPr>
        <w:rFonts w:hint="eastAsia"/>
      </w:rPr>
    </w:lvl>
    <w:lvl w:ilvl="1" w:tentative="0">
      <w:start w:val="1"/>
      <w:numFmt w:val="decimal"/>
      <w:pStyle w:val="3"/>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cumentProtection w:enforcement="0"/>
  <w:defaultTabStop w:val="420"/>
  <w:drawingGridVerticalSpacing w:val="157"/>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27B"/>
    <w:rsid w:val="000C5484"/>
    <w:rsid w:val="00756F21"/>
    <w:rsid w:val="00D206EA"/>
    <w:rsid w:val="00FB127B"/>
    <w:rsid w:val="02675436"/>
    <w:rsid w:val="029C08D4"/>
    <w:rsid w:val="035A42B0"/>
    <w:rsid w:val="0875321F"/>
    <w:rsid w:val="09642E33"/>
    <w:rsid w:val="0B7B6E53"/>
    <w:rsid w:val="0DDF1DCE"/>
    <w:rsid w:val="0E0A5DCA"/>
    <w:rsid w:val="146C6B60"/>
    <w:rsid w:val="15285D7F"/>
    <w:rsid w:val="157E6317"/>
    <w:rsid w:val="15D04D45"/>
    <w:rsid w:val="1B307278"/>
    <w:rsid w:val="1D2B42FB"/>
    <w:rsid w:val="1DF9272E"/>
    <w:rsid w:val="21B969D7"/>
    <w:rsid w:val="22AA0589"/>
    <w:rsid w:val="24050543"/>
    <w:rsid w:val="26C52776"/>
    <w:rsid w:val="2DAA3F84"/>
    <w:rsid w:val="2E691D1D"/>
    <w:rsid w:val="2FB07FD7"/>
    <w:rsid w:val="2FCF54A9"/>
    <w:rsid w:val="3A774F92"/>
    <w:rsid w:val="3CFB52B6"/>
    <w:rsid w:val="3D6469F5"/>
    <w:rsid w:val="3DBA1AA2"/>
    <w:rsid w:val="3E5C4869"/>
    <w:rsid w:val="3FCC680A"/>
    <w:rsid w:val="41007DAA"/>
    <w:rsid w:val="45DB0FAA"/>
    <w:rsid w:val="480A63EB"/>
    <w:rsid w:val="4A2362AE"/>
    <w:rsid w:val="4AFC4A60"/>
    <w:rsid w:val="4C563715"/>
    <w:rsid w:val="4CC21E26"/>
    <w:rsid w:val="4EFD134C"/>
    <w:rsid w:val="50634D36"/>
    <w:rsid w:val="53BF37E6"/>
    <w:rsid w:val="55CF5109"/>
    <w:rsid w:val="57117CB6"/>
    <w:rsid w:val="573107A3"/>
    <w:rsid w:val="5AEA704B"/>
    <w:rsid w:val="5CB31D19"/>
    <w:rsid w:val="5D66061F"/>
    <w:rsid w:val="5E8720EC"/>
    <w:rsid w:val="5EE9209B"/>
    <w:rsid w:val="62DD78C6"/>
    <w:rsid w:val="63DF4A20"/>
    <w:rsid w:val="684F045C"/>
    <w:rsid w:val="699E1F48"/>
    <w:rsid w:val="6A7F5782"/>
    <w:rsid w:val="6C3138A4"/>
    <w:rsid w:val="6E3767B2"/>
    <w:rsid w:val="6FC06751"/>
    <w:rsid w:val="74FD108C"/>
    <w:rsid w:val="769D2894"/>
    <w:rsid w:val="794117F3"/>
    <w:rsid w:val="7C2C43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numPr>
        <w:ilvl w:val="0"/>
        <w:numId w:val="1"/>
      </w:numPr>
      <w:spacing w:before="120" w:after="80"/>
      <w:ind w:firstLine="0"/>
      <w:outlineLvl w:val="0"/>
    </w:pPr>
    <w:rPr>
      <w:rFonts w:cs="Times NR MT Pro Medium" w:asciiTheme="majorHAnsi" w:hAnsiTheme="majorHAnsi"/>
      <w:b/>
      <w:bCs/>
      <w:sz w:val="28"/>
      <w:szCs w:val="48"/>
    </w:rPr>
  </w:style>
  <w:style w:type="paragraph" w:styleId="3">
    <w:name w:val="heading 2"/>
    <w:basedOn w:val="1"/>
    <w:next w:val="1"/>
    <w:unhideWhenUsed/>
    <w:qFormat/>
    <w:uiPriority w:val="9"/>
    <w:pPr>
      <w:numPr>
        <w:ilvl w:val="1"/>
        <w:numId w:val="2"/>
      </w:numPr>
      <w:spacing w:before="80" w:after="80"/>
      <w:ind w:firstLine="0"/>
      <w:outlineLvl w:val="1"/>
    </w:pPr>
    <w:rPr>
      <w:rFonts w:cs="Times NR MT Pro Medium" w:asciiTheme="majorHAnsi" w:hAnsiTheme="majorHAnsi"/>
      <w:b/>
      <w:bCs/>
      <w:color w:val="000000" w:themeColor="text1"/>
      <w:sz w:val="24"/>
      <w:szCs w:val="40"/>
      <w14:textFill>
        <w14:solidFill>
          <w14:schemeClr w14:val="tx1"/>
        </w14:solidFill>
      </w14:textFill>
    </w:rPr>
  </w:style>
  <w:style w:type="paragraph" w:styleId="4">
    <w:name w:val="heading 3"/>
    <w:basedOn w:val="1"/>
    <w:next w:val="1"/>
    <w:unhideWhenUsed/>
    <w:qFormat/>
    <w:uiPriority w:val="9"/>
    <w:pPr>
      <w:spacing w:before="160" w:after="80"/>
      <w:ind w:left="737"/>
      <w:outlineLvl w:val="2"/>
    </w:pPr>
    <w:rPr>
      <w:rFonts w:cs="Times NR MT Pro Medium" w:asciiTheme="majorHAnsi" w:hAnsiTheme="majorHAnsi"/>
      <w:sz w:val="24"/>
      <w:szCs w:val="32"/>
    </w:rPr>
  </w:style>
  <w:style w:type="character" w:default="1" w:styleId="16">
    <w:name w:val="Default Paragraph Font"/>
    <w:semiHidden/>
    <w:unhideWhenUsed/>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5">
    <w:name w:val="Body Text"/>
    <w:basedOn w:val="1"/>
    <w:qFormat/>
    <w:uiPriority w:val="0"/>
    <w:pPr>
      <w:spacing w:after="120"/>
    </w:pPr>
  </w:style>
  <w:style w:type="paragraph" w:styleId="6">
    <w:name w:val="Body Text Indent"/>
    <w:basedOn w:val="1"/>
    <w:qFormat/>
    <w:uiPriority w:val="0"/>
    <w:pPr>
      <w:ind w:left="420" w:leftChars="200"/>
    </w:pPr>
  </w:style>
  <w:style w:type="paragraph" w:styleId="7">
    <w:name w:val="Plain Text"/>
    <w:basedOn w:val="1"/>
    <w:qFormat/>
    <w:uiPriority w:val="0"/>
    <w:rPr>
      <w:rFonts w:ascii="宋体" w:hAnsi="Courier New"/>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toc 1"/>
    <w:basedOn w:val="1"/>
    <w:next w:val="1"/>
    <w:unhideWhenUsed/>
    <w:qFormat/>
    <w:uiPriority w:val="39"/>
    <w:rPr>
      <w:rFonts w:ascii="Calibri" w:hAnsi="Calibri" w:eastAsia="宋体" w:cs="Times New Roman"/>
    </w:rPr>
  </w:style>
  <w:style w:type="paragraph" w:styleId="11">
    <w:name w:val="Body Text Indent 3"/>
    <w:basedOn w:val="1"/>
    <w:qFormat/>
    <w:uiPriority w:val="0"/>
    <w:pPr>
      <w:ind w:firstLine="600" w:firstLineChars="200"/>
    </w:pPr>
    <w:rPr>
      <w:color w:val="FF0000"/>
      <w:sz w:val="30"/>
      <w:szCs w:val="20"/>
    </w:rPr>
  </w:style>
  <w:style w:type="paragraph" w:styleId="12">
    <w:name w:val="Normal (Web)"/>
    <w:basedOn w:val="1"/>
    <w:qFormat/>
    <w:uiPriority w:val="0"/>
    <w:pPr>
      <w:spacing w:beforeAutospacing="1" w:afterAutospacing="1"/>
      <w:jc w:val="left"/>
    </w:pPr>
    <w:rPr>
      <w:rFonts w:cs="Times New Roman"/>
      <w:kern w:val="0"/>
      <w:sz w:val="24"/>
    </w:rPr>
  </w:style>
  <w:style w:type="paragraph" w:styleId="13">
    <w:name w:val="Body Text First Indent"/>
    <w:basedOn w:val="5"/>
    <w:qFormat/>
    <w:uiPriority w:val="0"/>
    <w:pPr>
      <w:widowControl/>
      <w:ind w:firstLine="420" w:firstLineChars="100"/>
      <w:jc w:val="left"/>
    </w:pPr>
    <w:rPr>
      <w:rFonts w:asci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22"/>
    <w:rPr>
      <w:b/>
      <w:bCs/>
    </w:rPr>
  </w:style>
  <w:style w:type="character" w:styleId="18">
    <w:name w:val="Hyperlink"/>
    <w:basedOn w:val="16"/>
    <w:unhideWhenUsed/>
    <w:qFormat/>
    <w:uiPriority w:val="99"/>
    <w:rPr>
      <w:color w:val="0000FF"/>
      <w:u w:val="single"/>
    </w:rPr>
  </w:style>
  <w:style w:type="paragraph" w:customStyle="1" w:styleId="19">
    <w:name w:val="列表段落1"/>
    <w:basedOn w:val="1"/>
    <w:qFormat/>
    <w:uiPriority w:val="0"/>
    <w:pPr>
      <w:ind w:firstLine="420" w:firstLineChars="200"/>
    </w:pPr>
  </w:style>
  <w:style w:type="paragraph" w:customStyle="1" w:styleId="20">
    <w:name w:val="Default"/>
    <w:qFormat/>
    <w:uiPriority w:val="0"/>
    <w:pPr>
      <w:widowControl w:val="0"/>
      <w:autoSpaceDE w:val="0"/>
      <w:autoSpaceDN w:val="0"/>
      <w:adjustRightInd w:val="0"/>
    </w:pPr>
    <w:rPr>
      <w:rFonts w:ascii="楷体" w:hAnsi="Times New Roman" w:eastAsia="楷体" w:cs="楷体"/>
      <w:color w:val="000000"/>
      <w:sz w:val="24"/>
      <w:szCs w:val="24"/>
      <w:lang w:val="en-US" w:eastAsia="zh-CN" w:bidi="ar-SA"/>
    </w:rPr>
  </w:style>
  <w:style w:type="character" w:customStyle="1" w:styleId="21">
    <w:name w:val="15"/>
    <w:basedOn w:val="16"/>
    <w:qFormat/>
    <w:uiPriority w:val="0"/>
    <w:rPr>
      <w:rFonts w:hint="default" w:ascii="Calibri" w:hAnsi="Calibri" w:cs="Calibri"/>
      <w:b/>
      <w:bCs/>
    </w:rPr>
  </w:style>
  <w:style w:type="paragraph" w:styleId="22">
    <w:name w:val="List Paragraph"/>
    <w:basedOn w:val="1"/>
    <w:qFormat/>
    <w:uiPriority w:val="34"/>
    <w:pPr>
      <w:ind w:left="720"/>
      <w:contextualSpacing/>
    </w:pPr>
  </w:style>
  <w:style w:type="character" w:customStyle="1" w:styleId="23">
    <w:name w:val="楷体 (中文) 楷体"/>
    <w:qFormat/>
    <w:uiPriority w:val="0"/>
    <w:rPr>
      <w:rFonts w:ascii="楷体" w:hAnsi="楷体" w:eastAsia="楷体"/>
      <w:kern w:val="1"/>
      <w:sz w:val="28"/>
    </w:rPr>
  </w:style>
  <w:style w:type="paragraph" w:customStyle="1" w:styleId="24">
    <w:name w:val="正文11"/>
    <w:basedOn w:val="1"/>
    <w:qFormat/>
    <w:uiPriority w:val="0"/>
    <w:pPr>
      <w:ind w:firstLine="560" w:firstLineChars="200"/>
    </w:pPr>
    <w:rPr>
      <w:rFonts w:ascii="宋体" w:hAnsi="宋体" w:eastAsia="宋体" w:cs="Times New Roman"/>
      <w:sz w:val="28"/>
      <w:szCs w:val="28"/>
    </w:rPr>
  </w:style>
  <w:style w:type="paragraph" w:customStyle="1" w:styleId="25">
    <w:name w:val="Table Text"/>
    <w:basedOn w:val="1"/>
    <w:semiHidden/>
    <w:qFormat/>
    <w:uiPriority w:val="0"/>
    <w:rPr>
      <w:rFonts w:ascii="宋体" w:hAnsi="宋体" w:eastAsia="宋体" w:cs="宋体"/>
      <w:szCs w:val="21"/>
      <w:lang w:eastAsia="en-US"/>
    </w:rPr>
  </w:style>
  <w:style w:type="table" w:customStyle="1" w:styleId="2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2f7ca856-2137-494a-befd-fe64440449b4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22E8766</paraID>
      <start>0</start>
      <end>2</end>
      <status>unmodified</status>
      <modifiedWord/>
      <trackRevisions>false</trackRevisions>
    </reviewItem>
    <reviewItem>
      <errorID>0676cdce-adb8-4705-b3f3-605f21934779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6441606B</paraID>
      <start>0</start>
      <end>2</end>
      <status>unmodified</status>
      <modifiedWord/>
      <trackRevisions>false</trackRevisions>
    </reviewItem>
    <reviewItem>
      <errorID>252cc8f5-a4a0-44ec-9a7c-d07e7ee85ba3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3A3BF07A</paraID>
      <start>0</start>
      <end>2</end>
      <status>unmodified</status>
      <modifiedWord/>
      <trackRevisions>false</trackRevisions>
    </reviewItem>
    <reviewItem>
      <errorID>ef9ac55e-b7ad-4ec8-9573-2fade8d4586d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47D79F3C</paraID>
      <start>0</start>
      <end>2</end>
      <status>unmodified</status>
      <modifiedWord/>
      <trackRevisions>false</trackRevisions>
    </reviewItem>
    <reviewItem>
      <errorID>b899da17-045f-4181-8443-e5fc8c723936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6E06AEE6</paraID>
      <start>0</start>
      <end>2</end>
      <status>unmodified</status>
      <modifiedWord/>
      <trackRevisions>false</trackRevisions>
    </reviewItem>
    <reviewItem>
      <errorID>200ddae6-e156-4df5-b6d2-b73f39b0107c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356C3AF2</paraID>
      <start>0</start>
      <end>2</end>
      <status>unmodified</status>
      <modifiedWord/>
      <trackRevisions>false</trackRevisions>
    </reviewItem>
    <reviewItem>
      <errorID>be72439d-d40a-4049-98f3-14e2fc4676b3</errorID>
      <errorWord>，</errorWord>
      <group>L1_Format</group>
      <groupName>格式问题</groupName>
      <ability>L2_HalfPunc</ability>
      <abilityName>全半角检查</abilityName>
      <candidateList>
        <item>,</item>
      </candidateList>
      <explain>文本全半角错误。</explain>
      <paraID>6E6BB651</paraID>
      <start>16</start>
      <end>17</end>
      <status>modified</status>
      <modifiedWord>,</modifiedWord>
      <trackRevisions>false</trackRevisions>
    </reviewItem>
    <reviewItem>
      <errorID>1611bd6d-2cc8-4f48-80bc-a9ec35391e07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26B00A6B</paraID>
      <start>0</start>
      <end>2</end>
      <status>unmodified</status>
      <modifiedWord/>
      <trackRevisions>false</trackRevisions>
    </reviewItem>
    <reviewItem>
      <errorID>37c7019b-dafd-4948-ba4b-00bed5630f65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4BC82F22</paraID>
      <start>0</start>
      <end>2</end>
      <status>unmodified</status>
      <modifiedWord/>
      <trackRevisions>false</trackRevisions>
    </reviewItem>
    <reviewItem>
      <errorID>1f0441ab-f030-492a-a2a4-3c2eac614898</errorID>
      <errorWord>按按</errorWord>
      <group>L1_Word</group>
      <groupName>字词问题</groupName>
      <ability>L2_Typo</ability>
      <abilityName>字词错误</abilityName>
      <candidateList>
        <item>按</item>
      </candidateList>
      <explain>（案）àn❶〈书〉考查；核对：有原文可～。❷（编者、作者等）加按语：编者～。</explain>
      <paraID>4BC82F22</paraID>
      <start>83</start>
      <end>84</end>
      <status>modified</status>
      <modifiedWord>按</modifiedWord>
      <trackRevisions>false</trackRevisions>
    </reviewItem>
    <reviewItem>
      <errorID>6d6aee76-3073-4a73-bd6f-fd0098bd70f2</errorID>
      <errorWord>原价的</errorWord>
      <group>L1_Word</group>
      <groupName>字词问题</groupName>
      <ability>L2_Typo</ability>
      <abilityName>字词错误</abilityName>
      <candidateList>
        <item>原价</item>
      </candidateList>
      <explain/>
      <paraID>4BC82F22</paraID>
      <start>84</start>
      <end>86</end>
      <status>modified</status>
      <modifiedWord>原价</modifiedWord>
      <trackRevisions>false</trackRevisions>
    </reviewItem>
    <reviewItem>
      <errorID>b225e2a1-cacd-4761-b788-6b501db4d990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34F0627</paraID>
      <start>0</start>
      <end>2</end>
      <status>unmodified</status>
      <modifiedWord/>
      <trackRevisions>false</trackRevisions>
    </reviewItem>
    <reviewItem>
      <errorID>f0073c79-2da8-4d38-a7d7-a3443f95c5c1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1272F05B</paraID>
      <start>0</start>
      <end>2</end>
      <status>unmodified</status>
      <modifiedWord/>
      <trackRevisions>false</trackRevisions>
    </reviewItem>
    <reviewItem>
      <errorID>296bf2d8-ea89-4516-b345-8cb1ef284ff0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590EB7B8</paraID>
      <start>0</start>
      <end>2</end>
      <status>unmodified</status>
      <modifiedWord/>
      <trackRevisions>false</trackRevisions>
    </reviewItem>
    <reviewItem>
      <errorID>d9fa8657-88f4-44ec-8aeb-be10b72f385b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117C4525</paraID>
      <start>0</start>
      <end>2</end>
      <status>unmodified</status>
      <modifiedWord/>
      <trackRevisions>false</trackRevisions>
    </reviewItem>
    <reviewItem>
      <errorID>a36e8997-ace7-41a2-9040-fdc7e675e9dc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123C9161</paraID>
      <start>0</start>
      <end>2</end>
      <status>unmodified</status>
      <modifiedWord/>
      <trackRevisions>false</trackRevisions>
    </reviewItem>
    <reviewItem>
      <errorID>351ad31d-6c04-4ead-855a-5480eb51875d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6163A2E2</paraID>
      <start>0</start>
      <end>2</end>
      <status>unmodified</status>
      <modifiedWord/>
      <trackRevisions>false</trackRevisions>
    </reviewItem>
    <reviewItem>
      <errorID>72a91557-d2ec-4f86-89cb-03eac077dc34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75BA9CDB</paraID>
      <start>0</start>
      <end>2</end>
      <status>unmodified</status>
      <modifiedWord/>
      <trackRevisions>false</trackRevisions>
    </reviewItem>
    <reviewItem>
      <errorID>61740d0b-bd8a-4f29-a29a-14ea8548e0b7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1BB2A8EF</paraID>
      <start>0</start>
      <end>2</end>
      <status>unmodified</status>
      <modifiedWord/>
      <trackRevisions>false</trackRevisions>
    </reviewItem>
    <reviewItem>
      <errorID>0bbfcd75-a468-48b4-8874-5094f637264e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32423874</paraID>
      <start>0</start>
      <end>2</end>
      <status>unmodified</status>
      <modifiedWord/>
      <trackRevisions>false</trackRevisions>
    </reviewItem>
    <reviewItem>
      <errorID>63ca67d2-d837-43fb-89f2-4b8f1a7000e4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47143B82</paraID>
      <start>0</start>
      <end>2</end>
      <status>unmodified</status>
      <modifiedWord/>
      <trackRevisions>false</trackRevisions>
    </reviewItem>
    <reviewItem>
      <errorID>89d31d61-a0e5-45fa-9f37-771a351957cb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3644FF0B</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273C8B9-5CAC-44C4-B548-7E56506719A2}">
  <ds:schemaRefs/>
</ds:datastoreItem>
</file>

<file path=docProps/app.xml><?xml version="1.0" encoding="utf-8"?>
<Properties xmlns="http://schemas.openxmlformats.org/officeDocument/2006/extended-properties" xmlns:vt="http://schemas.openxmlformats.org/officeDocument/2006/docPropsVTypes">
  <Template>Normal</Template>
  <Pages>19</Pages>
  <Words>56</Words>
  <Characters>66</Characters>
  <Lines>308</Lines>
  <Paragraphs>372</Paragraphs>
  <TotalTime>32</TotalTime>
  <ScaleCrop>false</ScaleCrop>
  <LinksUpToDate>false</LinksUpToDate>
  <CharactersWithSpaces>67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2026-10-29T02:37:00Z</dcterms:created>
  <dc:creator>HP</dc:creator>
  <cp:lastModifiedBy>仲杰</cp:lastModifiedBy>
  <dcterms:modified xsi:type="dcterms:W3CDTF">2026-10-29T05:53:06Z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eyJoZGlkIjoiMjQzMjJjYTEzYzEzMjVjOGIxYWQwMTc0ZTUwZGE2YjIiLCJ1c2VySWQiOiIyOTgyOTgyOTEifQ==</vt:lpwstr>
  </property>
  <property fmtid="{D5CDD505-2E9C-101B-9397-08002B2CF9AE}" pid="4" name="ICV">
    <vt:lpwstr>2BFD31D5F3FB4B709DBC969892577809_12</vt:lpwstr>
  </property>
</Properties>
</file>