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临港校区高压电气设备预防性试验</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HFBX2025034</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HFBX2025034；</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临港校区高压电气设备预防性试验；</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预算金额（亦是最高限价）：人民币</w:t>
      </w:r>
      <w:r>
        <w:rPr>
          <w:rFonts w:hint="eastAsia" w:ascii="方正兰亭黑简体" w:hAnsi="方正兰亭黑简体" w:eastAsia="方正兰亭黑简体" w:cs="方正兰亭黑简体"/>
          <w:color w:val="auto"/>
          <w:sz w:val="22"/>
          <w:szCs w:val="28"/>
          <w:highlight w:val="none"/>
          <w:lang w:val="en-US" w:eastAsia="zh-CN"/>
        </w:rPr>
        <w:t>12</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上海海事大学临港校区高压电气预防性试验。包括整个临港校区3个用户开关站、16个分站的电气预防性试验及电力安全工器具预防性试验，试验过程中故障设备的维修等。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项目完成乙方出具检测报告后的10个工作日内</w:t>
      </w:r>
      <w:r>
        <w:rPr>
          <w:rFonts w:hint="default" w:ascii="方正兰亭黑简体" w:hAnsi="方正兰亭黑简体" w:eastAsia="方正兰亭黑简体" w:cs="方正兰亭黑简体"/>
          <w:color w:val="auto"/>
          <w:sz w:val="22"/>
          <w:szCs w:val="28"/>
          <w:highlight w:val="none"/>
        </w:rPr>
        <w:t>，甲方向乙方一次性支付全部合同款项。合同内全部款项均以“银行转账”方式予以支付。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16D4A05">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应具备华东电监局颁发的承装五级、承修五级以上、承试类五级以上电力设施许可证；</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校方不组织现场踏勘，如有需要现场踏勘（联系人：魏老师，联系电话：18817776426），请提前至少1天联系办理入校申请，过时不候。</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周日</w:t>
      </w:r>
      <w:bookmarkStart w:id="4" w:name="_GoBack"/>
      <w:bookmarkEnd w:id="4"/>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魏</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38283029</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0439888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一、工程概况：</w:t>
      </w:r>
    </w:p>
    <w:p w14:paraId="04CE5E1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上海海事大学位于上海临港新城海港大道1550号，上海海事大学临港校区3个用户开关站及16个分站的电气预防性试验，分别为：1号开关站、2号开关站、3号开关站、校医院分站、图书馆分站、学生活动中心箱变、实训中心分站、大礼堂分站、信息工程学院与水泵房分站、海洋环境与工程学院分站、科研楼分站、航海楼分站、轮机楼分站、体育中心分站、七区分站、南区学生公寓箱变、第二食堂分站、九区分站、C食堂箱变。以及所有变电站的电气安全工器具预防性试验。</w:t>
      </w:r>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6634"/>
        <w:gridCol w:w="1108"/>
        <w:gridCol w:w="1108"/>
      </w:tblGrid>
      <w:tr w14:paraId="1FEA8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12" w:space="0"/>
              <w:left w:val="single" w:color="auto" w:sz="12" w:space="0"/>
              <w:bottom w:val="single" w:color="auto" w:sz="4" w:space="0"/>
              <w:right w:val="single" w:color="auto" w:sz="4" w:space="0"/>
            </w:tcBorders>
            <w:noWrap w:val="0"/>
            <w:vAlign w:val="center"/>
          </w:tcPr>
          <w:p w14:paraId="56B858A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序号</w:t>
            </w:r>
          </w:p>
        </w:tc>
        <w:tc>
          <w:tcPr>
            <w:tcW w:w="3329" w:type="pct"/>
            <w:tcBorders>
              <w:top w:val="single" w:color="auto" w:sz="12" w:space="0"/>
              <w:left w:val="single" w:color="auto" w:sz="4" w:space="0"/>
              <w:bottom w:val="single" w:color="auto" w:sz="4" w:space="0"/>
              <w:right w:val="single" w:color="auto" w:sz="4" w:space="0"/>
            </w:tcBorders>
            <w:noWrap w:val="0"/>
            <w:vAlign w:val="center"/>
          </w:tcPr>
          <w:p w14:paraId="681AD0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名称</w:t>
            </w:r>
          </w:p>
        </w:tc>
        <w:tc>
          <w:tcPr>
            <w:tcW w:w="556" w:type="pct"/>
            <w:tcBorders>
              <w:top w:val="single" w:color="auto" w:sz="12" w:space="0"/>
              <w:left w:val="single" w:color="auto" w:sz="4" w:space="0"/>
              <w:bottom w:val="single" w:color="auto" w:sz="4" w:space="0"/>
              <w:right w:val="single" w:color="auto" w:sz="4" w:space="0"/>
            </w:tcBorders>
            <w:noWrap w:val="0"/>
            <w:vAlign w:val="center"/>
          </w:tcPr>
          <w:p w14:paraId="5547D21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单位</w:t>
            </w:r>
          </w:p>
        </w:tc>
        <w:tc>
          <w:tcPr>
            <w:tcW w:w="556" w:type="pct"/>
            <w:tcBorders>
              <w:top w:val="single" w:color="auto" w:sz="12" w:space="0"/>
              <w:left w:val="single" w:color="auto" w:sz="4" w:space="0"/>
              <w:bottom w:val="single" w:color="auto" w:sz="4" w:space="0"/>
              <w:right w:val="single" w:color="auto" w:sz="4" w:space="0"/>
            </w:tcBorders>
            <w:noWrap w:val="0"/>
            <w:vAlign w:val="center"/>
          </w:tcPr>
          <w:p w14:paraId="53BEAC6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数量</w:t>
            </w:r>
          </w:p>
        </w:tc>
      </w:tr>
      <w:tr w14:paraId="704EC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4A17C9D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58BB1E5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三相电力变压器 容量800KVA以下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A46AFB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62879D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11</w:t>
            </w:r>
          </w:p>
        </w:tc>
      </w:tr>
      <w:tr w14:paraId="66E96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8AEB37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3EBC20D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三相电力变压器 容量3200KVA以下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ECCD18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38243E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37</w:t>
            </w:r>
          </w:p>
        </w:tc>
      </w:tr>
      <w:tr w14:paraId="78F95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18A72AC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0A13B72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母线系统调试</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2BEE998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段</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6ECD10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37</w:t>
            </w:r>
          </w:p>
        </w:tc>
      </w:tr>
      <w:tr w14:paraId="5B2CC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5FAC93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5C4A217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五防回路</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609C346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881F11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43</w:t>
            </w:r>
          </w:p>
        </w:tc>
      </w:tr>
      <w:tr w14:paraId="61ACB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6C2759B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0876F2B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电力电缆</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05329A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2084CB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67</w:t>
            </w:r>
          </w:p>
        </w:tc>
      </w:tr>
      <w:tr w14:paraId="027B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5DF5AC4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7BD93BB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避雷器</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F8CBDB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34A3B4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83</w:t>
            </w:r>
          </w:p>
        </w:tc>
      </w:tr>
      <w:tr w14:paraId="77E58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5FCF91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7</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1827D43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直流电源系统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44409B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BACF1B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14</w:t>
            </w:r>
          </w:p>
        </w:tc>
      </w:tr>
      <w:tr w14:paraId="38643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1B05FF1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14922F3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开关系统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52941FE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62B7E09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27</w:t>
            </w:r>
          </w:p>
        </w:tc>
      </w:tr>
      <w:tr w14:paraId="51199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4DBA8A8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9</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4AB1500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中央信号系统</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7C55D3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站</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B99727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r>
      <w:tr w14:paraId="05308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10B68A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430D8C2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接地网</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A32888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站</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9A08844">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19</w:t>
            </w:r>
          </w:p>
        </w:tc>
      </w:tr>
      <w:tr w14:paraId="31D06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4" w:space="0"/>
              <w:right w:val="single" w:color="auto" w:sz="4" w:space="0"/>
            </w:tcBorders>
            <w:noWrap w:val="0"/>
            <w:vAlign w:val="center"/>
          </w:tcPr>
          <w:p w14:paraId="725007A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11</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211B97E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继电保护</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24343D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套</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523F8C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81</w:t>
            </w:r>
          </w:p>
        </w:tc>
      </w:tr>
      <w:tr w14:paraId="48036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tcBorders>
              <w:top w:val="single" w:color="auto" w:sz="4" w:space="0"/>
              <w:left w:val="single" w:color="auto" w:sz="12" w:space="0"/>
              <w:bottom w:val="single" w:color="auto" w:sz="12" w:space="0"/>
              <w:right w:val="single" w:color="auto" w:sz="4" w:space="0"/>
            </w:tcBorders>
            <w:noWrap w:val="0"/>
            <w:vAlign w:val="center"/>
          </w:tcPr>
          <w:p w14:paraId="4F15D4F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12</w:t>
            </w:r>
          </w:p>
        </w:tc>
        <w:tc>
          <w:tcPr>
            <w:tcW w:w="3329" w:type="pct"/>
            <w:tcBorders>
              <w:top w:val="single" w:color="auto" w:sz="4" w:space="0"/>
              <w:left w:val="single" w:color="auto" w:sz="4" w:space="0"/>
              <w:bottom w:val="single" w:color="auto" w:sz="12" w:space="0"/>
              <w:right w:val="single" w:color="auto" w:sz="4" w:space="0"/>
            </w:tcBorders>
            <w:noWrap w:val="0"/>
            <w:vAlign w:val="center"/>
          </w:tcPr>
          <w:p w14:paraId="7A4EA74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负荷开关</w:t>
            </w:r>
          </w:p>
        </w:tc>
        <w:tc>
          <w:tcPr>
            <w:tcW w:w="556" w:type="pct"/>
            <w:tcBorders>
              <w:top w:val="single" w:color="auto" w:sz="4" w:space="0"/>
              <w:left w:val="single" w:color="auto" w:sz="4" w:space="0"/>
              <w:bottom w:val="single" w:color="auto" w:sz="12" w:space="0"/>
              <w:right w:val="single" w:color="auto" w:sz="4" w:space="0"/>
            </w:tcBorders>
            <w:noWrap w:val="0"/>
            <w:vAlign w:val="center"/>
          </w:tcPr>
          <w:p w14:paraId="54B45E0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组</w:t>
            </w:r>
          </w:p>
        </w:tc>
        <w:tc>
          <w:tcPr>
            <w:tcW w:w="556" w:type="pct"/>
            <w:tcBorders>
              <w:top w:val="single" w:color="auto" w:sz="4" w:space="0"/>
              <w:left w:val="single" w:color="auto" w:sz="4" w:space="0"/>
              <w:bottom w:val="single" w:color="auto" w:sz="12" w:space="0"/>
              <w:right w:val="single" w:color="auto" w:sz="4" w:space="0"/>
            </w:tcBorders>
            <w:noWrap w:val="0"/>
            <w:vAlign w:val="center"/>
          </w:tcPr>
          <w:p w14:paraId="4177990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r>
    </w:tbl>
    <w:p w14:paraId="079129D3">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各投标单位报名后请于答疑前对现场工程量进行实地确认。如无异议，届时投标以上述数据为准，一旦中标，工程按总价包干方式结算。投标人应根据现场踏勘实际情况，对预防性试验过程中可能出现故障的设备零件列出备件单价清单，实际电试中发现有设备零件损坏，在招标人认可下可以先行更换，保证电试的顺利进行，待电试全部完成后按照单价清单与招标人结算。</w:t>
      </w:r>
    </w:p>
    <w:p w14:paraId="5E616BD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2、调试设备运至现场后，投标人的短驳、人员食宿、交通及现场保管工作等均由投标人自行负责。</w:t>
      </w:r>
    </w:p>
    <w:p w14:paraId="45E7158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3、投标单位应明确现场施工项目经理，并确定施工期间其在现场不少于一星期五天。</w:t>
      </w:r>
    </w:p>
    <w:p w14:paraId="2C95E71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二、相关标准</w:t>
      </w:r>
    </w:p>
    <w:p w14:paraId="10E0A1E2">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投标单位施工、验收应满足下列标准、规范，如存在新旧标准、规范矛盾处，以新标准、规范为准：</w:t>
      </w:r>
    </w:p>
    <w:p w14:paraId="711CBBAE">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《用户高压电气装置规范》</w:t>
      </w:r>
    </w:p>
    <w:p w14:paraId="6EB700E2">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《上海电网高压用户技术管理规范》</w:t>
      </w:r>
    </w:p>
    <w:p w14:paraId="6F0694A8">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《电力设备交接和预防性试验规程》</w:t>
      </w:r>
    </w:p>
    <w:p w14:paraId="5A2D7A0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三、技术要求</w:t>
      </w:r>
    </w:p>
    <w:p w14:paraId="7970797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1、投标人应按合同规定加强施工范围内的机具及施工队伍的保卫和安全工作，采取必要的防护安全措施。由于投标人违章作业、工作失职、管理不善等自身原因造成事故的，其责任全部</w:t>
      </w:r>
      <w:r>
        <w:rPr>
          <w:rFonts w:hint="eastAsia" w:ascii="方正兰亭黑简体" w:hAnsi="方正兰亭黑简体" w:eastAsia="方正兰亭黑简体" w:cs="方正兰亭黑简体"/>
          <w:color w:val="auto"/>
          <w:sz w:val="22"/>
          <w:szCs w:val="28"/>
          <w:highlight w:val="none"/>
          <w:lang w:eastAsia="zh-CN"/>
        </w:rPr>
        <w:t>由</w:t>
      </w:r>
      <w:r>
        <w:rPr>
          <w:rFonts w:hint="eastAsia" w:ascii="方正兰亭黑简体" w:hAnsi="方正兰亭黑简体" w:eastAsia="方正兰亭黑简体" w:cs="方正兰亭黑简体"/>
          <w:color w:val="auto"/>
          <w:sz w:val="22"/>
          <w:szCs w:val="28"/>
          <w:highlight w:val="none"/>
        </w:rPr>
        <w:t>投标人自负，招标人不承担任何责任，不负担任何费用。</w:t>
      </w:r>
    </w:p>
    <w:p w14:paraId="4431CC7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2、投标人在施工的过程中应与招标人及用电监察加强沟通，保证工程按施工时间工作节点完成。</w:t>
      </w:r>
    </w:p>
    <w:p w14:paraId="3EAF167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3、电试过程中发现设备故障应当及时维修，消除安全隐患，保证电试过程的顺利进行。</w:t>
      </w:r>
    </w:p>
    <w:p w14:paraId="4E35298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四、工程施工</w:t>
      </w:r>
    </w:p>
    <w:p w14:paraId="2B991C2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1、供方需针对此项目成立项目组，施工人员通过厂方技术培训合格，相关专业工种需持有有效的资质证书。</w:t>
      </w:r>
    </w:p>
    <w:p w14:paraId="0901E1C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2、投标人在施工期间，不得对施工现场环境造成污染，如果发生污染，投标人应负责清理，其费用由投标人自理。</w:t>
      </w:r>
    </w:p>
    <w:p w14:paraId="79ED5A2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3、投标人在施工期间，必须遵守招标人有关安全生产的规章制度和环境管理法规。牵涉到需要停电操作，必须经与校方协调同意后方可停电施工。</w:t>
      </w:r>
    </w:p>
    <w:p w14:paraId="6E73000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五、质量指标和进度要求：</w:t>
      </w:r>
    </w:p>
    <w:p w14:paraId="115F94F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质量指标：</w:t>
      </w:r>
    </w:p>
    <w:p w14:paraId="119C5A3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项目应出具试验报告，符合《电力设备交接和预防性试验规程》。</w:t>
      </w:r>
    </w:p>
    <w:p w14:paraId="3DC178F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进度要求：202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年7月25日－202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 8 月 15 日（暂定）。因乙方原因未按合同工期竣工的，每延迟一天，按5000元/天罚款。</w:t>
      </w:r>
    </w:p>
    <w:p w14:paraId="54040DB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六、资料内容</w:t>
      </w:r>
    </w:p>
    <w:p w14:paraId="0FE9561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应在投标文件中详细说明电试的方案等，包括但不限于以下内容：</w:t>
      </w:r>
    </w:p>
    <w:p w14:paraId="60F01BB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1、电试设备的详细配置清单（含为保证电试所必需的附件、专用工具等），需标明品牌、型号、数量、产地等；</w:t>
      </w:r>
    </w:p>
    <w:p w14:paraId="1448BF6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2、详细的工程进度计划周期表；</w:t>
      </w:r>
    </w:p>
    <w:p w14:paraId="1E42711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3、电试相关人员的证书；</w:t>
      </w:r>
    </w:p>
    <w:p w14:paraId="1720CFF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4、电试等相关工程业绩（附合同）等；</w:t>
      </w:r>
    </w:p>
    <w:p w14:paraId="518FD9C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5、电试后的设备质保时间及售后服务方案。</w:t>
      </w:r>
    </w:p>
    <w:p w14:paraId="122D4B2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七、特别说明</w:t>
      </w:r>
    </w:p>
    <w:p w14:paraId="755F095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1、本工程为交钥匙工程，投标方须自主</w:t>
      </w:r>
      <w:r>
        <w:rPr>
          <w:rFonts w:hint="eastAsia" w:ascii="方正兰亭黑简体" w:hAnsi="方正兰亭黑简体" w:eastAsia="方正兰亭黑简体" w:cs="方正兰亭黑简体"/>
          <w:color w:val="auto"/>
          <w:sz w:val="22"/>
          <w:szCs w:val="28"/>
          <w:highlight w:val="none"/>
          <w:lang w:eastAsia="zh-CN"/>
        </w:rPr>
        <w:t>承担</w:t>
      </w:r>
      <w:r>
        <w:rPr>
          <w:rFonts w:hint="eastAsia" w:ascii="方正兰亭黑简体" w:hAnsi="方正兰亭黑简体" w:eastAsia="方正兰亭黑简体" w:cs="方正兰亭黑简体"/>
          <w:color w:val="auto"/>
          <w:sz w:val="22"/>
          <w:szCs w:val="28"/>
          <w:highlight w:val="none"/>
        </w:rPr>
        <w:t>本工程的所有改造内容，包括电试时出现的故障排除等。学校仅负责配合。</w:t>
      </w:r>
    </w:p>
    <w:p w14:paraId="205CEEC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2、必须在202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年8月20日即学校暑假放完之前完成电试，保证不能影响师生的正常教学。</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2"/>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3E50768E">
            <w:pPr>
              <w:pStyle w:val="11"/>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b/>
          <w:color w:val="auto"/>
          <w:sz w:val="36"/>
          <w:szCs w:val="36"/>
          <w:highlight w:val="none"/>
        </w:rPr>
        <w:t xml:space="preserve"> </w:t>
      </w:r>
      <w:r>
        <w:rPr>
          <w:rFonts w:hint="eastAsia" w:ascii="黑体" w:hAnsi="华文楷体" w:eastAsia="黑体"/>
          <w:color w:val="auto"/>
          <w:sz w:val="24"/>
          <w:highlight w:val="none"/>
          <w:lang w:val="en-US" w:eastAsia="zh-CN"/>
        </w:rPr>
        <w:t>项目编号：HFBX2025034</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6"/>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2"/>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79"/>
        <w:gridCol w:w="4447"/>
        <w:gridCol w:w="3385"/>
        <w:gridCol w:w="1277"/>
      </w:tblGrid>
      <w:tr w14:paraId="3E2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347" w:type="pct"/>
            <w:tcBorders>
              <w:top w:val="single" w:color="auto" w:sz="12" w:space="0"/>
              <w:left w:val="single" w:color="auto" w:sz="12" w:space="0"/>
            </w:tcBorders>
            <w:noWrap w:val="0"/>
            <w:vAlign w:val="center"/>
          </w:tcPr>
          <w:p w14:paraId="6C2EC5FD">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271" w:type="pct"/>
            <w:tcBorders>
              <w:top w:val="single" w:color="auto" w:sz="12" w:space="0"/>
            </w:tcBorders>
            <w:noWrap w:val="0"/>
            <w:vAlign w:val="center"/>
          </w:tcPr>
          <w:p w14:paraId="3CEACF0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服务项目</w:t>
            </w:r>
          </w:p>
        </w:tc>
        <w:tc>
          <w:tcPr>
            <w:tcW w:w="1729" w:type="pct"/>
            <w:tcBorders>
              <w:top w:val="single" w:color="auto" w:sz="12" w:space="0"/>
            </w:tcBorders>
            <w:noWrap w:val="0"/>
            <w:vAlign w:val="center"/>
          </w:tcPr>
          <w:p w14:paraId="5C2FC930">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651" w:type="pct"/>
            <w:tcBorders>
              <w:top w:val="single" w:color="auto" w:sz="12" w:space="0"/>
              <w:right w:val="single" w:color="auto" w:sz="12" w:space="0"/>
            </w:tcBorders>
            <w:noWrap w:val="0"/>
            <w:vAlign w:val="center"/>
          </w:tcPr>
          <w:p w14:paraId="37419A22">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备注</w:t>
            </w:r>
          </w:p>
        </w:tc>
      </w:tr>
      <w:tr w14:paraId="1FE7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exact"/>
        </w:trPr>
        <w:tc>
          <w:tcPr>
            <w:tcW w:w="347" w:type="pct"/>
            <w:tcBorders>
              <w:left w:val="single" w:color="auto" w:sz="12" w:space="0"/>
            </w:tcBorders>
            <w:noWrap w:val="0"/>
            <w:vAlign w:val="center"/>
          </w:tcPr>
          <w:p w14:paraId="7012871F">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271" w:type="pct"/>
            <w:noWrap w:val="0"/>
            <w:vAlign w:val="center"/>
          </w:tcPr>
          <w:p w14:paraId="7B4E84C4">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临港校区高压电气设备预防性试验</w:t>
            </w:r>
          </w:p>
        </w:tc>
        <w:tc>
          <w:tcPr>
            <w:tcW w:w="1729" w:type="pct"/>
            <w:noWrap w:val="0"/>
            <w:vAlign w:val="center"/>
          </w:tcPr>
          <w:p w14:paraId="50131330">
            <w:pPr>
              <w:tabs>
                <w:tab w:val="left" w:pos="7020"/>
              </w:tabs>
              <w:spacing w:before="120"/>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651" w:type="pct"/>
            <w:tcBorders>
              <w:right w:val="single" w:color="auto" w:sz="12" w:space="0"/>
            </w:tcBorders>
            <w:noWrap w:val="0"/>
            <w:vAlign w:val="center"/>
          </w:tcPr>
          <w:p w14:paraId="6CBF523C">
            <w:pPr>
              <w:spacing w:line="360" w:lineRule="auto"/>
              <w:jc w:val="center"/>
              <w:rPr>
                <w:rFonts w:hint="default" w:ascii="黑体" w:hAnsi="黑体" w:eastAsia="黑体" w:cs="宋体"/>
                <w:b/>
                <w:color w:val="auto"/>
                <w:sz w:val="24"/>
                <w:highlight w:val="none"/>
                <w:lang w:val="en-US" w:eastAsia="zh-CN"/>
              </w:rPr>
            </w:pPr>
          </w:p>
        </w:tc>
      </w:tr>
      <w:tr w14:paraId="1F56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618" w:type="pct"/>
            <w:gridSpan w:val="2"/>
            <w:tcBorders>
              <w:left w:val="single" w:color="auto" w:sz="12" w:space="0"/>
              <w:bottom w:val="single" w:color="auto" w:sz="12" w:space="0"/>
              <w:right w:val="single" w:color="auto" w:sz="4" w:space="0"/>
            </w:tcBorders>
            <w:noWrap w:val="0"/>
            <w:vAlign w:val="center"/>
          </w:tcPr>
          <w:p w14:paraId="4EF96E5C">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381" w:type="pct"/>
            <w:gridSpan w:val="2"/>
            <w:tcBorders>
              <w:left w:val="single" w:color="auto" w:sz="4" w:space="0"/>
              <w:bottom w:val="single" w:color="auto" w:sz="12" w:space="0"/>
              <w:right w:val="single" w:color="auto" w:sz="12" w:space="0"/>
            </w:tcBorders>
            <w:noWrap w:val="0"/>
            <w:vAlign w:val="center"/>
          </w:tcPr>
          <w:p w14:paraId="7A9EA316">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399B1B7C">
      <w:pPr>
        <w:spacing w:line="440" w:lineRule="exact"/>
        <w:rPr>
          <w:rFonts w:ascii="黑体" w:hAnsi="华文楷体" w:eastAsia="黑体"/>
          <w:color w:val="auto"/>
          <w:sz w:val="24"/>
          <w:highlight w:val="none"/>
        </w:rPr>
      </w:pPr>
    </w:p>
    <w:p w14:paraId="2983B437">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331FE15F">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34953598">
      <w:pPr>
        <w:spacing w:line="480" w:lineRule="auto"/>
        <w:rPr>
          <w:rFonts w:hint="eastAsia" w:ascii="黑体" w:hAnsi="华文楷体" w:eastAsia="黑体"/>
          <w:color w:val="auto"/>
          <w:sz w:val="24"/>
          <w:highlight w:val="none"/>
        </w:rPr>
      </w:pPr>
      <w:r>
        <w:rPr>
          <w:rFonts w:hint="eastAsia" w:ascii="黑体" w:hAnsi="华文楷体" w:eastAsia="黑体"/>
          <w:color w:val="auto"/>
          <w:sz w:val="24"/>
          <w:highlight w:val="none"/>
        </w:rPr>
        <w:t>附表：电气设备配件报价清单</w:t>
      </w:r>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4471"/>
        <w:gridCol w:w="1420"/>
        <w:gridCol w:w="1376"/>
        <w:gridCol w:w="1416"/>
      </w:tblGrid>
      <w:tr w14:paraId="1982C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bottom w:val="single" w:color="auto" w:sz="4" w:space="0"/>
              <w:right w:val="single" w:color="auto" w:sz="4" w:space="0"/>
            </w:tcBorders>
            <w:noWrap w:val="0"/>
            <w:vAlign w:val="center"/>
          </w:tcPr>
          <w:p w14:paraId="2772CB99">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序号</w:t>
            </w:r>
          </w:p>
        </w:tc>
        <w:tc>
          <w:tcPr>
            <w:tcW w:w="2245" w:type="pct"/>
            <w:tcBorders>
              <w:left w:val="single" w:color="auto" w:sz="4" w:space="0"/>
              <w:bottom w:val="single" w:color="auto" w:sz="4" w:space="0"/>
              <w:right w:val="single" w:color="auto" w:sz="4" w:space="0"/>
            </w:tcBorders>
            <w:noWrap w:val="0"/>
            <w:vAlign w:val="center"/>
          </w:tcPr>
          <w:p w14:paraId="3147EF66">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名称</w:t>
            </w:r>
          </w:p>
        </w:tc>
        <w:tc>
          <w:tcPr>
            <w:tcW w:w="713" w:type="pct"/>
            <w:tcBorders>
              <w:left w:val="single" w:color="auto" w:sz="4" w:space="0"/>
              <w:bottom w:val="single" w:color="auto" w:sz="4" w:space="0"/>
              <w:right w:val="single" w:color="auto" w:sz="4" w:space="0"/>
            </w:tcBorders>
            <w:noWrap w:val="0"/>
            <w:vAlign w:val="center"/>
          </w:tcPr>
          <w:p w14:paraId="116AAFF4">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单位</w:t>
            </w:r>
          </w:p>
        </w:tc>
        <w:tc>
          <w:tcPr>
            <w:tcW w:w="691" w:type="pct"/>
            <w:tcBorders>
              <w:left w:val="single" w:color="auto" w:sz="4" w:space="0"/>
              <w:bottom w:val="single" w:color="auto" w:sz="4" w:space="0"/>
              <w:right w:val="single" w:color="auto" w:sz="4" w:space="0"/>
            </w:tcBorders>
            <w:noWrap w:val="0"/>
            <w:vAlign w:val="center"/>
          </w:tcPr>
          <w:p w14:paraId="56AE57A0">
            <w:pPr>
              <w:adjustRightInd w:val="0"/>
              <w:snapToGrid w:val="0"/>
              <w:spacing w:line="240" w:lineRule="auto"/>
              <w:jc w:val="center"/>
              <w:rPr>
                <w:rFonts w:ascii="Arial" w:hAnsi="Arial" w:eastAsia="黑体" w:cs="Arial"/>
                <w:color w:val="auto"/>
                <w:highlight w:val="none"/>
              </w:rPr>
            </w:pPr>
            <w:r>
              <w:rPr>
                <w:rFonts w:hint="eastAsia" w:ascii="Arial" w:hAnsi="Arial" w:eastAsia="黑体" w:cs="Arial"/>
                <w:color w:val="auto"/>
                <w:highlight w:val="none"/>
              </w:rPr>
              <w:t>单价（元）</w:t>
            </w:r>
          </w:p>
        </w:tc>
        <w:tc>
          <w:tcPr>
            <w:tcW w:w="711" w:type="pct"/>
            <w:tcBorders>
              <w:left w:val="single" w:color="auto" w:sz="4" w:space="0"/>
              <w:bottom w:val="single" w:color="auto" w:sz="4" w:space="0"/>
            </w:tcBorders>
            <w:noWrap w:val="0"/>
            <w:vAlign w:val="center"/>
          </w:tcPr>
          <w:p w14:paraId="1717C5D9">
            <w:pPr>
              <w:adjustRightInd w:val="0"/>
              <w:snapToGrid w:val="0"/>
              <w:spacing w:line="240" w:lineRule="auto"/>
              <w:jc w:val="center"/>
              <w:rPr>
                <w:rFonts w:hint="eastAsia" w:ascii="Arial" w:hAnsi="Arial" w:eastAsia="黑体" w:cs="Arial"/>
                <w:color w:val="auto"/>
                <w:highlight w:val="none"/>
              </w:rPr>
            </w:pPr>
            <w:r>
              <w:rPr>
                <w:rFonts w:hint="eastAsia" w:ascii="Arial" w:hAnsi="Arial" w:eastAsia="黑体" w:cs="Arial"/>
                <w:color w:val="auto"/>
                <w:highlight w:val="none"/>
              </w:rPr>
              <w:t>备注</w:t>
            </w:r>
          </w:p>
        </w:tc>
      </w:tr>
      <w:tr w14:paraId="2678D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A8334A7">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093101C">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10KV电力电缆70mm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33F831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B3F0E9F">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29D8187B">
            <w:pPr>
              <w:adjustRightInd w:val="0"/>
              <w:snapToGrid w:val="0"/>
              <w:spacing w:line="240" w:lineRule="auto"/>
              <w:jc w:val="both"/>
              <w:rPr>
                <w:rFonts w:hint="eastAsia" w:ascii="宋体" w:hAnsi="宋体" w:cs="Arial"/>
                <w:color w:val="auto"/>
                <w:highlight w:val="none"/>
              </w:rPr>
            </w:pPr>
            <w:r>
              <w:rPr>
                <w:rFonts w:hint="eastAsia" w:ascii="宋体" w:hAnsi="宋体" w:cs="Arial"/>
                <w:color w:val="auto"/>
                <w:highlight w:val="none"/>
              </w:rPr>
              <w:t>不含开挖及敷设</w:t>
            </w:r>
          </w:p>
        </w:tc>
      </w:tr>
      <w:tr w14:paraId="58972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2C6B834A">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2</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2A0CC66">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10KV电力电缆95mm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7E96B64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5DDEC38">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top"/>
          </w:tcPr>
          <w:p w14:paraId="6C214F81">
            <w:pPr>
              <w:spacing w:line="240" w:lineRule="auto"/>
              <w:rPr>
                <w:color w:val="auto"/>
                <w:highlight w:val="none"/>
              </w:rPr>
            </w:pPr>
            <w:r>
              <w:rPr>
                <w:rFonts w:hint="eastAsia" w:ascii="宋体" w:hAnsi="宋体" w:cs="Arial"/>
                <w:color w:val="auto"/>
                <w:highlight w:val="none"/>
              </w:rPr>
              <w:t>不含开挖及敷设</w:t>
            </w:r>
          </w:p>
        </w:tc>
      </w:tr>
      <w:tr w14:paraId="18646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11E5687">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3</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F90659E">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10KV电力电缆120mm</w:t>
            </w:r>
            <w:r>
              <w:rPr>
                <w:rFonts w:hint="eastAsia" w:ascii="宋体" w:hAnsi="宋体" w:cs="Arial"/>
                <w:color w:val="auto"/>
                <w:highlight w:val="none"/>
                <w:vertAlign w:val="superscript"/>
              </w:rPr>
              <w:t>2</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5D0A16E8">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米</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380356D">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top"/>
          </w:tcPr>
          <w:p w14:paraId="0F89A5F7">
            <w:pPr>
              <w:spacing w:line="240" w:lineRule="auto"/>
              <w:rPr>
                <w:color w:val="auto"/>
                <w:highlight w:val="none"/>
              </w:rPr>
            </w:pPr>
            <w:r>
              <w:rPr>
                <w:rFonts w:hint="eastAsia" w:ascii="宋体" w:hAnsi="宋体" w:cs="Arial"/>
                <w:color w:val="auto"/>
                <w:highlight w:val="none"/>
              </w:rPr>
              <w:t>不含开挖及敷设</w:t>
            </w:r>
          </w:p>
        </w:tc>
      </w:tr>
      <w:tr w14:paraId="217FF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24343A9">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4</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A5624EA">
            <w:pPr>
              <w:adjustRightInd w:val="0"/>
              <w:snapToGrid w:val="0"/>
              <w:spacing w:line="240" w:lineRule="auto"/>
              <w:ind w:firstLine="525" w:firstLineChars="250"/>
              <w:rPr>
                <w:rFonts w:hint="eastAsia" w:ascii="宋体" w:hAnsi="宋体" w:cs="Arial"/>
                <w:color w:val="auto"/>
                <w:highlight w:val="none"/>
              </w:rPr>
            </w:pPr>
            <w:r>
              <w:rPr>
                <w:rFonts w:hint="eastAsia" w:ascii="宋体" w:hAnsi="宋体" w:cs="Arial"/>
                <w:color w:val="auto"/>
                <w:highlight w:val="none"/>
              </w:rPr>
              <w:t>电力电缆地下故障点定位检测费</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7048D109">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66F1DFD">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8E8866C">
            <w:pPr>
              <w:adjustRightInd w:val="0"/>
              <w:snapToGrid w:val="0"/>
              <w:spacing w:line="240" w:lineRule="auto"/>
              <w:jc w:val="center"/>
              <w:rPr>
                <w:rFonts w:ascii="宋体" w:hAnsi="宋体" w:cs="Arial"/>
                <w:color w:val="auto"/>
                <w:highlight w:val="none"/>
              </w:rPr>
            </w:pPr>
          </w:p>
        </w:tc>
      </w:tr>
      <w:tr w14:paraId="56C40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FB015EB">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5</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4BFF995">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70mm</w:t>
            </w:r>
            <w:r>
              <w:rPr>
                <w:rFonts w:hint="eastAsia" w:ascii="宋体" w:hAnsi="宋体" w:cs="Arial"/>
                <w:color w:val="auto"/>
                <w:highlight w:val="none"/>
                <w:vertAlign w:val="superscript"/>
              </w:rPr>
              <w:t xml:space="preserve">2 </w:t>
            </w:r>
            <w:r>
              <w:rPr>
                <w:rFonts w:hint="eastAsia" w:ascii="宋体" w:hAnsi="宋体" w:cs="Arial"/>
                <w:color w:val="auto"/>
                <w:highlight w:val="none"/>
              </w:rPr>
              <w:t>--120mm</w:t>
            </w:r>
            <w:r>
              <w:rPr>
                <w:rFonts w:hint="eastAsia" w:ascii="宋体" w:hAnsi="宋体" w:cs="Arial"/>
                <w:color w:val="auto"/>
                <w:highlight w:val="none"/>
                <w:vertAlign w:val="superscript"/>
              </w:rPr>
              <w:t>2</w:t>
            </w:r>
            <w:r>
              <w:rPr>
                <w:rFonts w:hint="eastAsia" w:ascii="宋体" w:hAnsi="宋体" w:cs="Arial"/>
                <w:color w:val="auto"/>
                <w:highlight w:val="none"/>
              </w:rPr>
              <w:t>电力电缆终端头</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091300F">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3239A99">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099AF687">
            <w:pPr>
              <w:adjustRightInd w:val="0"/>
              <w:snapToGrid w:val="0"/>
              <w:spacing w:line="240" w:lineRule="auto"/>
              <w:jc w:val="center"/>
              <w:rPr>
                <w:rFonts w:ascii="宋体" w:hAnsi="宋体" w:cs="Arial"/>
                <w:color w:val="auto"/>
                <w:highlight w:val="none"/>
              </w:rPr>
            </w:pPr>
          </w:p>
        </w:tc>
      </w:tr>
      <w:tr w14:paraId="7F02C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CE87F63">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6</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8A560D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70mm</w:t>
            </w:r>
            <w:r>
              <w:rPr>
                <w:rFonts w:hint="eastAsia" w:ascii="宋体" w:hAnsi="宋体" w:cs="Arial"/>
                <w:color w:val="auto"/>
                <w:highlight w:val="none"/>
                <w:vertAlign w:val="superscript"/>
              </w:rPr>
              <w:t xml:space="preserve">2 </w:t>
            </w:r>
            <w:r>
              <w:rPr>
                <w:rFonts w:hint="eastAsia" w:ascii="宋体" w:hAnsi="宋体" w:cs="Arial"/>
                <w:color w:val="auto"/>
                <w:highlight w:val="none"/>
              </w:rPr>
              <w:t>--120mm</w:t>
            </w:r>
            <w:r>
              <w:rPr>
                <w:rFonts w:hint="eastAsia" w:ascii="宋体" w:hAnsi="宋体" w:cs="Arial"/>
                <w:color w:val="auto"/>
                <w:highlight w:val="none"/>
                <w:vertAlign w:val="superscript"/>
              </w:rPr>
              <w:t>2</w:t>
            </w:r>
            <w:r>
              <w:rPr>
                <w:rFonts w:hint="eastAsia" w:ascii="宋体" w:hAnsi="宋体" w:cs="Arial"/>
                <w:color w:val="auto"/>
                <w:highlight w:val="none"/>
              </w:rPr>
              <w:t>电力电缆中间接头</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CAA3E4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3A4B06B">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3A5C757">
            <w:pPr>
              <w:adjustRightInd w:val="0"/>
              <w:snapToGrid w:val="0"/>
              <w:spacing w:line="240" w:lineRule="auto"/>
              <w:jc w:val="center"/>
              <w:rPr>
                <w:rFonts w:ascii="宋体" w:hAnsi="宋体" w:cs="Arial"/>
                <w:color w:val="auto"/>
                <w:highlight w:val="none"/>
              </w:rPr>
            </w:pPr>
          </w:p>
        </w:tc>
      </w:tr>
      <w:tr w14:paraId="30241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FE6A370">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7</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32BF7E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避雷器更换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5D740CB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C7CE0C9">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48D6E7B">
            <w:pPr>
              <w:adjustRightInd w:val="0"/>
              <w:snapToGrid w:val="0"/>
              <w:spacing w:line="240" w:lineRule="auto"/>
              <w:jc w:val="center"/>
              <w:rPr>
                <w:rFonts w:ascii="宋体" w:hAnsi="宋体" w:cs="Arial"/>
                <w:color w:val="auto"/>
                <w:highlight w:val="none"/>
              </w:rPr>
            </w:pPr>
          </w:p>
        </w:tc>
      </w:tr>
      <w:tr w14:paraId="6EA90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E00EB9F">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8</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129871E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电磁型继电器更换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9A034BB">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F78884B">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287F14F5">
            <w:pPr>
              <w:adjustRightInd w:val="0"/>
              <w:snapToGrid w:val="0"/>
              <w:spacing w:line="240" w:lineRule="auto"/>
              <w:jc w:val="center"/>
              <w:rPr>
                <w:rFonts w:ascii="宋体" w:hAnsi="宋体" w:cs="Arial"/>
                <w:color w:val="auto"/>
                <w:highlight w:val="none"/>
              </w:rPr>
            </w:pPr>
          </w:p>
        </w:tc>
      </w:tr>
      <w:tr w14:paraId="2722A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7F76DBD3">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9</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1488FDC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10KV负荷开关更换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27564F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台</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6B77030">
            <w:pPr>
              <w:adjustRightInd w:val="0"/>
              <w:snapToGrid w:val="0"/>
              <w:spacing w:line="240" w:lineRule="auto"/>
              <w:jc w:val="center"/>
              <w:rPr>
                <w:rFonts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7314FB4A">
            <w:pPr>
              <w:adjustRightInd w:val="0"/>
              <w:snapToGrid w:val="0"/>
              <w:spacing w:line="240" w:lineRule="auto"/>
              <w:jc w:val="center"/>
              <w:rPr>
                <w:rFonts w:ascii="宋体" w:hAnsi="宋体" w:cs="Arial"/>
                <w:color w:val="auto"/>
                <w:highlight w:val="none"/>
              </w:rPr>
            </w:pPr>
          </w:p>
        </w:tc>
      </w:tr>
      <w:tr w14:paraId="07C39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11B3E81">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10</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79F68A7">
            <w:pPr>
              <w:adjustRightInd w:val="0"/>
              <w:snapToGrid w:val="0"/>
              <w:spacing w:line="240" w:lineRule="auto"/>
              <w:ind w:firstLine="1155" w:firstLineChars="550"/>
              <w:rPr>
                <w:rFonts w:ascii="宋体" w:hAnsi="宋体" w:cs="Arial"/>
                <w:color w:val="auto"/>
                <w:highlight w:val="none"/>
              </w:rPr>
            </w:pPr>
            <w:r>
              <w:rPr>
                <w:rFonts w:hint="eastAsia" w:ascii="宋体" w:hAnsi="宋体" w:cs="Arial"/>
                <w:color w:val="auto"/>
                <w:highlight w:val="none"/>
              </w:rPr>
              <w:t>10KV熔断器更换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B30AC08">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支</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91335DB">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A686740">
            <w:pPr>
              <w:adjustRightInd w:val="0"/>
              <w:snapToGrid w:val="0"/>
              <w:spacing w:line="240" w:lineRule="auto"/>
              <w:jc w:val="center"/>
              <w:rPr>
                <w:rFonts w:ascii="宋体" w:hAnsi="宋体" w:cs="Arial"/>
                <w:color w:val="auto"/>
                <w:highlight w:val="none"/>
              </w:rPr>
            </w:pPr>
          </w:p>
        </w:tc>
      </w:tr>
      <w:tr w14:paraId="7E1B7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2A33B04">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11</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6A6B2B23">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10KV压变熔断器更换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3F8CF460">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支</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4C6238F">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B40AE79">
            <w:pPr>
              <w:adjustRightInd w:val="0"/>
              <w:snapToGrid w:val="0"/>
              <w:spacing w:line="240" w:lineRule="auto"/>
              <w:jc w:val="center"/>
              <w:rPr>
                <w:rFonts w:ascii="宋体" w:hAnsi="宋体" w:cs="Arial"/>
                <w:color w:val="auto"/>
                <w:highlight w:val="none"/>
              </w:rPr>
            </w:pPr>
          </w:p>
        </w:tc>
      </w:tr>
      <w:tr w14:paraId="1375F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87CD2F5">
            <w:pPr>
              <w:adjustRightInd w:val="0"/>
              <w:snapToGrid w:val="0"/>
              <w:spacing w:before="120" w:beforeLines="50" w:after="120" w:afterLines="50" w:line="240" w:lineRule="auto"/>
              <w:jc w:val="center"/>
              <w:rPr>
                <w:rFonts w:ascii="宋体" w:hAnsi="宋体" w:cs="Arial"/>
                <w:color w:val="auto"/>
                <w:highlight w:val="none"/>
              </w:rPr>
            </w:pPr>
            <w:r>
              <w:rPr>
                <w:rFonts w:hint="eastAsia" w:ascii="宋体" w:hAnsi="宋体" w:cs="Arial"/>
                <w:color w:val="auto"/>
                <w:highlight w:val="none"/>
              </w:rPr>
              <w:t>12</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762F4F5">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10KV绝缘子更换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64977DB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91CD60F">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2004615">
            <w:pPr>
              <w:adjustRightInd w:val="0"/>
              <w:snapToGrid w:val="0"/>
              <w:spacing w:line="240" w:lineRule="auto"/>
              <w:jc w:val="center"/>
              <w:rPr>
                <w:rFonts w:ascii="宋体" w:hAnsi="宋体" w:cs="Arial"/>
                <w:color w:val="auto"/>
                <w:highlight w:val="none"/>
              </w:rPr>
            </w:pPr>
          </w:p>
        </w:tc>
      </w:tr>
      <w:tr w14:paraId="0A90E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2A2BE241">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13</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6B48D71">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10KV传感器更换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0A3B85E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套</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1F95699">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6A1D5EF">
            <w:pPr>
              <w:adjustRightInd w:val="0"/>
              <w:snapToGrid w:val="0"/>
              <w:spacing w:line="240" w:lineRule="auto"/>
              <w:jc w:val="center"/>
              <w:rPr>
                <w:rFonts w:ascii="宋体" w:hAnsi="宋体" w:cs="Arial"/>
                <w:color w:val="auto"/>
                <w:highlight w:val="none"/>
              </w:rPr>
            </w:pPr>
          </w:p>
        </w:tc>
      </w:tr>
      <w:tr w14:paraId="36F10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0D35EA93">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14</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405B74B6">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10KV柜内穿墙套管更换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2111964E">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1ABD0B0">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5191162">
            <w:pPr>
              <w:adjustRightInd w:val="0"/>
              <w:snapToGrid w:val="0"/>
              <w:spacing w:line="240" w:lineRule="auto"/>
              <w:jc w:val="center"/>
              <w:rPr>
                <w:rFonts w:ascii="宋体" w:hAnsi="宋体" w:cs="Arial"/>
                <w:color w:val="auto"/>
                <w:highlight w:val="none"/>
              </w:rPr>
            </w:pPr>
          </w:p>
        </w:tc>
      </w:tr>
      <w:tr w14:paraId="0867E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6BC3E2BD">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15</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0D042149">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10KV车式闸刀静触头更换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0399CDA4">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EEB336A">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13265FE4">
            <w:pPr>
              <w:adjustRightInd w:val="0"/>
              <w:snapToGrid w:val="0"/>
              <w:spacing w:line="240" w:lineRule="auto"/>
              <w:jc w:val="center"/>
              <w:rPr>
                <w:rFonts w:ascii="宋体" w:hAnsi="宋体" w:cs="Arial"/>
                <w:color w:val="auto"/>
                <w:highlight w:val="none"/>
              </w:rPr>
            </w:pPr>
          </w:p>
        </w:tc>
      </w:tr>
      <w:tr w14:paraId="4ACE1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540EDDA5">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16</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21CD70D2">
            <w:pPr>
              <w:adjustRightInd w:val="0"/>
              <w:snapToGrid w:val="0"/>
              <w:spacing w:line="240" w:lineRule="auto"/>
              <w:jc w:val="center"/>
              <w:rPr>
                <w:rFonts w:ascii="宋体" w:hAnsi="宋体" w:cs="Arial"/>
                <w:color w:val="auto"/>
                <w:highlight w:val="none"/>
              </w:rPr>
            </w:pPr>
            <w:r>
              <w:rPr>
                <w:rFonts w:hint="eastAsia" w:ascii="宋体" w:hAnsi="宋体" w:cs="Arial"/>
                <w:color w:val="auto"/>
                <w:highlight w:val="none"/>
              </w:rPr>
              <w:t>10KV车式闸刀动触头更换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119EA1BE">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1895C94">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6347C2AC">
            <w:pPr>
              <w:adjustRightInd w:val="0"/>
              <w:snapToGrid w:val="0"/>
              <w:spacing w:line="240" w:lineRule="auto"/>
              <w:jc w:val="center"/>
              <w:rPr>
                <w:rFonts w:ascii="宋体" w:hAnsi="宋体" w:cs="Arial"/>
                <w:color w:val="auto"/>
                <w:highlight w:val="none"/>
              </w:rPr>
            </w:pPr>
          </w:p>
        </w:tc>
      </w:tr>
      <w:tr w14:paraId="45280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4D434B19">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7</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3F7FD3E7">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0KV</w:t>
            </w:r>
            <w:r>
              <w:rPr>
                <w:rFonts w:hint="eastAsia" w:ascii="宋体" w:hAnsi="宋体" w:cs="Arial"/>
                <w:color w:val="auto"/>
                <w:highlight w:val="none"/>
              </w:rPr>
              <w:t>电流（电压）互感器更换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4EFFC425">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0778A55">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5F816DA5">
            <w:pPr>
              <w:adjustRightInd w:val="0"/>
              <w:snapToGrid w:val="0"/>
              <w:spacing w:line="240" w:lineRule="auto"/>
              <w:jc w:val="center"/>
              <w:rPr>
                <w:rFonts w:ascii="宋体" w:hAnsi="宋体" w:cs="Arial"/>
                <w:color w:val="auto"/>
                <w:highlight w:val="none"/>
              </w:rPr>
            </w:pPr>
          </w:p>
        </w:tc>
      </w:tr>
      <w:tr w14:paraId="343DE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bottom w:val="single" w:color="auto" w:sz="4" w:space="0"/>
              <w:right w:val="single" w:color="auto" w:sz="4" w:space="0"/>
            </w:tcBorders>
            <w:noWrap w:val="0"/>
            <w:vAlign w:val="center"/>
          </w:tcPr>
          <w:p w14:paraId="382698B2">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18</w:t>
            </w:r>
          </w:p>
        </w:tc>
        <w:tc>
          <w:tcPr>
            <w:tcW w:w="2245" w:type="pct"/>
            <w:tcBorders>
              <w:top w:val="single" w:color="auto" w:sz="4" w:space="0"/>
              <w:left w:val="single" w:color="auto" w:sz="4" w:space="0"/>
              <w:bottom w:val="single" w:color="auto" w:sz="4" w:space="0"/>
              <w:right w:val="single" w:color="auto" w:sz="4" w:space="0"/>
            </w:tcBorders>
            <w:noWrap w:val="0"/>
            <w:vAlign w:val="center"/>
          </w:tcPr>
          <w:p w14:paraId="57F02F9E">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KV</w:t>
            </w:r>
            <w:r>
              <w:rPr>
                <w:rFonts w:hint="eastAsia" w:ascii="宋体" w:hAnsi="宋体" w:cs="Arial"/>
                <w:color w:val="auto"/>
                <w:highlight w:val="none"/>
              </w:rPr>
              <w:t>施耐德综保更换</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4577CF5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A5C208C">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bottom w:val="single" w:color="auto" w:sz="4" w:space="0"/>
            </w:tcBorders>
            <w:noWrap w:val="0"/>
            <w:vAlign w:val="center"/>
          </w:tcPr>
          <w:p w14:paraId="05953EF4">
            <w:pPr>
              <w:adjustRightInd w:val="0"/>
              <w:snapToGrid w:val="0"/>
              <w:spacing w:line="240" w:lineRule="auto"/>
              <w:jc w:val="center"/>
              <w:rPr>
                <w:rFonts w:ascii="宋体" w:hAnsi="宋体" w:cs="Arial"/>
                <w:color w:val="auto"/>
                <w:highlight w:val="none"/>
              </w:rPr>
            </w:pPr>
          </w:p>
        </w:tc>
      </w:tr>
      <w:tr w14:paraId="5DE1F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7" w:type="pct"/>
            <w:tcBorders>
              <w:top w:val="single" w:color="auto" w:sz="4" w:space="0"/>
              <w:right w:val="single" w:color="auto" w:sz="4" w:space="0"/>
            </w:tcBorders>
            <w:noWrap w:val="0"/>
            <w:vAlign w:val="center"/>
          </w:tcPr>
          <w:p w14:paraId="7726A671">
            <w:pPr>
              <w:adjustRightInd w:val="0"/>
              <w:snapToGrid w:val="0"/>
              <w:spacing w:before="120" w:beforeLines="50" w:after="120" w:afterLines="50" w:line="240" w:lineRule="auto"/>
              <w:jc w:val="center"/>
              <w:rPr>
                <w:rFonts w:hint="eastAsia" w:ascii="宋体" w:hAnsi="宋体" w:cs="Arial"/>
                <w:color w:val="auto"/>
                <w:highlight w:val="none"/>
              </w:rPr>
            </w:pPr>
            <w:r>
              <w:rPr>
                <w:rFonts w:hint="eastAsia" w:ascii="宋体" w:hAnsi="宋体" w:cs="Arial"/>
                <w:color w:val="auto"/>
                <w:highlight w:val="none"/>
              </w:rPr>
              <w:t>19</w:t>
            </w:r>
          </w:p>
        </w:tc>
        <w:tc>
          <w:tcPr>
            <w:tcW w:w="2245" w:type="pct"/>
            <w:tcBorders>
              <w:top w:val="single" w:color="auto" w:sz="4" w:space="0"/>
              <w:left w:val="single" w:color="auto" w:sz="4" w:space="0"/>
              <w:right w:val="single" w:color="auto" w:sz="4" w:space="0"/>
            </w:tcBorders>
            <w:noWrap w:val="0"/>
            <w:vAlign w:val="center"/>
          </w:tcPr>
          <w:p w14:paraId="47B50DB3">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KV</w:t>
            </w:r>
            <w:r>
              <w:rPr>
                <w:rFonts w:hint="eastAsia" w:ascii="宋体" w:hAnsi="宋体" w:cs="Arial"/>
                <w:color w:val="auto"/>
                <w:highlight w:val="none"/>
              </w:rPr>
              <w:t>爱博精电多功能表更换</w:t>
            </w:r>
          </w:p>
        </w:tc>
        <w:tc>
          <w:tcPr>
            <w:tcW w:w="713" w:type="pct"/>
            <w:tcBorders>
              <w:top w:val="single" w:color="auto" w:sz="4" w:space="0"/>
              <w:left w:val="single" w:color="auto" w:sz="4" w:space="0"/>
              <w:right w:val="single" w:color="auto" w:sz="4" w:space="0"/>
            </w:tcBorders>
            <w:noWrap w:val="0"/>
            <w:vAlign w:val="center"/>
          </w:tcPr>
          <w:p w14:paraId="76E8BC7B">
            <w:pPr>
              <w:adjustRightInd w:val="0"/>
              <w:snapToGrid w:val="0"/>
              <w:spacing w:line="240" w:lineRule="auto"/>
              <w:jc w:val="center"/>
              <w:rPr>
                <w:rFonts w:hint="eastAsia" w:ascii="宋体" w:hAnsi="宋体" w:cs="Arial"/>
                <w:color w:val="auto"/>
                <w:highlight w:val="none"/>
              </w:rPr>
            </w:pPr>
            <w:r>
              <w:rPr>
                <w:rFonts w:hint="eastAsia" w:ascii="宋体" w:hAnsi="宋体" w:cs="Arial"/>
                <w:color w:val="auto"/>
                <w:highlight w:val="none"/>
              </w:rPr>
              <w:t>只</w:t>
            </w:r>
          </w:p>
        </w:tc>
        <w:tc>
          <w:tcPr>
            <w:tcW w:w="691" w:type="pct"/>
            <w:tcBorders>
              <w:top w:val="single" w:color="auto" w:sz="4" w:space="0"/>
              <w:left w:val="single" w:color="auto" w:sz="4" w:space="0"/>
              <w:right w:val="single" w:color="auto" w:sz="4" w:space="0"/>
            </w:tcBorders>
            <w:noWrap w:val="0"/>
            <w:vAlign w:val="center"/>
          </w:tcPr>
          <w:p w14:paraId="1849E207">
            <w:pPr>
              <w:adjustRightInd w:val="0"/>
              <w:snapToGrid w:val="0"/>
              <w:spacing w:line="240" w:lineRule="auto"/>
              <w:jc w:val="center"/>
              <w:rPr>
                <w:rFonts w:hint="eastAsia" w:ascii="宋体" w:hAnsi="宋体" w:cs="Arial"/>
                <w:color w:val="auto"/>
                <w:highlight w:val="none"/>
              </w:rPr>
            </w:pPr>
          </w:p>
        </w:tc>
        <w:tc>
          <w:tcPr>
            <w:tcW w:w="711" w:type="pct"/>
            <w:tcBorders>
              <w:top w:val="single" w:color="auto" w:sz="4" w:space="0"/>
              <w:left w:val="single" w:color="auto" w:sz="4" w:space="0"/>
            </w:tcBorders>
            <w:noWrap w:val="0"/>
            <w:vAlign w:val="center"/>
          </w:tcPr>
          <w:p w14:paraId="097CCE21">
            <w:pPr>
              <w:adjustRightInd w:val="0"/>
              <w:snapToGrid w:val="0"/>
              <w:spacing w:line="240" w:lineRule="auto"/>
              <w:jc w:val="center"/>
              <w:rPr>
                <w:rFonts w:ascii="宋体" w:hAnsi="宋体" w:cs="Arial"/>
                <w:color w:val="auto"/>
                <w:highlight w:val="none"/>
              </w:rPr>
            </w:pPr>
          </w:p>
        </w:tc>
      </w:tr>
    </w:tbl>
    <w:p w14:paraId="27CF073E">
      <w:pPr>
        <w:spacing w:line="480" w:lineRule="auto"/>
        <w:rPr>
          <w:rFonts w:hint="eastAsia"/>
          <w:color w:val="auto"/>
          <w:sz w:val="24"/>
          <w:highlight w:val="none"/>
        </w:rPr>
      </w:pPr>
      <w:r>
        <w:rPr>
          <w:rFonts w:hint="eastAsia"/>
          <w:b/>
          <w:bCs/>
          <w:color w:val="auto"/>
          <w:highlight w:val="none"/>
        </w:rPr>
        <w:t>备注：配件清单不限于以上部分，可补充。配件价格请报含税后的价格，视后期维修情况进行结算。</w:t>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黑体" w:hAnsi="华文楷体" w:eastAsia="黑体"/>
          <w:color w:val="auto"/>
          <w:sz w:val="24"/>
          <w:highlight w:val="none"/>
        </w:rPr>
        <w:t>公司名称（盖章）：          委托代理人（签字）：        报价日期：      年    月   日</w:t>
      </w: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4"/>
        <w:rPr>
          <w:rFonts w:hint="default" w:ascii="方正兰亭黑简体" w:hAnsi="方正兰亭黑简体" w:eastAsia="方正兰亭黑简体" w:cs="方正兰亭黑简体"/>
          <w:color w:val="auto"/>
          <w:sz w:val="22"/>
          <w:szCs w:val="28"/>
          <w:highlight w:val="none"/>
          <w:lang w:val="en-US" w:eastAsia="zh-CN"/>
        </w:rPr>
      </w:pPr>
    </w:p>
    <w:p w14:paraId="3F5F1DB4">
      <w:pPr>
        <w:pStyle w:val="4"/>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3"/>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19FF879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1、资质证明文件</w:t>
      </w:r>
    </w:p>
    <w:p w14:paraId="5C3B66E4">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（1）营业执照（复印件）</w:t>
      </w:r>
    </w:p>
    <w:p w14:paraId="167F261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（2）法人代表授权书（统一格式）</w:t>
      </w:r>
    </w:p>
    <w:p w14:paraId="30EE2B9E">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（3）承装、承修、承试资质证书（复印件）</w:t>
      </w:r>
    </w:p>
    <w:p w14:paraId="2E9CB5B0">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（4）投标人情况表（公司综合介绍）</w:t>
      </w:r>
    </w:p>
    <w:p w14:paraId="1C0D7BBE">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（5）质量认证体系证书（若有，提供复印件）</w:t>
      </w:r>
    </w:p>
    <w:p w14:paraId="0EDEA8D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（6）电试相关项目业绩（附合同复印件）</w:t>
      </w:r>
    </w:p>
    <w:p w14:paraId="1DF0AB1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2、电试方案详细描述</w:t>
      </w:r>
    </w:p>
    <w:p w14:paraId="098685E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3、电试设备清单</w:t>
      </w:r>
    </w:p>
    <w:p w14:paraId="2FD362A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4、电试人员培训资质、简历</w:t>
      </w:r>
    </w:p>
    <w:p w14:paraId="3DD5DD4B">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5、需现场业主（或物业）配合的工作及要求</w:t>
      </w:r>
    </w:p>
    <w:p w14:paraId="1DA7972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6、电试进度计划</w:t>
      </w:r>
    </w:p>
    <w:p w14:paraId="06E857B2">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7、售后服务</w:t>
      </w:r>
    </w:p>
    <w:p w14:paraId="1B930057">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 xml:space="preserve">8、投标人认为有必要表述的其他相关内容 </w:t>
      </w:r>
    </w:p>
    <w:p w14:paraId="21E2698E">
      <w:pPr>
        <w:pStyle w:val="3"/>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9、投标方应对本比选文件作逐条响应。</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BFF6F2-C664-49BA-ABD4-BE9FCC23B474}"/>
  </w:font>
  <w:font w:name="黑体">
    <w:panose1 w:val="02010609060101010101"/>
    <w:charset w:val="86"/>
    <w:family w:val="auto"/>
    <w:pitch w:val="default"/>
    <w:sig w:usb0="800002BF" w:usb1="38CF7CFA" w:usb2="00000016" w:usb3="00000000" w:csb0="00040001" w:csb1="00000000"/>
    <w:embedRegular r:id="rId2" w:fontKey="{75DF9C58-A003-4B1F-9F76-D5085D58A1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3" w:fontKey="{A466ECB5-E329-4CAD-84B9-B20BF4C8FF58}"/>
  </w:font>
  <w:font w:name="华文楷体">
    <w:panose1 w:val="02010600040101010101"/>
    <w:charset w:val="86"/>
    <w:family w:val="auto"/>
    <w:pitch w:val="default"/>
    <w:sig w:usb0="00000287" w:usb1="080F0000" w:usb2="00000000" w:usb3="00000000" w:csb0="0004009F" w:csb1="DFD70000"/>
    <w:embedRegular r:id="rId4" w:fontKey="{B3166BD6-5D82-40A2-A179-8655D1FD0941}"/>
  </w:font>
  <w:font w:name="方正仿宋_GB2312">
    <w:panose1 w:val="02000000000000000000"/>
    <w:charset w:val="86"/>
    <w:family w:val="auto"/>
    <w:pitch w:val="default"/>
    <w:sig w:usb0="A00002BF" w:usb1="184F6CFA" w:usb2="00000012" w:usb3="00000000" w:csb0="00040001" w:csb1="00000000"/>
    <w:embedRegular r:id="rId5" w:fontKey="{05DEA774-275B-44F9-8B29-26D3F5ECC9FB}"/>
  </w:font>
  <w:font w:name="仿宋">
    <w:panose1 w:val="02010609060101010101"/>
    <w:charset w:val="86"/>
    <w:family w:val="modern"/>
    <w:pitch w:val="default"/>
    <w:sig w:usb0="800002BF" w:usb1="38CF7CFA" w:usb2="00000016" w:usb3="00000000" w:csb0="00040001" w:csb1="00000000"/>
    <w:embedRegular r:id="rId6" w:fontKey="{8881FE76-340E-4066-885F-610EF90ACF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694871"/>
    <w:rsid w:val="10FC0456"/>
    <w:rsid w:val="157E6317"/>
    <w:rsid w:val="24050543"/>
    <w:rsid w:val="2FB07FD7"/>
    <w:rsid w:val="3D6469F5"/>
    <w:rsid w:val="3FCC680A"/>
    <w:rsid w:val="3FDF48A5"/>
    <w:rsid w:val="41007DAA"/>
    <w:rsid w:val="475357B2"/>
    <w:rsid w:val="480A63EB"/>
    <w:rsid w:val="487158D1"/>
    <w:rsid w:val="4CCA439B"/>
    <w:rsid w:val="4EFD134C"/>
    <w:rsid w:val="52517B06"/>
    <w:rsid w:val="56101CA9"/>
    <w:rsid w:val="5AEA704B"/>
    <w:rsid w:val="5DF2219B"/>
    <w:rsid w:val="5E8720EC"/>
    <w:rsid w:val="5EE9209B"/>
    <w:rsid w:val="66E533C4"/>
    <w:rsid w:val="6A346170"/>
    <w:rsid w:val="75DB0B7A"/>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rPr>
  </w:style>
  <w:style w:type="paragraph" w:styleId="5">
    <w:name w:val="Date"/>
    <w:basedOn w:val="1"/>
    <w:next w:val="1"/>
    <w:qFormat/>
    <w:uiPriority w:val="0"/>
    <w:pPr>
      <w:adjustRightInd w:val="0"/>
      <w:spacing w:line="312" w:lineRule="atLeast"/>
      <w:jc w:val="right"/>
      <w:textAlignment w:val="baseline"/>
    </w:pPr>
    <w:rPr>
      <w:snapToGrid/>
      <w:spacing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ascii="Calibri" w:hAnsi="Calibri" w:eastAsia="宋体" w:cs="Times New Roman"/>
    </w:rPr>
  </w:style>
  <w:style w:type="paragraph" w:styleId="9">
    <w:name w:val="Body Text Indent 3"/>
    <w:basedOn w:val="1"/>
    <w:qFormat/>
    <w:uiPriority w:val="0"/>
    <w:pPr>
      <w:ind w:firstLine="600" w:firstLineChars="200"/>
    </w:pPr>
    <w:rPr>
      <w:color w:val="FF0000"/>
      <w:sz w:val="3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widowControl/>
      <w:spacing w:after="120"/>
      <w:ind w:firstLine="420" w:firstLineChars="100"/>
      <w:jc w:val="left"/>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basedOn w:val="14"/>
    <w:unhideWhenUsed/>
    <w:qFormat/>
    <w:uiPriority w:val="99"/>
    <w:rPr>
      <w:color w:val="0000FF"/>
      <w:u w:val="single"/>
    </w:rPr>
  </w:style>
  <w:style w:type="paragraph" w:customStyle="1" w:styleId="17">
    <w:name w:val="列表段落1"/>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9">
    <w:name w:val="15"/>
    <w:basedOn w:val="14"/>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3145</Words>
  <Characters>3366</Characters>
  <Lines>0</Lines>
  <Paragraphs>0</Paragraphs>
  <TotalTime>2</TotalTime>
  <ScaleCrop>false</ScaleCrop>
  <LinksUpToDate>false</LinksUpToDate>
  <CharactersWithSpaces>3429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2025-04-23T06:29:39Z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