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上海海事大学员工团体意外保险采购项目</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bookmarkStart w:id="4" w:name="_GoBack"/>
      <w:bookmarkEnd w:id="4"/>
      <w:r>
        <w:rPr>
          <w:rFonts w:hint="eastAsia" w:ascii="方正兰亭黑简体" w:hAnsi="方正兰亭黑简体" w:eastAsia="方正兰亭黑简体" w:cs="方正兰亭黑简体"/>
          <w:color w:val="auto"/>
          <w:sz w:val="28"/>
          <w:szCs w:val="28"/>
          <w:highlight w:val="none"/>
          <w:lang w:val="en-US" w:eastAsia="zh-CN"/>
        </w:rPr>
        <w:t>HFBX2025099</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二〇二五年十二月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HFBX2025099；</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上海海事大学员工团体意外保险采购项目；</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lang w:val="en-US" w:eastAsia="zh-CN"/>
        </w:rPr>
        <w:t>人民币22万元；</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需采购</w:t>
      </w:r>
      <w:r>
        <w:rPr>
          <w:rFonts w:hint="eastAsia" w:ascii="方正兰亭黑简体" w:hAnsi="方正兰亭黑简体" w:eastAsia="方正兰亭黑简体" w:cs="方正兰亭黑简体"/>
          <w:color w:val="auto"/>
          <w:sz w:val="22"/>
          <w:szCs w:val="28"/>
          <w:highlight w:val="none"/>
        </w:rPr>
        <w:t>员工团体意外保险</w:t>
      </w:r>
      <w:r>
        <w:rPr>
          <w:rFonts w:hint="eastAsia" w:ascii="方正兰亭黑简体" w:hAnsi="方正兰亭黑简体" w:eastAsia="方正兰亭黑简体" w:cs="方正兰亭黑简体"/>
          <w:color w:val="auto"/>
          <w:sz w:val="22"/>
          <w:szCs w:val="28"/>
          <w:highlight w:val="none"/>
          <w:lang w:val="en-US" w:eastAsia="zh-CN"/>
        </w:rPr>
        <w:t>服务。</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4E50502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付款方式：合同签订后一个月内，甲方向乙方一次性支付保险费用。合同内全部款项均以“银行转账”方式予以支付。</w:t>
      </w:r>
    </w:p>
    <w:p w14:paraId="41BEA8D1">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二、报价人的资格要求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r>
        <w:rPr>
          <w:rFonts w:hint="eastAsia" w:ascii="方正兰亭黑简体" w:hAnsi="方正兰亭黑简体" w:eastAsia="方正兰亭黑简体" w:cs="方正兰亭黑简体"/>
          <w:color w:val="auto"/>
          <w:sz w:val="22"/>
          <w:szCs w:val="28"/>
          <w:highlight w:val="none"/>
          <w:lang w:eastAsia="zh-CN"/>
        </w:rPr>
        <w:t>。</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default" w:ascii="方正兰亭黑简体" w:hAnsi="方正兰亭黑简体" w:eastAsia="方正兰亭黑简体" w:cs="方正兰亭黑简体"/>
          <w:color w:val="auto"/>
          <w:sz w:val="22"/>
          <w:szCs w:val="28"/>
          <w:highlight w:val="none"/>
          <w:lang w:val="en-US"/>
        </w:rPr>
      </w:pPr>
      <w:r>
        <w:rPr>
          <w:rFonts w:hint="eastAsia" w:ascii="方正兰亭黑简体" w:hAnsi="方正兰亭黑简体" w:eastAsia="方正兰亭黑简体" w:cs="方正兰亭黑简体"/>
          <w:color w:val="auto"/>
          <w:sz w:val="22"/>
          <w:szCs w:val="28"/>
          <w:highlight w:val="none"/>
          <w:lang w:val="en-US" w:eastAsia="zh-CN"/>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15</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周一</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洪</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38284239</w:t>
      </w: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3D32A2B4">
      <w:pPr>
        <w:spacing w:line="360" w:lineRule="auto"/>
        <w:ind w:left="0" w:leftChars="0" w:firstLine="0" w:firstLineChars="0"/>
        <w:jc w:val="center"/>
        <w:rPr>
          <w:rFonts w:hint="default" w:ascii="Times New Roman" w:hAnsi="Times New Roman" w:eastAsia="方正兰亭黑简体" w:cs="Times New Roman"/>
          <w:color w:val="auto"/>
          <w:sz w:val="22"/>
          <w:szCs w:val="22"/>
          <w:highlight w:val="none"/>
        </w:rPr>
      </w:pPr>
    </w:p>
    <w:p w14:paraId="0A8A2025">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一、项目名称：上海海事大学员工团体意外保险采购项目；</w:t>
      </w:r>
    </w:p>
    <w:p w14:paraId="72747602">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二、服务期限：2026年1月10日至2027年1月9日，服务期满后若校方对中标单位提供的服务满意且价格保持不变，经双方商定后，校方可与中标单位续签下一年度合同，最多可续签两次。</w:t>
      </w:r>
    </w:p>
    <w:p w14:paraId="4EBC01FE">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三、参保人数：2200人；此为暂定人数，后续与中标单位根据实际参保人数按实结算保险费用。</w:t>
      </w:r>
    </w:p>
    <w:p w14:paraId="6172469E">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四、服务地点：上海海事大学；</w:t>
      </w:r>
    </w:p>
    <w:p w14:paraId="66FC887A">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五、项目需求：</w:t>
      </w:r>
    </w:p>
    <w:p w14:paraId="48A5D72C">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（一）</w:t>
      </w:r>
      <w:r>
        <w:rPr>
          <w:rFonts w:hint="default" w:ascii="Times New Roman" w:hAnsi="Times New Roman" w:eastAsia="方正兰亭黑简体" w:cs="Times New Roman"/>
          <w:b/>
          <w:color w:val="auto"/>
          <w:sz w:val="22"/>
          <w:szCs w:val="22"/>
          <w:highlight w:val="none"/>
        </w:rPr>
        <w:tab/>
      </w:r>
      <w:r>
        <w:rPr>
          <w:rFonts w:hint="default" w:ascii="Times New Roman" w:hAnsi="Times New Roman" w:eastAsia="方正兰亭黑简体" w:cs="Times New Roman"/>
          <w:b/>
          <w:color w:val="auto"/>
          <w:sz w:val="22"/>
          <w:szCs w:val="22"/>
          <w:highlight w:val="none"/>
        </w:rPr>
        <w:t>保险保障：</w:t>
      </w:r>
    </w:p>
    <w:p w14:paraId="44BC8866">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1.保险责任及责任限额</w:t>
      </w:r>
    </w:p>
    <w:p w14:paraId="6372E59A">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1.1团体意外伤害保险责任</w:t>
      </w:r>
    </w:p>
    <w:p w14:paraId="109B1DFB">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在保险期间内，被保险人自获得被保资格之日起遭受意外伤害（见释义），并因该意外伤害导致身故、伤残的，保险人依照下列约定给付保险金，且给付下列各项保险金之和不超过该被保险人的意外伤害身故伤残保险金额。</w:t>
      </w:r>
    </w:p>
    <w:p w14:paraId="0CD925E7">
      <w:pPr>
        <w:spacing w:line="360" w:lineRule="auto"/>
        <w:ind w:left="0" w:leftChars="0" w:firstLine="0" w:firstLineChars="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意外伤害身故保险责任</w:t>
      </w:r>
    </w:p>
    <w:p w14:paraId="4C7C7F63">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意外伤害身故保障  每人不低于人民币</w:t>
      </w:r>
      <w:r>
        <w:rPr>
          <w:rFonts w:hint="eastAsia" w:ascii="Times New Roman" w:hAnsi="Times New Roman" w:eastAsia="方正兰亭黑简体" w:cs="Times New Roman"/>
          <w:color w:val="auto"/>
          <w:sz w:val="22"/>
          <w:szCs w:val="22"/>
          <w:highlight w:val="none"/>
          <w:lang w:val="en-US" w:eastAsia="zh-CN"/>
        </w:rPr>
        <w:t>10</w:t>
      </w:r>
      <w:r>
        <w:rPr>
          <w:rFonts w:hint="default" w:ascii="Times New Roman" w:hAnsi="Times New Roman" w:eastAsia="方正兰亭黑简体" w:cs="Times New Roman"/>
          <w:color w:val="auto"/>
          <w:sz w:val="22"/>
          <w:szCs w:val="22"/>
          <w:highlight w:val="none"/>
        </w:rPr>
        <w:t>万元 </w:t>
      </w:r>
    </w:p>
    <w:p w14:paraId="01DE5AC9">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伤残评定：参照最新《人身保险伤残评定标准（行业标准）》进行比例给付,工作时间内发生的事故按照工伤标准评定</w:t>
      </w:r>
    </w:p>
    <w:p w14:paraId="36791246">
      <w:pPr>
        <w:spacing w:line="360" w:lineRule="auto"/>
        <w:ind w:left="0" w:leftChars="0" w:firstLine="0" w:firstLineChars="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意外伤害伤残保险责任</w:t>
      </w:r>
    </w:p>
    <w:p w14:paraId="247E9A1B">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意外伤害伤残保障  每人不低于人民币</w:t>
      </w:r>
      <w:r>
        <w:rPr>
          <w:rFonts w:hint="eastAsia" w:ascii="Times New Roman" w:hAnsi="Times New Roman" w:eastAsia="方正兰亭黑简体" w:cs="Times New Roman"/>
          <w:color w:val="auto"/>
          <w:sz w:val="22"/>
          <w:szCs w:val="22"/>
          <w:highlight w:val="none"/>
          <w:lang w:val="en-US" w:eastAsia="zh-CN"/>
        </w:rPr>
        <w:t>10</w:t>
      </w:r>
      <w:r>
        <w:rPr>
          <w:rFonts w:hint="default" w:ascii="Times New Roman" w:hAnsi="Times New Roman" w:eastAsia="方正兰亭黑简体" w:cs="Times New Roman"/>
          <w:color w:val="auto"/>
          <w:sz w:val="22"/>
          <w:szCs w:val="22"/>
          <w:highlight w:val="none"/>
        </w:rPr>
        <w:t>万元 </w:t>
      </w:r>
    </w:p>
    <w:p w14:paraId="557C6222">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伤残评定：参照最新《人身保险伤残评定标准（行业标准）》进行比例给付,工作时间内发生的事故按照工伤标准评定</w:t>
      </w:r>
    </w:p>
    <w:p w14:paraId="01A7E390">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1.2团体意外伤害住院津贴保险责任</w:t>
      </w:r>
    </w:p>
    <w:p w14:paraId="20FBE2D1">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每人每日不低于人民币</w:t>
      </w:r>
      <w:r>
        <w:rPr>
          <w:rFonts w:hint="eastAsia" w:ascii="Times New Roman" w:hAnsi="Times New Roman" w:eastAsia="方正兰亭黑简体" w:cs="Times New Roman"/>
          <w:color w:val="auto"/>
          <w:sz w:val="22"/>
          <w:szCs w:val="22"/>
          <w:highlight w:val="none"/>
          <w:lang w:val="en-US" w:eastAsia="zh-CN"/>
        </w:rPr>
        <w:t>100</w:t>
      </w:r>
      <w:r>
        <w:rPr>
          <w:rFonts w:hint="default" w:ascii="Times New Roman" w:hAnsi="Times New Roman" w:eastAsia="方正兰亭黑简体" w:cs="Times New Roman"/>
          <w:color w:val="auto"/>
          <w:sz w:val="22"/>
          <w:szCs w:val="22"/>
          <w:highlight w:val="none"/>
        </w:rPr>
        <w:t>元  </w:t>
      </w:r>
    </w:p>
    <w:p w14:paraId="1D960201">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免赔天数不高于3天</w:t>
      </w:r>
    </w:p>
    <w:p w14:paraId="3D271050">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单次限额：每次住院天数给付不低于</w:t>
      </w:r>
      <w:r>
        <w:rPr>
          <w:rFonts w:hint="eastAsia" w:ascii="Times New Roman" w:hAnsi="Times New Roman" w:eastAsia="方正兰亭黑简体" w:cs="Times New Roman"/>
          <w:color w:val="auto"/>
          <w:sz w:val="22"/>
          <w:szCs w:val="22"/>
          <w:highlight w:val="none"/>
          <w:lang w:val="en-US" w:eastAsia="zh-CN"/>
        </w:rPr>
        <w:t>180</w:t>
      </w:r>
      <w:r>
        <w:rPr>
          <w:rFonts w:hint="default" w:ascii="Times New Roman" w:hAnsi="Times New Roman" w:eastAsia="方正兰亭黑简体" w:cs="Times New Roman"/>
          <w:color w:val="auto"/>
          <w:sz w:val="22"/>
          <w:szCs w:val="22"/>
          <w:highlight w:val="none"/>
        </w:rPr>
        <w:t>天</w:t>
      </w:r>
    </w:p>
    <w:p w14:paraId="13D44407">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年度限额：全年累计给付天数不低于180天</w:t>
      </w:r>
    </w:p>
    <w:p w14:paraId="6EBABD3C">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1.3意外伤害骨折津贴保险责任</w:t>
      </w:r>
    </w:p>
    <w:p w14:paraId="70D12AD4">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每人每日不低于人民币</w:t>
      </w:r>
      <w:r>
        <w:rPr>
          <w:rFonts w:hint="eastAsia" w:ascii="Times New Roman" w:hAnsi="Times New Roman" w:eastAsia="方正兰亭黑简体" w:cs="Times New Roman"/>
          <w:color w:val="auto"/>
          <w:sz w:val="22"/>
          <w:szCs w:val="22"/>
          <w:highlight w:val="none"/>
          <w:lang w:val="en-US" w:eastAsia="zh-CN"/>
        </w:rPr>
        <w:t>100元</w:t>
      </w:r>
    </w:p>
    <w:p w14:paraId="4FA9838F">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（二）服务需求</w:t>
      </w:r>
    </w:p>
    <w:p w14:paraId="6B1F9EAD">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1.提供详细服务方案及服务承诺；</w:t>
      </w:r>
    </w:p>
    <w:p w14:paraId="7D67081D">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2.有稳定的保险服务及理赔团队；</w:t>
      </w:r>
    </w:p>
    <w:p w14:paraId="53212EB3">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3.能及时响应学校服务需求，协助学校职工进行理赔实务操作；</w:t>
      </w:r>
    </w:p>
    <w:p w14:paraId="4537A703">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4.对于理赔案件定期汇总汇报。</w:t>
      </w:r>
    </w:p>
    <w:p w14:paraId="1C49B710">
      <w:pPr>
        <w:spacing w:line="360" w:lineRule="auto"/>
        <w:ind w:left="0" w:leftChars="0" w:firstLine="0" w:firstLineChars="0"/>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（三）保险服务团队与保障</w:t>
      </w:r>
    </w:p>
    <w:p w14:paraId="3BE4C516">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1.组织专业保险服务及风险管理团队；</w:t>
      </w:r>
    </w:p>
    <w:p w14:paraId="023A3B69">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2.团队内具有理赔服务、风险管理等专职人员，为学校提供各类服务；</w:t>
      </w:r>
    </w:p>
    <w:p w14:paraId="1BBB1C2F">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3.需提供服务团队人员简要介绍。</w:t>
      </w:r>
    </w:p>
    <w:p w14:paraId="7591F8F3">
      <w:pPr>
        <w:numPr>
          <w:ilvl w:val="0"/>
          <w:numId w:val="0"/>
        </w:numPr>
        <w:jc w:val="left"/>
        <w:rPr>
          <w:rFonts w:hint="default" w:ascii="方正兰亭黑简体" w:hAnsi="方正兰亭黑简体" w:eastAsia="方正兰亭黑简体" w:cs="方正兰亭黑简体"/>
          <w:b/>
          <w:bCs/>
          <w:color w:val="auto"/>
          <w:sz w:val="22"/>
          <w:szCs w:val="28"/>
          <w:highlight w:val="none"/>
          <w:lang w:val="en-US" w:eastAsia="zh-CN"/>
        </w:rPr>
      </w:pPr>
    </w:p>
    <w:p w14:paraId="6980BEA8">
      <w:pPr>
        <w:pStyle w:val="23"/>
        <w:numPr>
          <w:ilvl w:val="0"/>
          <w:numId w:val="0"/>
        </w:numPr>
        <w:ind w:left="360" w:leftChars="0" w:hanging="360" w:firstLineChars="0"/>
        <w:rPr>
          <w:rFonts w:hint="eastAsia" w:ascii="宋体" w:hAnsi="宋体" w:eastAsia="宋体" w:cs="宋体"/>
          <w:color w:val="auto"/>
          <w:sz w:val="28"/>
          <w:szCs w:val="28"/>
          <w:highlight w:val="none"/>
        </w:rPr>
      </w:pPr>
    </w:p>
    <w:p w14:paraId="34E9720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0"/>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kern w:val="2"/>
          <w:sz w:val="22"/>
          <w:szCs w:val="28"/>
          <w:lang w:val="en-US" w:eastAsia="zh-CN" w:bidi="ar-SA"/>
        </w:rPr>
        <w:t>2、</w:t>
      </w:r>
      <w:r>
        <w:rPr>
          <w:rFonts w:hint="eastAsia" w:ascii="方正兰亭黑简体" w:hAnsi="方正兰亭黑简体" w:eastAsia="方正兰亭黑简体" w:cs="方正兰亭黑简体"/>
          <w:color w:val="auto"/>
          <w:sz w:val="22"/>
          <w:szCs w:val="28"/>
          <w:highlight w:val="none"/>
        </w:rPr>
        <w:t>具体评分细则如下：</w:t>
      </w:r>
    </w:p>
    <w:tbl>
      <w:tblPr>
        <w:tblStyle w:val="15"/>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376E4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noWrap w:val="0"/>
            <w:vAlign w:val="center"/>
          </w:tcPr>
          <w:p w14:paraId="5BA867BA">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noWrap w:val="0"/>
            <w:vAlign w:val="center"/>
          </w:tcPr>
          <w:p w14:paraId="3BD5266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noWrap w:val="0"/>
            <w:vAlign w:val="center"/>
          </w:tcPr>
          <w:p w14:paraId="73F8DC20">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noWrap w:val="0"/>
            <w:vAlign w:val="center"/>
          </w:tcPr>
          <w:p w14:paraId="5E600D7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59107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noWrap w:val="0"/>
            <w:vAlign w:val="center"/>
          </w:tcPr>
          <w:p w14:paraId="51DBDF44">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0F68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noWrap w:val="0"/>
            <w:vAlign w:val="center"/>
          </w:tcPr>
          <w:p w14:paraId="0638B98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noWrap w:val="0"/>
            <w:vAlign w:val="center"/>
          </w:tcPr>
          <w:p w14:paraId="6C042703">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2D460A8A">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2FE14B4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center"/>
          </w:tcPr>
          <w:p w14:paraId="614A2EF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的报价得分计算公式如下：报价得分＝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0×（评标基准价/投标报价）。</w:t>
            </w:r>
          </w:p>
        </w:tc>
      </w:tr>
      <w:tr w14:paraId="36E8C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3D8DCA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3F740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noWrap w:val="0"/>
            <w:vAlign w:val="center"/>
          </w:tcPr>
          <w:p w14:paraId="298B7920">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669" w:type="pct"/>
            <w:noWrap w:val="0"/>
            <w:vAlign w:val="center"/>
          </w:tcPr>
          <w:p w14:paraId="7A30D29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5F94B8E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1F077C45">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635" w:type="pct"/>
            <w:noWrap w:val="0"/>
            <w:vAlign w:val="center"/>
          </w:tcPr>
          <w:p w14:paraId="593B51A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月1日起至今）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00D5E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noWrap w:val="0"/>
            <w:vAlign w:val="center"/>
          </w:tcPr>
          <w:p w14:paraId="5E77868B">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669" w:type="pct"/>
            <w:noWrap w:val="0"/>
            <w:vAlign w:val="center"/>
          </w:tcPr>
          <w:p w14:paraId="3485C39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服务响应程度</w:t>
            </w:r>
          </w:p>
          <w:p w14:paraId="7DCAF04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0F6666D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635" w:type="pct"/>
            <w:noWrap w:val="0"/>
            <w:vAlign w:val="center"/>
          </w:tcPr>
          <w:p w14:paraId="7461B04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分；扣完为止。</w:t>
            </w:r>
          </w:p>
        </w:tc>
      </w:tr>
      <w:tr w14:paraId="12D9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noWrap w:val="0"/>
            <w:vAlign w:val="center"/>
          </w:tcPr>
          <w:p w14:paraId="4D422A61">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669" w:type="pct"/>
            <w:tcBorders>
              <w:top w:val="single" w:color="auto" w:sz="6" w:space="0"/>
              <w:left w:val="single" w:color="auto" w:sz="6" w:space="0"/>
              <w:bottom w:val="single" w:color="auto" w:sz="6" w:space="0"/>
              <w:right w:val="single" w:color="auto" w:sz="6" w:space="0"/>
            </w:tcBorders>
            <w:noWrap w:val="0"/>
            <w:vAlign w:val="center"/>
          </w:tcPr>
          <w:p w14:paraId="24F2443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6937CC7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4F3088BC">
            <w:pPr>
              <w:spacing w:line="240" w:lineRule="auto"/>
              <w:jc w:val="center"/>
              <w:rPr>
                <w:rFonts w:hint="default" w:ascii="方正兰亭黑简体" w:hAnsi="方正兰亭黑简体" w:eastAsia="方正兰亭黑简体" w:cs="方正兰亭黑简体"/>
                <w:color w:val="auto"/>
                <w:sz w:val="20"/>
                <w:szCs w:val="20"/>
                <w:highlight w:val="none"/>
                <w:lang w:val="en-US"/>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635" w:type="pct"/>
            <w:noWrap w:val="0"/>
            <w:vAlign w:val="center"/>
          </w:tcPr>
          <w:p w14:paraId="0085CA8B">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优秀</w:t>
            </w: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21～30</w:t>
            </w:r>
            <w:r>
              <w:rPr>
                <w:rFonts w:hint="eastAsia" w:ascii="方正兰亭黑简体" w:hAnsi="方正兰亭黑简体" w:eastAsia="方正兰亭黑简体" w:cs="方正兰亭黑简体"/>
                <w:color w:val="auto"/>
                <w:sz w:val="20"/>
                <w:szCs w:val="20"/>
                <w:highlight w:val="none"/>
              </w:rPr>
              <w:t>分）：方案整体质量高，方案合理可行性强，响应措施及时高效，项目进度安排紧凑合理</w:t>
            </w:r>
            <w:r>
              <w:rPr>
                <w:rFonts w:hint="eastAsia" w:ascii="方正兰亭黑简体" w:hAnsi="方正兰亭黑简体" w:eastAsia="方正兰亭黑简体" w:cs="方正兰亭黑简体"/>
                <w:color w:val="auto"/>
                <w:sz w:val="20"/>
                <w:szCs w:val="20"/>
                <w:highlight w:val="none"/>
                <w:lang w:eastAsia="zh-CN"/>
              </w:rPr>
              <w:t>。</w:t>
            </w:r>
          </w:p>
          <w:p w14:paraId="0C5C1B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11～20</w:t>
            </w:r>
            <w:r>
              <w:rPr>
                <w:rFonts w:hint="eastAsia" w:ascii="方正兰亭黑简体" w:hAnsi="方正兰亭黑简体" w:eastAsia="方正兰亭黑简体" w:cs="方正兰亭黑简体"/>
                <w:color w:val="auto"/>
                <w:sz w:val="20"/>
                <w:szCs w:val="20"/>
                <w:highlight w:val="none"/>
              </w:rPr>
              <w:t>分）：方案整体质量较好，响应措施尚可，方案个别细节有待进一步完善。</w:t>
            </w:r>
          </w:p>
          <w:p w14:paraId="1CD5D97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分）：方案整体质量一般，合理性与可行性一般，存在风险但总体可控的。</w:t>
            </w:r>
          </w:p>
          <w:p w14:paraId="43A31D4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分）：方案整体质量较差，与项目实际</w:t>
            </w:r>
            <w:r>
              <w:rPr>
                <w:rFonts w:hint="eastAsia" w:ascii="方正兰亭黑简体" w:hAnsi="方正兰亭黑简体" w:eastAsia="方正兰亭黑简体" w:cs="方正兰亭黑简体"/>
                <w:color w:val="auto"/>
                <w:sz w:val="20"/>
                <w:szCs w:val="20"/>
                <w:highlight w:val="none"/>
                <w:lang w:eastAsia="zh-CN"/>
              </w:rPr>
              <w:t>契合</w:t>
            </w:r>
            <w:r>
              <w:rPr>
                <w:rFonts w:hint="eastAsia" w:ascii="方正兰亭黑简体" w:hAnsi="方正兰亭黑简体" w:eastAsia="方正兰亭黑简体" w:cs="方正兰亭黑简体"/>
                <w:color w:val="auto"/>
                <w:sz w:val="20"/>
                <w:szCs w:val="20"/>
                <w:highlight w:val="none"/>
              </w:rPr>
              <w:t>度低的。</w:t>
            </w:r>
          </w:p>
        </w:tc>
      </w:tr>
      <w:tr w14:paraId="32116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noWrap w:val="0"/>
            <w:vAlign w:val="center"/>
          </w:tcPr>
          <w:p w14:paraId="0820CDCF">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69" w:type="pct"/>
            <w:noWrap w:val="0"/>
            <w:vAlign w:val="center"/>
          </w:tcPr>
          <w:p w14:paraId="0F73A17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9656F32">
            <w:pPr>
              <w:pStyle w:val="14"/>
              <w:jc w:val="left"/>
              <w:rPr>
                <w:rFonts w:hint="eastAsia"/>
                <w:color w:val="auto"/>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5282DA0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top"/>
          </w:tcPr>
          <w:p w14:paraId="4AA3E186">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16～20</w:t>
            </w:r>
            <w:r>
              <w:rPr>
                <w:rFonts w:hint="eastAsia" w:ascii="方正兰亭黑简体" w:hAnsi="方正兰亭黑简体" w:eastAsia="方正兰亭黑简体" w:cs="方正兰亭黑简体"/>
                <w:color w:val="auto"/>
                <w:sz w:val="20"/>
                <w:szCs w:val="20"/>
                <w:highlight w:val="none"/>
              </w:rPr>
              <w:t>分）：服务承诺等合理可行</w:t>
            </w:r>
            <w:r>
              <w:rPr>
                <w:rFonts w:hint="eastAsia" w:ascii="方正兰亭黑简体" w:hAnsi="方正兰亭黑简体" w:eastAsia="方正兰亭黑简体" w:cs="方正兰亭黑简体"/>
                <w:color w:val="auto"/>
                <w:sz w:val="20"/>
                <w:szCs w:val="20"/>
                <w:highlight w:val="none"/>
                <w:lang w:eastAsia="zh-CN"/>
              </w:rPr>
              <w:t>。</w:t>
            </w:r>
          </w:p>
          <w:p w14:paraId="7151267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11～15</w:t>
            </w:r>
            <w:r>
              <w:rPr>
                <w:rFonts w:hint="eastAsia" w:ascii="方正兰亭黑简体" w:hAnsi="方正兰亭黑简体" w:eastAsia="方正兰亭黑简体" w:cs="方正兰亭黑简体"/>
                <w:color w:val="auto"/>
                <w:sz w:val="20"/>
                <w:szCs w:val="20"/>
                <w:highlight w:val="none"/>
              </w:rPr>
              <w:t>分）：服务承诺等比较合理。</w:t>
            </w:r>
          </w:p>
          <w:p w14:paraId="295E570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分）：服务承诺等合理性与可行性一般。</w:t>
            </w:r>
          </w:p>
          <w:p w14:paraId="5A4EEF3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分）：服务承诺等合理性与可行性较差。</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项目编号：HFBX2025099</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9"/>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tbl>
      <w:tblPr>
        <w:tblStyle w:val="15"/>
        <w:tblW w:w="499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61"/>
        <w:gridCol w:w="2560"/>
        <w:gridCol w:w="1825"/>
        <w:gridCol w:w="1715"/>
        <w:gridCol w:w="1831"/>
        <w:gridCol w:w="1286"/>
      </w:tblGrid>
      <w:tr w14:paraId="05BA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287" w:type="pct"/>
            <w:tcBorders>
              <w:top w:val="single" w:color="auto" w:sz="12" w:space="0"/>
              <w:left w:val="single" w:color="auto" w:sz="12" w:space="0"/>
            </w:tcBorders>
            <w:noWrap w:val="0"/>
            <w:vAlign w:val="center"/>
          </w:tcPr>
          <w:p w14:paraId="6892B042">
            <w:pPr>
              <w:spacing w:line="360" w:lineRule="atLeast"/>
              <w:jc w:val="center"/>
              <w:rPr>
                <w:rFonts w:ascii="黑体" w:hAnsi="黑体" w:eastAsia="黑体" w:cs="宋体"/>
                <w:b/>
                <w:color w:val="auto"/>
                <w:sz w:val="24"/>
                <w:highlight w:val="none"/>
              </w:rPr>
            </w:pPr>
            <w:r>
              <w:rPr>
                <w:rFonts w:hint="eastAsia" w:ascii="黑体" w:hAnsi="黑体" w:eastAsia="黑体" w:cs="宋体"/>
                <w:b/>
                <w:color w:val="auto"/>
                <w:sz w:val="24"/>
                <w:highlight w:val="none"/>
              </w:rPr>
              <w:t>序号</w:t>
            </w:r>
          </w:p>
        </w:tc>
        <w:tc>
          <w:tcPr>
            <w:tcW w:w="1308" w:type="pct"/>
            <w:tcBorders>
              <w:top w:val="single" w:color="auto" w:sz="12" w:space="0"/>
            </w:tcBorders>
            <w:noWrap w:val="0"/>
            <w:vAlign w:val="center"/>
          </w:tcPr>
          <w:p w14:paraId="15016699">
            <w:pPr>
              <w:spacing w:line="360" w:lineRule="atLeast"/>
              <w:jc w:val="center"/>
              <w:rPr>
                <w:rFonts w:ascii="黑体" w:hAnsi="黑体" w:eastAsia="黑体" w:cs="宋体"/>
                <w:b/>
                <w:color w:val="auto"/>
                <w:sz w:val="24"/>
                <w:highlight w:val="none"/>
              </w:rPr>
            </w:pPr>
            <w:r>
              <w:rPr>
                <w:rFonts w:hint="eastAsia" w:ascii="黑体" w:hAnsi="黑体" w:eastAsia="黑体" w:cs="宋体"/>
                <w:b/>
                <w:color w:val="auto"/>
                <w:sz w:val="24"/>
                <w:highlight w:val="none"/>
              </w:rPr>
              <w:t>服务项目</w:t>
            </w:r>
          </w:p>
        </w:tc>
        <w:tc>
          <w:tcPr>
            <w:tcW w:w="933" w:type="pct"/>
            <w:tcBorders>
              <w:top w:val="single" w:color="auto" w:sz="12" w:space="0"/>
              <w:right w:val="single" w:color="auto" w:sz="4" w:space="0"/>
            </w:tcBorders>
            <w:noWrap w:val="0"/>
            <w:vAlign w:val="center"/>
          </w:tcPr>
          <w:p w14:paraId="4BF46602">
            <w:pPr>
              <w:spacing w:line="360" w:lineRule="atLeast"/>
              <w:jc w:val="center"/>
              <w:rPr>
                <w:rFonts w:hint="default" w:ascii="黑体" w:hAnsi="黑体" w:eastAsia="黑体" w:cs="宋体"/>
                <w:b/>
                <w:color w:val="auto"/>
                <w:sz w:val="24"/>
                <w:highlight w:val="none"/>
                <w:lang w:val="en-US" w:eastAsia="zh-CN"/>
              </w:rPr>
            </w:pPr>
            <w:r>
              <w:rPr>
                <w:rFonts w:hint="eastAsia" w:ascii="黑体" w:hAnsi="黑体" w:eastAsia="黑体" w:cs="宋体"/>
                <w:b/>
                <w:color w:val="auto"/>
                <w:sz w:val="24"/>
                <w:highlight w:val="none"/>
                <w:lang w:val="en-US" w:eastAsia="zh-CN"/>
              </w:rPr>
              <w:t>预计人数</w:t>
            </w:r>
          </w:p>
        </w:tc>
        <w:tc>
          <w:tcPr>
            <w:tcW w:w="877" w:type="pct"/>
            <w:tcBorders>
              <w:top w:val="single" w:color="auto" w:sz="12" w:space="0"/>
              <w:left w:val="single" w:color="auto" w:sz="4" w:space="0"/>
            </w:tcBorders>
            <w:noWrap w:val="0"/>
            <w:vAlign w:val="center"/>
          </w:tcPr>
          <w:p w14:paraId="6A897641">
            <w:pPr>
              <w:spacing w:line="360" w:lineRule="atLeast"/>
              <w:jc w:val="center"/>
              <w:rPr>
                <w:rFonts w:hint="eastAsia" w:ascii="黑体" w:hAnsi="黑体" w:eastAsia="黑体" w:cs="宋体"/>
                <w:b/>
                <w:color w:val="auto"/>
                <w:kern w:val="2"/>
                <w:sz w:val="24"/>
                <w:szCs w:val="24"/>
                <w:highlight w:val="none"/>
                <w:lang w:val="en-US" w:eastAsia="zh-CN" w:bidi="ar-SA"/>
              </w:rPr>
            </w:pPr>
            <w:r>
              <w:rPr>
                <w:rFonts w:hint="eastAsia" w:ascii="黑体" w:hAnsi="黑体" w:eastAsia="黑体" w:cs="宋体"/>
                <w:b/>
                <w:color w:val="auto"/>
                <w:sz w:val="24"/>
                <w:highlight w:val="none"/>
                <w:lang w:val="en-US" w:eastAsia="zh-CN"/>
              </w:rPr>
              <w:t>单价</w:t>
            </w:r>
            <w:r>
              <w:rPr>
                <w:rFonts w:hint="eastAsia" w:ascii="黑体" w:hAnsi="黑体" w:eastAsia="黑体" w:cs="宋体"/>
                <w:b/>
                <w:color w:val="auto"/>
                <w:sz w:val="24"/>
                <w:highlight w:val="none"/>
              </w:rPr>
              <w:t>（元）</w:t>
            </w:r>
          </w:p>
        </w:tc>
        <w:tc>
          <w:tcPr>
            <w:tcW w:w="936" w:type="pct"/>
            <w:tcBorders>
              <w:top w:val="single" w:color="auto" w:sz="12" w:space="0"/>
              <w:right w:val="single" w:color="auto" w:sz="4" w:space="0"/>
            </w:tcBorders>
            <w:noWrap w:val="0"/>
            <w:vAlign w:val="center"/>
          </w:tcPr>
          <w:p w14:paraId="0BD43522">
            <w:pPr>
              <w:spacing w:line="360" w:lineRule="atLeast"/>
              <w:jc w:val="center"/>
              <w:rPr>
                <w:rFonts w:hint="default" w:ascii="黑体" w:hAnsi="黑体" w:eastAsia="黑体" w:cs="宋体"/>
                <w:b/>
                <w:color w:val="auto"/>
                <w:sz w:val="24"/>
                <w:highlight w:val="none"/>
                <w:lang w:val="en-US" w:eastAsia="zh-CN"/>
              </w:rPr>
            </w:pPr>
            <w:r>
              <w:rPr>
                <w:rFonts w:hint="eastAsia" w:ascii="黑体" w:hAnsi="黑体" w:eastAsia="黑体" w:cs="宋体"/>
                <w:b/>
                <w:color w:val="auto"/>
                <w:sz w:val="24"/>
                <w:highlight w:val="none"/>
                <w:lang w:val="en-US" w:eastAsia="zh-CN"/>
              </w:rPr>
              <w:t>总价（元）</w:t>
            </w:r>
          </w:p>
        </w:tc>
        <w:tc>
          <w:tcPr>
            <w:tcW w:w="656" w:type="pct"/>
            <w:tcBorders>
              <w:top w:val="single" w:color="auto" w:sz="12" w:space="0"/>
              <w:left w:val="single" w:color="auto" w:sz="4" w:space="0"/>
              <w:right w:val="single" w:color="auto" w:sz="12" w:space="0"/>
            </w:tcBorders>
            <w:noWrap w:val="0"/>
            <w:vAlign w:val="center"/>
          </w:tcPr>
          <w:p w14:paraId="516ABB92">
            <w:pPr>
              <w:spacing w:line="360" w:lineRule="atLeast"/>
              <w:jc w:val="center"/>
              <w:rPr>
                <w:rFonts w:hint="default" w:ascii="黑体" w:hAnsi="黑体" w:eastAsia="黑体" w:cs="宋体"/>
                <w:b/>
                <w:color w:val="auto"/>
                <w:kern w:val="2"/>
                <w:sz w:val="24"/>
                <w:szCs w:val="24"/>
                <w:highlight w:val="none"/>
                <w:lang w:val="en-US" w:eastAsia="zh-CN" w:bidi="ar-SA"/>
              </w:rPr>
            </w:pPr>
            <w:r>
              <w:rPr>
                <w:rFonts w:hint="eastAsia" w:ascii="黑体" w:hAnsi="黑体" w:eastAsia="黑体" w:cs="宋体"/>
                <w:b/>
                <w:color w:val="auto"/>
                <w:kern w:val="2"/>
                <w:sz w:val="24"/>
                <w:szCs w:val="24"/>
                <w:highlight w:val="none"/>
                <w:lang w:val="en-US" w:eastAsia="zh-CN" w:bidi="ar-SA"/>
              </w:rPr>
              <w:t>备注</w:t>
            </w:r>
          </w:p>
        </w:tc>
      </w:tr>
      <w:tr w14:paraId="70FF8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76" w:hRule="exact"/>
        </w:trPr>
        <w:tc>
          <w:tcPr>
            <w:tcW w:w="287" w:type="pct"/>
            <w:tcBorders>
              <w:left w:val="single" w:color="auto" w:sz="12" w:space="0"/>
            </w:tcBorders>
            <w:noWrap w:val="0"/>
            <w:vAlign w:val="center"/>
          </w:tcPr>
          <w:p w14:paraId="277DE157">
            <w:pPr>
              <w:spacing w:before="120" w:line="360" w:lineRule="atLeast"/>
              <w:jc w:val="center"/>
              <w:rPr>
                <w:rFonts w:ascii="黑体" w:hAnsi="黑体" w:eastAsia="黑体" w:cs="宋体"/>
                <w:b/>
                <w:color w:val="auto"/>
                <w:sz w:val="24"/>
                <w:highlight w:val="none"/>
              </w:rPr>
            </w:pPr>
            <w:r>
              <w:rPr>
                <w:rFonts w:hint="eastAsia" w:ascii="黑体" w:hAnsi="黑体" w:eastAsia="黑体" w:cs="宋体"/>
                <w:b/>
                <w:color w:val="auto"/>
                <w:sz w:val="24"/>
                <w:highlight w:val="none"/>
              </w:rPr>
              <w:t>1</w:t>
            </w:r>
          </w:p>
        </w:tc>
        <w:tc>
          <w:tcPr>
            <w:tcW w:w="1308" w:type="pct"/>
            <w:noWrap w:val="0"/>
            <w:vAlign w:val="center"/>
          </w:tcPr>
          <w:p w14:paraId="7BB1C815">
            <w:pPr>
              <w:spacing w:line="360" w:lineRule="atLeast"/>
              <w:jc w:val="center"/>
              <w:rPr>
                <w:rFonts w:hint="eastAsia" w:ascii="黑体" w:hAnsi="黑体" w:eastAsia="黑体" w:cs="宋体"/>
                <w:b/>
                <w:color w:val="auto"/>
                <w:sz w:val="24"/>
                <w:highlight w:val="none"/>
              </w:rPr>
            </w:pPr>
            <w:r>
              <w:rPr>
                <w:rFonts w:hint="eastAsia" w:ascii="黑体" w:hAnsi="黑体" w:eastAsia="黑体" w:cs="宋体"/>
                <w:b/>
                <w:color w:val="auto"/>
                <w:sz w:val="24"/>
                <w:highlight w:val="none"/>
              </w:rPr>
              <w:t>上海海事大学员工团体意外保险采购项目</w:t>
            </w:r>
          </w:p>
        </w:tc>
        <w:tc>
          <w:tcPr>
            <w:tcW w:w="933" w:type="pct"/>
            <w:tcBorders>
              <w:right w:val="single" w:color="auto" w:sz="4" w:space="0"/>
            </w:tcBorders>
            <w:noWrap w:val="0"/>
            <w:vAlign w:val="center"/>
          </w:tcPr>
          <w:p w14:paraId="6CE811F7">
            <w:pPr>
              <w:spacing w:line="360" w:lineRule="atLeast"/>
              <w:jc w:val="center"/>
              <w:rPr>
                <w:rFonts w:hint="default" w:ascii="黑体" w:hAnsi="黑体" w:eastAsia="黑体" w:cs="宋体"/>
                <w:b/>
                <w:color w:val="auto"/>
                <w:sz w:val="24"/>
                <w:highlight w:val="none"/>
                <w:lang w:val="en-US" w:eastAsia="zh-CN"/>
              </w:rPr>
            </w:pPr>
            <w:r>
              <w:rPr>
                <w:rFonts w:hint="eastAsia" w:ascii="黑体" w:hAnsi="黑体" w:eastAsia="黑体" w:cs="宋体"/>
                <w:b/>
                <w:color w:val="auto"/>
                <w:sz w:val="24"/>
                <w:highlight w:val="none"/>
                <w:lang w:val="en-US" w:eastAsia="zh-CN"/>
              </w:rPr>
              <w:t>2200人</w:t>
            </w:r>
          </w:p>
        </w:tc>
        <w:tc>
          <w:tcPr>
            <w:tcW w:w="877" w:type="pct"/>
            <w:tcBorders>
              <w:left w:val="single" w:color="auto" w:sz="4" w:space="0"/>
            </w:tcBorders>
            <w:noWrap w:val="0"/>
            <w:vAlign w:val="center"/>
          </w:tcPr>
          <w:p w14:paraId="73FA66CF">
            <w:pPr>
              <w:spacing w:line="360" w:lineRule="atLeast"/>
              <w:jc w:val="center"/>
              <w:rPr>
                <w:rFonts w:hint="eastAsia" w:ascii="黑体" w:hAnsi="黑体" w:eastAsia="黑体" w:cs="宋体"/>
                <w:b/>
                <w:color w:val="auto"/>
                <w:kern w:val="2"/>
                <w:sz w:val="24"/>
                <w:szCs w:val="24"/>
                <w:highlight w:val="none"/>
                <w:lang w:val="en-US" w:eastAsia="zh-CN" w:bidi="ar-SA"/>
              </w:rPr>
            </w:pPr>
            <w:r>
              <w:rPr>
                <w:rFonts w:hint="eastAsia" w:ascii="黑体" w:hAnsi="黑体" w:eastAsia="黑体" w:cs="宋体"/>
                <w:b/>
                <w:color w:val="auto"/>
                <w:sz w:val="24"/>
                <w:highlight w:val="none"/>
                <w:lang w:val="en-US" w:eastAsia="zh-CN"/>
              </w:rPr>
              <w:t>_______元/人</w:t>
            </w:r>
          </w:p>
        </w:tc>
        <w:tc>
          <w:tcPr>
            <w:tcW w:w="936" w:type="pct"/>
            <w:tcBorders>
              <w:right w:val="single" w:color="auto" w:sz="4" w:space="0"/>
            </w:tcBorders>
            <w:noWrap w:val="0"/>
            <w:vAlign w:val="center"/>
          </w:tcPr>
          <w:p w14:paraId="30519351">
            <w:pPr>
              <w:pStyle w:val="23"/>
              <w:numPr>
                <w:ilvl w:val="0"/>
                <w:numId w:val="0"/>
              </w:numPr>
              <w:ind w:leftChars="0"/>
              <w:jc w:val="center"/>
              <w:rPr>
                <w:rFonts w:hint="default" w:ascii="黑体" w:hAnsi="黑体" w:eastAsia="黑体" w:cs="宋体"/>
                <w:b/>
                <w:color w:val="auto"/>
                <w:highlight w:val="none"/>
                <w:lang w:val="en-US" w:eastAsia="zh-CN"/>
              </w:rPr>
            </w:pPr>
          </w:p>
        </w:tc>
        <w:tc>
          <w:tcPr>
            <w:tcW w:w="656" w:type="pct"/>
            <w:tcBorders>
              <w:left w:val="single" w:color="auto" w:sz="4" w:space="0"/>
              <w:right w:val="single" w:color="auto" w:sz="12" w:space="0"/>
            </w:tcBorders>
            <w:noWrap w:val="0"/>
            <w:vAlign w:val="center"/>
          </w:tcPr>
          <w:p w14:paraId="0892FA2A">
            <w:pPr>
              <w:pStyle w:val="23"/>
              <w:numPr>
                <w:ilvl w:val="0"/>
                <w:numId w:val="0"/>
              </w:numPr>
              <w:ind w:left="0" w:leftChars="0" w:firstLine="0" w:firstLineChars="0"/>
              <w:jc w:val="center"/>
              <w:rPr>
                <w:rFonts w:hint="eastAsia" w:ascii="黑体" w:hAnsi="黑体" w:eastAsia="黑体" w:cs="宋体"/>
                <w:b/>
                <w:color w:val="auto"/>
                <w:kern w:val="2"/>
                <w:sz w:val="21"/>
                <w:szCs w:val="24"/>
                <w:highlight w:val="none"/>
                <w:lang w:val="en-US" w:eastAsia="zh-CN" w:bidi="ar-SA"/>
              </w:rPr>
            </w:pPr>
          </w:p>
        </w:tc>
      </w:tr>
      <w:tr w14:paraId="6437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1596" w:type="pct"/>
            <w:gridSpan w:val="2"/>
            <w:tcBorders>
              <w:left w:val="single" w:color="auto" w:sz="12" w:space="0"/>
              <w:bottom w:val="single" w:color="auto" w:sz="12" w:space="0"/>
              <w:right w:val="single" w:color="auto" w:sz="4" w:space="0"/>
            </w:tcBorders>
            <w:noWrap w:val="0"/>
            <w:vAlign w:val="center"/>
          </w:tcPr>
          <w:p w14:paraId="6BFFA368">
            <w:pPr>
              <w:spacing w:before="120" w:line="360" w:lineRule="atLeast"/>
              <w:jc w:val="center"/>
              <w:rPr>
                <w:rFonts w:ascii="黑体" w:hAnsi="黑体" w:eastAsia="黑体" w:cs="宋体"/>
                <w:b/>
                <w:color w:val="auto"/>
                <w:sz w:val="24"/>
                <w:highlight w:val="none"/>
              </w:rPr>
            </w:pPr>
            <w:r>
              <w:rPr>
                <w:rFonts w:hint="eastAsia" w:ascii="黑体" w:hAnsi="黑体" w:eastAsia="黑体" w:cs="宋体"/>
                <w:b/>
                <w:color w:val="auto"/>
                <w:sz w:val="24"/>
                <w:highlight w:val="none"/>
              </w:rPr>
              <w:t>合计金额（人民币）</w:t>
            </w:r>
          </w:p>
        </w:tc>
        <w:tc>
          <w:tcPr>
            <w:tcW w:w="3403" w:type="pct"/>
            <w:gridSpan w:val="4"/>
            <w:tcBorders>
              <w:left w:val="single" w:color="auto" w:sz="4" w:space="0"/>
              <w:bottom w:val="single" w:color="auto" w:sz="12" w:space="0"/>
              <w:right w:val="single" w:color="auto" w:sz="12" w:space="0"/>
            </w:tcBorders>
            <w:noWrap w:val="0"/>
            <w:vAlign w:val="center"/>
          </w:tcPr>
          <w:p w14:paraId="58D0FFE4">
            <w:pPr>
              <w:spacing w:before="120" w:line="360" w:lineRule="atLeast"/>
              <w:ind w:left="647"/>
              <w:rPr>
                <w:rFonts w:hint="eastAsia" w:ascii="黑体" w:hAnsi="黑体" w:eastAsia="黑体" w:cs="宋体"/>
                <w:b/>
                <w:color w:val="auto"/>
                <w:sz w:val="24"/>
                <w:highlight w:val="none"/>
              </w:rPr>
            </w:pPr>
            <w:r>
              <w:rPr>
                <w:rFonts w:hint="eastAsia" w:ascii="黑体" w:hAnsi="黑体" w:eastAsia="黑体" w:cs="宋体"/>
                <w:b/>
                <w:color w:val="auto"/>
                <w:sz w:val="24"/>
                <w:highlight w:val="none"/>
              </w:rPr>
              <w:t>￥           （大写）：</w:t>
            </w:r>
          </w:p>
        </w:tc>
      </w:tr>
    </w:tbl>
    <w:p w14:paraId="6652B7B0">
      <w:pPr>
        <w:spacing w:line="440" w:lineRule="exact"/>
        <w:rPr>
          <w:rFonts w:ascii="黑体" w:hAnsi="华文楷体" w:eastAsia="黑体"/>
          <w:color w:val="auto"/>
          <w:sz w:val="24"/>
          <w:highlight w:val="none"/>
        </w:rPr>
      </w:pPr>
    </w:p>
    <w:p w14:paraId="2983B437">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D1E3BE6">
      <w:pPr>
        <w:spacing w:line="440" w:lineRule="exact"/>
        <w:rPr>
          <w:rFonts w:hint="eastAsia" w:ascii="黑体" w:hAnsi="华文楷体" w:eastAsia="黑体"/>
          <w:color w:val="auto"/>
          <w:sz w:val="24"/>
          <w:highlight w:val="none"/>
        </w:rPr>
      </w:pPr>
    </w:p>
    <w:p w14:paraId="0AB850DE">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2BC4FDED">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8CF93AD">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020FDD5C">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71A36308">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做如下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09B2690C">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2D04C0D2">
      <w:pPr>
        <w:pStyle w:val="6"/>
        <w:rPr>
          <w:rFonts w:hint="default" w:ascii="方正兰亭黑简体" w:hAnsi="方正兰亭黑简体" w:eastAsia="方正兰亭黑简体" w:cs="方正兰亭黑简体"/>
          <w:color w:val="auto"/>
          <w:sz w:val="22"/>
          <w:szCs w:val="28"/>
          <w:highlight w:val="none"/>
          <w:lang w:val="en-US" w:eastAsia="zh-CN"/>
        </w:rPr>
      </w:pPr>
    </w:p>
    <w:p w14:paraId="3F5F1DB4">
      <w:pPr>
        <w:pStyle w:val="6"/>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67BD576D">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64950263">
      <w:pPr>
        <w:pStyle w:val="5"/>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B07932C">
      <w:pPr>
        <w:pStyle w:val="5"/>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2B48E574">
      <w:pPr>
        <w:pStyle w:val="5"/>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kern w:val="2"/>
          <w:sz w:val="22"/>
          <w:szCs w:val="28"/>
          <w:highlight w:val="none"/>
          <w:lang w:val="en-US" w:eastAsia="zh-CN" w:bidi="ar-SA"/>
        </w:rPr>
        <w:t>、项目</w:t>
      </w:r>
      <w:r>
        <w:rPr>
          <w:rFonts w:hint="eastAsia" w:ascii="方正兰亭黑简体" w:hAnsi="方正兰亭黑简体" w:eastAsia="方正兰亭黑简体" w:cs="方正兰亭黑简体"/>
          <w:color w:val="auto"/>
          <w:sz w:val="22"/>
          <w:szCs w:val="28"/>
          <w:highlight w:val="none"/>
          <w:lang w:val="en-US" w:eastAsia="zh-CN"/>
        </w:rPr>
        <w:t>服务方案（产品介绍）及实施计划</w:t>
      </w:r>
    </w:p>
    <w:p w14:paraId="0492334C">
      <w:pPr>
        <w:pStyle w:val="5"/>
        <w:numPr>
          <w:ilvl w:val="0"/>
          <w:numId w:val="0"/>
        </w:numPr>
        <w:ind w:left="0" w:leftChars="0" w:firstLine="0" w:firstLineChars="0"/>
        <w:rPr>
          <w:rFonts w:hint="eastAsia" w:ascii="方正兰亭黑简体" w:hAnsi="方正兰亭黑简体" w:eastAsia="方正兰亭黑简体" w:cs="方正兰亭黑简体"/>
          <w:color w:val="auto"/>
          <w:kern w:val="2"/>
          <w:sz w:val="22"/>
          <w:szCs w:val="28"/>
          <w:highlight w:val="none"/>
          <w:lang w:val="en-US" w:eastAsia="zh-CN" w:bidi="ar-SA"/>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kern w:val="2"/>
          <w:sz w:val="22"/>
          <w:szCs w:val="28"/>
          <w:highlight w:val="none"/>
          <w:lang w:val="en-US" w:eastAsia="zh-CN" w:bidi="ar-SA"/>
        </w:rPr>
        <w:t>服务团队介绍</w:t>
      </w:r>
    </w:p>
    <w:p w14:paraId="5856E4F7">
      <w:pPr>
        <w:pStyle w:val="5"/>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服务保障承诺</w:t>
      </w:r>
    </w:p>
    <w:p w14:paraId="0E222C46">
      <w:pPr>
        <w:pStyle w:val="5"/>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5</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业绩案例</w:t>
      </w:r>
    </w:p>
    <w:p w14:paraId="575220FA">
      <w:pPr>
        <w:pStyle w:val="5"/>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523245-34DC-4690-A0F8-24DA4E0FB5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7A0EAFA-6C59-487B-95FF-4884DC897884}"/>
  </w:font>
  <w:font w:name="仿宋">
    <w:panose1 w:val="02010609060101010101"/>
    <w:charset w:val="86"/>
    <w:family w:val="modern"/>
    <w:pitch w:val="default"/>
    <w:sig w:usb0="800002BF" w:usb1="38CF7CFA" w:usb2="00000016" w:usb3="00000000" w:csb0="00040001" w:csb1="00000000"/>
    <w:embedRegular r:id="rId3" w:fontKey="{AEBB96DC-B0E0-46E9-AA13-8B10BD74E4EC}"/>
  </w:font>
  <w:font w:name="方正兰亭黑简体">
    <w:panose1 w:val="02000000000000000000"/>
    <w:charset w:val="86"/>
    <w:family w:val="auto"/>
    <w:pitch w:val="default"/>
    <w:sig w:usb0="A00002BF" w:usb1="184F6CFA" w:usb2="00000012" w:usb3="00000000" w:csb0="00040001" w:csb1="00000000"/>
    <w:embedRegular r:id="rId4" w:fontKey="{18B0AB99-0F9A-4DEF-9152-AD35241A4617}"/>
  </w:font>
  <w:font w:name="华文楷体">
    <w:panose1 w:val="02010600040101010101"/>
    <w:charset w:val="86"/>
    <w:family w:val="auto"/>
    <w:pitch w:val="default"/>
    <w:sig w:usb0="A00002BF" w:usb1="78CF7CFB" w:usb2="00000016" w:usb3="00000000" w:csb0="6006009F" w:csb1="DFD70000"/>
    <w:embedRegular r:id="rId5" w:fontKey="{559B7135-B19D-423B-986F-97DD93AD4E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4514893"/>
    <w:rsid w:val="13353790"/>
    <w:rsid w:val="157E6317"/>
    <w:rsid w:val="19F06820"/>
    <w:rsid w:val="1A3D4B0D"/>
    <w:rsid w:val="1E596D71"/>
    <w:rsid w:val="24050543"/>
    <w:rsid w:val="269F2B16"/>
    <w:rsid w:val="2FB07FD7"/>
    <w:rsid w:val="33B3033B"/>
    <w:rsid w:val="35906085"/>
    <w:rsid w:val="3A1D711C"/>
    <w:rsid w:val="3A9852E0"/>
    <w:rsid w:val="3D6469F5"/>
    <w:rsid w:val="3FCC680A"/>
    <w:rsid w:val="3FDF48A5"/>
    <w:rsid w:val="40115E5B"/>
    <w:rsid w:val="40134FEB"/>
    <w:rsid w:val="40315BDA"/>
    <w:rsid w:val="41007DAA"/>
    <w:rsid w:val="438704B0"/>
    <w:rsid w:val="480A63EB"/>
    <w:rsid w:val="487158D1"/>
    <w:rsid w:val="488E3B06"/>
    <w:rsid w:val="4C44002E"/>
    <w:rsid w:val="4CCA439B"/>
    <w:rsid w:val="4EFD134C"/>
    <w:rsid w:val="543D6D6A"/>
    <w:rsid w:val="58C4549A"/>
    <w:rsid w:val="5AEA704B"/>
    <w:rsid w:val="5DF2219B"/>
    <w:rsid w:val="5E8720EC"/>
    <w:rsid w:val="5EE9209B"/>
    <w:rsid w:val="5F44384A"/>
    <w:rsid w:val="60BF2A71"/>
    <w:rsid w:val="625F00C1"/>
    <w:rsid w:val="66E533C4"/>
    <w:rsid w:val="681A51E0"/>
    <w:rsid w:val="695E3370"/>
    <w:rsid w:val="699D5EE7"/>
    <w:rsid w:val="6B99520C"/>
    <w:rsid w:val="7A8C310D"/>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adjustRightInd w:val="0"/>
      <w:ind w:firstLine="562"/>
      <w:outlineLvl w:val="1"/>
    </w:pPr>
    <w:rPr>
      <w:rFonts w:asciiTheme="majorHAnsi" w:hAnsiTheme="majorHAnsi" w:cstheme="majorBidi"/>
      <w:b/>
      <w:bCs/>
      <w:sz w:val="28"/>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szCs w:val="20"/>
    </w:rPr>
  </w:style>
  <w:style w:type="paragraph" w:styleId="4">
    <w:name w:val="Body Text"/>
    <w:basedOn w:val="1"/>
    <w:next w:val="1"/>
    <w:qFormat/>
    <w:uiPriority w:val="0"/>
    <w:pPr>
      <w:spacing w:after="120"/>
    </w:pPr>
  </w:style>
  <w:style w:type="paragraph" w:styleId="5">
    <w:name w:val="Body Text Indent"/>
    <w:basedOn w:val="1"/>
    <w:qFormat/>
    <w:uiPriority w:val="0"/>
    <w:pPr>
      <w:ind w:left="420" w:leftChars="200"/>
    </w:pPr>
  </w:style>
  <w:style w:type="paragraph" w:styleId="6">
    <w:name w:val="Plain Text"/>
    <w:basedOn w:val="1"/>
    <w:qFormat/>
    <w:uiPriority w:val="0"/>
    <w:rPr>
      <w:rFonts w:ascii="宋体" w:hAnsi="Courier New"/>
    </w:rPr>
  </w:style>
  <w:style w:type="paragraph" w:styleId="7">
    <w:name w:val="Body Text Indent 2"/>
    <w:basedOn w:val="1"/>
    <w:unhideWhenUsed/>
    <w:qFormat/>
    <w:uiPriority w:val="0"/>
    <w:pPr>
      <w:ind w:firstLine="540"/>
    </w:pPr>
    <w:rPr>
      <w:rFonts w:ascii="Calibri" w:hAnsi="Calibri"/>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Body Text 2"/>
    <w:basedOn w:val="1"/>
    <w:qFormat/>
    <w:uiPriority w:val="0"/>
    <w:pPr>
      <w:spacing w:after="120" w:line="480" w:lineRule="auto"/>
    </w:pPr>
    <w:rPr>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qFormat/>
    <w:uiPriority w:val="0"/>
    <w:pPr>
      <w:widowControl/>
      <w:spacing w:after="120"/>
      <w:ind w:firstLine="420" w:firstLineChars="100"/>
      <w:jc w:val="left"/>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basedOn w:val="17"/>
    <w:unhideWhenUsed/>
    <w:qFormat/>
    <w:uiPriority w:val="99"/>
    <w:rPr>
      <w:color w:val="0000FF"/>
      <w:u w:val="single"/>
    </w:rPr>
  </w:style>
  <w:style w:type="paragraph" w:customStyle="1" w:styleId="20">
    <w:name w:val="列表段落1"/>
    <w:basedOn w:val="1"/>
    <w:qFormat/>
    <w:uiPriority w:val="0"/>
    <w:pPr>
      <w:ind w:firstLine="420" w:firstLineChars="200"/>
    </w:pPr>
  </w:style>
  <w:style w:type="paragraph" w:customStyle="1" w:styleId="21">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2">
    <w:name w:val="15"/>
    <w:basedOn w:val="17"/>
    <w:qFormat/>
    <w:uiPriority w:val="0"/>
    <w:rPr>
      <w:rFonts w:hint="default" w:ascii="Calibri" w:hAnsi="Calibri" w:cs="Calibri"/>
      <w:b/>
      <w:bCs/>
    </w:rPr>
  </w:style>
  <w:style w:type="paragraph" w:styleId="23">
    <w:name w:val="List Paragraph"/>
    <w:basedOn w:val="1"/>
    <w:qFormat/>
    <w:uiPriority w:val="34"/>
    <w:pPr>
      <w:ind w:left="720"/>
      <w:contextualSpacing/>
    </w:p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表格正文内容"/>
    <w:basedOn w:val="1"/>
    <w:next w:val="1"/>
    <w:autoRedefine/>
    <w:qFormat/>
    <w:uiPriority w:val="0"/>
    <w:pPr>
      <w:widowControl/>
      <w:spacing w:line="360" w:lineRule="exact"/>
      <w:jc w:val="left"/>
    </w:pPr>
    <w:rPr>
      <w:rFonts w:ascii="方正楷体_GB2312" w:hAnsi="方正小标宋简体" w:eastAsia="方正仿宋_GB2312" w:cs="仿宋"/>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2359</Words>
  <Characters>2566</Characters>
  <Lines>0</Lines>
  <Paragraphs>0</Paragraphs>
  <TotalTime>52</TotalTime>
  <ScaleCrop>false</ScaleCrop>
  <LinksUpToDate>false</LinksUpToDate>
  <CharactersWithSpaces>2770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2025-12-09T06:50:47Z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