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EFC" w:rsidRPr="00BC55D7" w:rsidRDefault="00C66AAE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BC55D7">
        <w:rPr>
          <w:rFonts w:ascii="微软雅黑" w:eastAsia="微软雅黑" w:hAnsi="微软雅黑" w:hint="eastAsia"/>
          <w:b/>
          <w:sz w:val="28"/>
          <w:szCs w:val="28"/>
        </w:rPr>
        <w:t>防雷检测招标要求</w:t>
      </w:r>
    </w:p>
    <w:p w:rsidR="00B67EFC" w:rsidRPr="00BC55D7" w:rsidRDefault="00C66AAE">
      <w:pPr>
        <w:numPr>
          <w:ilvl w:val="0"/>
          <w:numId w:val="1"/>
        </w:numPr>
        <w:rPr>
          <w:rFonts w:ascii="微软雅黑" w:eastAsia="微软雅黑" w:hAnsi="微软雅黑"/>
        </w:rPr>
      </w:pPr>
      <w:r w:rsidRPr="00BC55D7">
        <w:rPr>
          <w:rFonts w:ascii="微软雅黑" w:eastAsia="微软雅黑" w:hAnsi="微软雅黑" w:hint="eastAsia"/>
        </w:rPr>
        <w:t>项目简介</w:t>
      </w:r>
    </w:p>
    <w:p w:rsidR="00B67EFC" w:rsidRPr="00BC55D7" w:rsidRDefault="00C66AAE">
      <w:pPr>
        <w:rPr>
          <w:rFonts w:ascii="微软雅黑" w:eastAsia="微软雅黑" w:hAnsi="微软雅黑"/>
        </w:rPr>
      </w:pPr>
      <w:r w:rsidRPr="00BC55D7">
        <w:rPr>
          <w:rFonts w:ascii="微软雅黑" w:eastAsia="微软雅黑" w:hAnsi="微软雅黑" w:hint="eastAsia"/>
        </w:rPr>
        <w:t>为了切实执行《中华人民共和国气象</w:t>
      </w:r>
      <w:r w:rsidRPr="00BC55D7">
        <w:rPr>
          <w:rFonts w:ascii="微软雅黑" w:eastAsia="微软雅黑" w:hAnsi="微软雅黑"/>
        </w:rPr>
        <w:t>法》</w:t>
      </w:r>
      <w:r w:rsidRPr="00BC55D7">
        <w:rPr>
          <w:rFonts w:ascii="微软雅黑" w:eastAsia="微软雅黑" w:hAnsi="微软雅黑" w:hint="eastAsia"/>
        </w:rPr>
        <w:t>和《</w:t>
      </w:r>
      <w:r w:rsidRPr="00BC55D7">
        <w:rPr>
          <w:rFonts w:ascii="微软雅黑" w:eastAsia="微软雅黑" w:hAnsi="微软雅黑"/>
        </w:rPr>
        <w:t>防雷减灾管理办法》</w:t>
      </w:r>
      <w:r w:rsidRPr="00BC55D7">
        <w:rPr>
          <w:rFonts w:ascii="微软雅黑" w:eastAsia="微软雅黑" w:hAnsi="微软雅黑" w:hint="eastAsia"/>
        </w:rPr>
        <w:t>，有效提高我校防雷防灾能力，完善防雷防灾档案建设，特开展此项目。</w:t>
      </w:r>
    </w:p>
    <w:p w:rsidR="00B67EFC" w:rsidRPr="00BC55D7" w:rsidRDefault="00C66AAE">
      <w:pPr>
        <w:rPr>
          <w:rFonts w:ascii="微软雅黑" w:eastAsia="微软雅黑" w:hAnsi="微软雅黑"/>
        </w:rPr>
      </w:pPr>
      <w:r w:rsidRPr="00BC55D7">
        <w:rPr>
          <w:rFonts w:ascii="微软雅黑" w:eastAsia="微软雅黑" w:hAnsi="微软雅黑" w:hint="eastAsia"/>
        </w:rPr>
        <w:t>二．投标人资质要求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</w:t>
      </w:r>
      <w:r w:rsidRPr="00BC55D7">
        <w:rPr>
          <w:rFonts w:ascii="微软雅黑" w:eastAsia="微软雅黑" w:hAnsi="微软雅黑"/>
          <w:sz w:val="24"/>
          <w:szCs w:val="24"/>
        </w:rPr>
        <w:t>在中华人民共和国境内注册，具有独立法人资格的防雷设施</w:t>
      </w:r>
      <w:r w:rsidRPr="00BC55D7">
        <w:rPr>
          <w:rFonts w:ascii="微软雅黑" w:eastAsia="微软雅黑" w:hAnsi="微软雅黑" w:hint="eastAsia"/>
          <w:sz w:val="24"/>
          <w:szCs w:val="24"/>
        </w:rPr>
        <w:t>检验</w:t>
      </w:r>
      <w:r w:rsidRPr="00BC55D7">
        <w:rPr>
          <w:rFonts w:ascii="微软雅黑" w:eastAsia="微软雅黑" w:hAnsi="微软雅黑"/>
          <w:sz w:val="24"/>
          <w:szCs w:val="24"/>
        </w:rPr>
        <w:t>检测机构；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2.</w:t>
      </w:r>
      <w:r w:rsidRPr="00BC55D7">
        <w:rPr>
          <w:rFonts w:ascii="微软雅黑" w:eastAsia="微软雅黑" w:hAnsi="微软雅黑"/>
          <w:sz w:val="24"/>
          <w:szCs w:val="24"/>
        </w:rPr>
        <w:t>投标单位必须是已在气象局报备的具有防雷检测资质的单位</w:t>
      </w:r>
      <w:r w:rsidRPr="00BC55D7">
        <w:rPr>
          <w:rFonts w:ascii="微软雅黑" w:eastAsia="微软雅黑" w:hAnsi="微软雅黑" w:hint="eastAsia"/>
          <w:sz w:val="24"/>
          <w:szCs w:val="24"/>
        </w:rPr>
        <w:t>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3.</w:t>
      </w:r>
      <w:r w:rsidRPr="00BC55D7">
        <w:rPr>
          <w:rFonts w:ascii="微软雅黑" w:eastAsia="微软雅黑" w:hAnsi="微软雅黑" w:hint="eastAsia"/>
          <w:sz w:val="24"/>
          <w:szCs w:val="24"/>
        </w:rPr>
        <w:t>持有</w:t>
      </w:r>
      <w:r w:rsidRPr="00BC55D7">
        <w:rPr>
          <w:rFonts w:ascii="微软雅黑" w:eastAsia="微软雅黑" w:hAnsi="微软雅黑" w:hint="eastAsia"/>
          <w:sz w:val="24"/>
          <w:szCs w:val="24"/>
        </w:rPr>
        <w:t>省级</w:t>
      </w:r>
      <w:r w:rsidRPr="00BC55D7">
        <w:rPr>
          <w:rFonts w:ascii="微软雅黑" w:eastAsia="微软雅黑" w:hAnsi="微软雅黑"/>
          <w:sz w:val="24"/>
          <w:szCs w:val="24"/>
        </w:rPr>
        <w:t>气象局认证的防雷装置检测</w:t>
      </w:r>
      <w:r w:rsidRPr="00BC55D7">
        <w:rPr>
          <w:rFonts w:ascii="微软雅黑" w:eastAsia="微软雅黑" w:hAnsi="微软雅黑" w:hint="eastAsia"/>
          <w:sz w:val="24"/>
          <w:szCs w:val="24"/>
        </w:rPr>
        <w:t>乙级及以上</w:t>
      </w:r>
      <w:r w:rsidRPr="00BC55D7">
        <w:rPr>
          <w:rFonts w:ascii="微软雅黑" w:eastAsia="微软雅黑" w:hAnsi="微软雅黑"/>
          <w:sz w:val="24"/>
          <w:szCs w:val="24"/>
        </w:rPr>
        <w:t>检测资质</w:t>
      </w:r>
      <w:r w:rsidRPr="00BC55D7">
        <w:rPr>
          <w:rFonts w:ascii="微软雅黑" w:eastAsia="微软雅黑" w:hAnsi="微软雅黑" w:hint="eastAsia"/>
          <w:sz w:val="24"/>
          <w:szCs w:val="24"/>
        </w:rPr>
        <w:t>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4.</w:t>
      </w:r>
      <w:r w:rsidRPr="00BC55D7">
        <w:rPr>
          <w:rFonts w:ascii="微软雅黑" w:eastAsia="微软雅黑" w:hAnsi="微软雅黑" w:hint="eastAsia"/>
          <w:sz w:val="24"/>
          <w:szCs w:val="24"/>
        </w:rPr>
        <w:t>持有</w:t>
      </w:r>
      <w:r w:rsidRPr="00BC55D7">
        <w:rPr>
          <w:rFonts w:ascii="微软雅黑" w:eastAsia="微软雅黑" w:hAnsi="微软雅黑"/>
          <w:sz w:val="24"/>
          <w:szCs w:val="24"/>
        </w:rPr>
        <w:t>省级质量技术监督局颁发的检验检测机构资质认定证书</w:t>
      </w:r>
      <w:r w:rsidRPr="00BC55D7">
        <w:rPr>
          <w:rFonts w:ascii="微软雅黑" w:eastAsia="微软雅黑" w:hAnsi="微软雅黑" w:hint="eastAsia"/>
          <w:sz w:val="24"/>
          <w:szCs w:val="24"/>
        </w:rPr>
        <w:t>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5.</w:t>
      </w:r>
      <w:r w:rsidRPr="00BC55D7">
        <w:rPr>
          <w:rFonts w:ascii="微软雅黑" w:eastAsia="微软雅黑" w:hAnsi="微软雅黑"/>
          <w:sz w:val="24"/>
          <w:szCs w:val="24"/>
        </w:rPr>
        <w:t>具有同类或类似</w:t>
      </w:r>
      <w:r w:rsidRPr="00BC55D7">
        <w:rPr>
          <w:rFonts w:ascii="微软雅黑" w:eastAsia="微软雅黑" w:hAnsi="微软雅黑" w:hint="eastAsia"/>
          <w:sz w:val="24"/>
          <w:szCs w:val="24"/>
        </w:rPr>
        <w:t>建筑物</w:t>
      </w:r>
      <w:r w:rsidRPr="00BC55D7">
        <w:rPr>
          <w:rFonts w:ascii="微软雅黑" w:eastAsia="微软雅黑" w:hAnsi="微软雅黑"/>
          <w:sz w:val="24"/>
          <w:szCs w:val="24"/>
        </w:rPr>
        <w:t>检测经验（以合同或业主证明文件为准）；</w:t>
      </w:r>
    </w:p>
    <w:p w:rsidR="00B67EFC" w:rsidRPr="00BC55D7" w:rsidRDefault="00C66AAE">
      <w:pPr>
        <w:rPr>
          <w:rFonts w:ascii="微软雅黑" w:eastAsia="微软雅黑" w:hAnsi="微软雅黑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6.</w:t>
      </w:r>
      <w:r w:rsidRPr="00BC55D7">
        <w:rPr>
          <w:rFonts w:ascii="微软雅黑" w:eastAsia="微软雅黑" w:hAnsi="微软雅黑" w:hint="eastAsia"/>
          <w:sz w:val="24"/>
          <w:szCs w:val="24"/>
        </w:rPr>
        <w:t>本项目不接受联合体投标。</w:t>
      </w:r>
    </w:p>
    <w:p w:rsidR="00B67EFC" w:rsidRPr="00BC55D7" w:rsidRDefault="00C66AAE">
      <w:pPr>
        <w:rPr>
          <w:rFonts w:ascii="微软雅黑" w:eastAsia="微软雅黑" w:hAnsi="微软雅黑"/>
        </w:rPr>
      </w:pPr>
      <w:r w:rsidRPr="00BC55D7">
        <w:rPr>
          <w:rFonts w:ascii="微软雅黑" w:eastAsia="微软雅黑" w:hAnsi="微软雅黑" w:hint="eastAsia"/>
        </w:rPr>
        <w:t>三．标准及依据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</w:t>
      </w:r>
      <w:r w:rsidRPr="00BC55D7">
        <w:rPr>
          <w:rFonts w:ascii="微软雅黑" w:eastAsia="微软雅黑" w:hAnsi="微软雅黑" w:hint="eastAsia"/>
          <w:sz w:val="24"/>
          <w:szCs w:val="24"/>
        </w:rPr>
        <w:t>GB 50343-2012</w:t>
      </w:r>
      <w:r w:rsidRPr="00BC55D7">
        <w:rPr>
          <w:rFonts w:ascii="微软雅黑" w:eastAsia="微软雅黑" w:hAnsi="微软雅黑" w:hint="eastAsia"/>
          <w:sz w:val="24"/>
          <w:szCs w:val="24"/>
        </w:rPr>
        <w:t>《</w:t>
      </w:r>
      <w:hyperlink r:id="rId7" w:history="1">
        <w:r w:rsidRPr="00BC55D7">
          <w:rPr>
            <w:rFonts w:ascii="微软雅黑" w:eastAsia="微软雅黑" w:hAnsi="微软雅黑" w:hint="eastAsia"/>
            <w:sz w:val="24"/>
            <w:szCs w:val="24"/>
          </w:rPr>
          <w:t>建筑物电子信息系统防雷技术规范</w:t>
        </w:r>
      </w:hyperlink>
      <w:r w:rsidRPr="00BC55D7">
        <w:rPr>
          <w:rFonts w:ascii="微软雅黑" w:eastAsia="微软雅黑" w:hAnsi="微软雅黑" w:hint="eastAsia"/>
          <w:sz w:val="24"/>
          <w:szCs w:val="24"/>
        </w:rPr>
        <w:t>》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2.</w:t>
      </w:r>
      <w:r w:rsidRPr="00BC55D7">
        <w:rPr>
          <w:rFonts w:ascii="微软雅黑" w:eastAsia="微软雅黑" w:hAnsi="微软雅黑" w:hint="eastAsia"/>
          <w:sz w:val="24"/>
          <w:szCs w:val="24"/>
        </w:rPr>
        <w:t>GB 50601-2010</w:t>
      </w:r>
      <w:r w:rsidRPr="00BC55D7">
        <w:rPr>
          <w:rFonts w:ascii="微软雅黑" w:eastAsia="微软雅黑" w:hAnsi="微软雅黑" w:hint="eastAsia"/>
          <w:sz w:val="24"/>
          <w:szCs w:val="24"/>
        </w:rPr>
        <w:t>《建筑物防雷工程施工与质量验收规范》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3.</w:t>
      </w:r>
      <w:r w:rsidRPr="00BC55D7">
        <w:rPr>
          <w:rFonts w:ascii="微软雅黑" w:eastAsia="微软雅黑" w:hAnsi="微软雅黑" w:hint="eastAsia"/>
          <w:sz w:val="24"/>
          <w:szCs w:val="24"/>
        </w:rPr>
        <w:t>DB31/T 389-2015</w:t>
      </w:r>
      <w:r w:rsidRPr="00BC55D7">
        <w:rPr>
          <w:rFonts w:ascii="微软雅黑" w:eastAsia="微软雅黑" w:hAnsi="微软雅黑" w:hint="eastAsia"/>
          <w:sz w:val="24"/>
          <w:szCs w:val="24"/>
        </w:rPr>
        <w:t>《防雷装置安全检测技术规范》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4.</w:t>
      </w:r>
      <w:r w:rsidRPr="00BC55D7">
        <w:rPr>
          <w:rFonts w:ascii="微软雅黑" w:eastAsia="微软雅黑" w:hAnsi="微软雅黑" w:hint="eastAsia"/>
          <w:sz w:val="24"/>
          <w:szCs w:val="24"/>
        </w:rPr>
        <w:t>GB/T 21714-2015</w:t>
      </w:r>
      <w:r w:rsidRPr="00BC55D7">
        <w:rPr>
          <w:rFonts w:ascii="微软雅黑" w:eastAsia="微软雅黑" w:hAnsi="微软雅黑" w:hint="eastAsia"/>
          <w:sz w:val="24"/>
          <w:szCs w:val="24"/>
        </w:rPr>
        <w:t>《雷电防护》系列标准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四．项目内容及要求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</w:t>
      </w:r>
      <w:r w:rsidRPr="00BC55D7">
        <w:rPr>
          <w:rFonts w:ascii="微软雅黑" w:eastAsia="微软雅黑" w:hAnsi="微软雅黑" w:hint="eastAsia"/>
          <w:sz w:val="24"/>
          <w:szCs w:val="24"/>
        </w:rPr>
        <w:t>按照相关国家规定及标准对本校共</w:t>
      </w:r>
      <w:r w:rsidRPr="00BC55D7">
        <w:rPr>
          <w:rFonts w:ascii="微软雅黑" w:eastAsia="微软雅黑" w:hAnsi="微软雅黑" w:hint="eastAsia"/>
          <w:sz w:val="24"/>
          <w:szCs w:val="24"/>
        </w:rPr>
        <w:t>50</w:t>
      </w:r>
      <w:r w:rsidRPr="00BC55D7">
        <w:rPr>
          <w:rFonts w:ascii="微软雅黑" w:eastAsia="微软雅黑" w:hAnsi="微软雅黑" w:hint="eastAsia"/>
          <w:sz w:val="24"/>
          <w:szCs w:val="24"/>
        </w:rPr>
        <w:t>个建筑物的防雷设备开展下列检测：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1.1</w:t>
      </w:r>
      <w:r w:rsidRPr="00BC55D7">
        <w:rPr>
          <w:rFonts w:ascii="微软雅黑" w:eastAsia="微软雅黑" w:hAnsi="微软雅黑" w:hint="eastAsia"/>
          <w:sz w:val="24"/>
          <w:szCs w:val="24"/>
        </w:rPr>
        <w:t>建筑物的防雷分类；（二类、三类防雷建筑）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1.2</w:t>
      </w:r>
      <w:r w:rsidRPr="00BC55D7">
        <w:rPr>
          <w:rFonts w:ascii="微软雅黑" w:eastAsia="微软雅黑" w:hAnsi="微软雅黑" w:hint="eastAsia"/>
          <w:sz w:val="24"/>
          <w:szCs w:val="24"/>
        </w:rPr>
        <w:t>接闪器；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1.3</w:t>
      </w:r>
      <w:r w:rsidRPr="00BC55D7">
        <w:rPr>
          <w:rFonts w:ascii="微软雅黑" w:eastAsia="微软雅黑" w:hAnsi="微软雅黑" w:hint="eastAsia"/>
          <w:sz w:val="24"/>
          <w:szCs w:val="24"/>
        </w:rPr>
        <w:t>引下线；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lastRenderedPageBreak/>
        <w:t>1.4</w:t>
      </w:r>
      <w:r w:rsidRPr="00BC55D7">
        <w:rPr>
          <w:rFonts w:ascii="微软雅黑" w:eastAsia="微软雅黑" w:hAnsi="微软雅黑" w:hint="eastAsia"/>
          <w:sz w:val="24"/>
          <w:szCs w:val="24"/>
        </w:rPr>
        <w:t>接地装置；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1.5</w:t>
      </w:r>
      <w:r w:rsidRPr="00BC55D7">
        <w:rPr>
          <w:rFonts w:ascii="微软雅黑" w:eastAsia="微软雅黑" w:hAnsi="微软雅黑" w:hint="eastAsia"/>
          <w:sz w:val="24"/>
          <w:szCs w:val="24"/>
        </w:rPr>
        <w:t>防雷区的划分；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1.6</w:t>
      </w:r>
      <w:r w:rsidRPr="00BC55D7">
        <w:rPr>
          <w:rFonts w:ascii="微软雅黑" w:eastAsia="微软雅黑" w:hAnsi="微软雅黑" w:hint="eastAsia"/>
          <w:sz w:val="24"/>
          <w:szCs w:val="24"/>
        </w:rPr>
        <w:t>电磁屏蔽；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1.7</w:t>
      </w:r>
      <w:r w:rsidRPr="00BC55D7">
        <w:rPr>
          <w:rFonts w:ascii="微软雅黑" w:eastAsia="微软雅黑" w:hAnsi="微软雅黑" w:hint="eastAsia"/>
          <w:sz w:val="24"/>
          <w:szCs w:val="24"/>
        </w:rPr>
        <w:t>等电位连接；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1.8</w:t>
      </w:r>
      <w:r w:rsidRPr="00BC55D7">
        <w:rPr>
          <w:rFonts w:ascii="微软雅黑" w:eastAsia="微软雅黑" w:hAnsi="微软雅黑" w:hint="eastAsia"/>
          <w:sz w:val="24"/>
          <w:szCs w:val="24"/>
        </w:rPr>
        <w:t>电涌保护器</w:t>
      </w:r>
      <w:r w:rsidRPr="00BC55D7">
        <w:rPr>
          <w:rFonts w:ascii="微软雅黑" w:eastAsia="微软雅黑" w:hAnsi="微软雅黑" w:hint="eastAsia"/>
          <w:sz w:val="24"/>
          <w:szCs w:val="24"/>
        </w:rPr>
        <w:t>(SPD)</w:t>
      </w:r>
      <w:r w:rsidRPr="00BC55D7">
        <w:rPr>
          <w:rFonts w:ascii="微软雅黑" w:eastAsia="微软雅黑" w:hAnsi="微软雅黑" w:hint="eastAsia"/>
          <w:sz w:val="24"/>
          <w:szCs w:val="24"/>
        </w:rPr>
        <w:t>。</w:t>
      </w:r>
    </w:p>
    <w:p w:rsidR="00B67EFC" w:rsidRPr="00BC55D7" w:rsidRDefault="00C66AAE">
      <w:pPr>
        <w:pStyle w:val="2"/>
        <w:numPr>
          <w:ilvl w:val="0"/>
          <w:numId w:val="2"/>
        </w:numPr>
        <w:autoSpaceDE w:val="0"/>
        <w:autoSpaceDN w:val="0"/>
        <w:spacing w:line="276" w:lineRule="auto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检测楼宇清单</w:t>
      </w:r>
    </w:p>
    <w:tbl>
      <w:tblPr>
        <w:tblW w:w="80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384"/>
        <w:gridCol w:w="3337"/>
        <w:gridCol w:w="3325"/>
      </w:tblGrid>
      <w:tr w:rsidR="00B67EFC" w:rsidRPr="00BC55D7">
        <w:trPr>
          <w:trHeight w:val="496"/>
        </w:trPr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BC55D7">
              <w:rPr>
                <w:rFonts w:ascii="微软雅黑" w:eastAsia="微软雅黑" w:hAnsi="微软雅黑" w:hint="eastAsia"/>
                <w:b/>
              </w:rPr>
              <w:t>序号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BC55D7">
              <w:rPr>
                <w:rFonts w:ascii="微软雅黑" w:eastAsia="微软雅黑" w:hAnsi="微软雅黑" w:hint="eastAsia"/>
                <w:b/>
              </w:rPr>
              <w:t>检测楼宇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  <w:b/>
              </w:rPr>
            </w:pPr>
            <w:r w:rsidRPr="00BC55D7">
              <w:rPr>
                <w:rFonts w:ascii="微软雅黑" w:eastAsia="微软雅黑" w:hAnsi="微软雅黑" w:hint="eastAsia"/>
                <w:b/>
              </w:rPr>
              <w:t>检测点数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图文信息中心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大礼堂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留学生公寓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海达楼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5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塔吊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6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灯塔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7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体育中心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8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物流工程学院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9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外语学院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10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法学院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11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经济管理学院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12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交通运输学院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13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海洋环境工程学院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14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信息工程学院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lastRenderedPageBreak/>
              <w:t>15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学生服务中心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16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水训馆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17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海琴楼（Ｂ食堂）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18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海馨楼（Ａ食堂、北广商铺）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19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海联楼（Ｃ食堂）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20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海云楼（招待所）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21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27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22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28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23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29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24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30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25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31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26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32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27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33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28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34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29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35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30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36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31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37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32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38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33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39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34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40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35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41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36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42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lastRenderedPageBreak/>
              <w:t>37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43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38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44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39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45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40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46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41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47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42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48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43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49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44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50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45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51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46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52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47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53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48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54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49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学生公寓</w:t>
            </w:r>
            <w:r w:rsidRPr="00BC55D7">
              <w:rPr>
                <w:rFonts w:ascii="微软雅黑" w:eastAsia="微软雅黑" w:hAnsi="微软雅黑" w:hint="eastAsia"/>
              </w:rPr>
              <w:t>55</w:t>
            </w:r>
            <w:r w:rsidRPr="00BC55D7">
              <w:rPr>
                <w:rFonts w:ascii="微软雅黑" w:eastAsia="微软雅黑" w:hAnsi="微软雅黑" w:hint="eastAsia"/>
              </w:rPr>
              <w:t>号楼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50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集装箱供应链楼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  <w:tr w:rsidR="00B67EFC" w:rsidRPr="00BC55D7">
        <w:tc>
          <w:tcPr>
            <w:tcW w:w="1384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51</w:t>
            </w:r>
          </w:p>
        </w:tc>
        <w:tc>
          <w:tcPr>
            <w:tcW w:w="3337" w:type="dxa"/>
            <w:shd w:val="clear" w:color="000000" w:fill="auto"/>
          </w:tcPr>
          <w:p w:rsidR="00B67EFC" w:rsidRPr="00BC55D7" w:rsidRDefault="00C66AAE">
            <w:pPr>
              <w:snapToGrid w:val="0"/>
              <w:spacing w:line="360" w:lineRule="auto"/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研究生公寓（双楼）</w:t>
            </w:r>
          </w:p>
        </w:tc>
        <w:tc>
          <w:tcPr>
            <w:tcW w:w="3325" w:type="dxa"/>
            <w:shd w:val="clear" w:color="000000" w:fill="auto"/>
          </w:tcPr>
          <w:p w:rsidR="00B67EFC" w:rsidRPr="00BC55D7" w:rsidRDefault="00C66AAE">
            <w:pPr>
              <w:rPr>
                <w:rFonts w:ascii="微软雅黑" w:eastAsia="微软雅黑" w:hAnsi="微软雅黑"/>
              </w:rPr>
            </w:pPr>
            <w:r w:rsidRPr="00BC55D7">
              <w:rPr>
                <w:rFonts w:ascii="微软雅黑" w:eastAsia="微软雅黑" w:hAnsi="微软雅黑" w:hint="eastAsia"/>
              </w:rPr>
              <w:t>以实测为准</w:t>
            </w:r>
          </w:p>
        </w:tc>
      </w:tr>
    </w:tbl>
    <w:p w:rsidR="00B67EFC" w:rsidRPr="00BC55D7" w:rsidRDefault="00C66AAE" w:rsidP="00BC55D7">
      <w:pPr>
        <w:pStyle w:val="2"/>
        <w:numPr>
          <w:ilvl w:val="0"/>
          <w:numId w:val="2"/>
        </w:numPr>
        <w:autoSpaceDE w:val="0"/>
        <w:autoSpaceDN w:val="0"/>
        <w:spacing w:line="276" w:lineRule="auto"/>
        <w:ind w:leftChars="57" w:left="12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项目要求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3.1</w:t>
      </w:r>
      <w:r w:rsidRPr="00BC55D7">
        <w:rPr>
          <w:rFonts w:ascii="微软雅黑" w:eastAsia="微软雅黑" w:hAnsi="微软雅黑" w:hint="eastAsia"/>
          <w:sz w:val="24"/>
          <w:szCs w:val="24"/>
        </w:rPr>
        <w:t>完成检测后</w:t>
      </w:r>
      <w:r w:rsidRPr="00BC55D7">
        <w:rPr>
          <w:rFonts w:ascii="微软雅黑" w:eastAsia="微软雅黑" w:hAnsi="微软雅黑" w:hint="eastAsia"/>
          <w:sz w:val="24"/>
          <w:szCs w:val="24"/>
        </w:rPr>
        <w:t>,</w:t>
      </w:r>
      <w:r w:rsidRPr="00BC55D7">
        <w:rPr>
          <w:rFonts w:ascii="微软雅黑" w:eastAsia="微软雅黑" w:hAnsi="微软雅黑" w:hint="eastAsia"/>
          <w:sz w:val="24"/>
          <w:szCs w:val="24"/>
        </w:rPr>
        <w:t>向校方提供完整、有效（获得上海市气象局认可）的检测报告，必须涵盖上述楼宇的每个检测点和检测项。该检测报告作为项目完成的标志性文本；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3.2</w:t>
      </w:r>
      <w:r w:rsidRPr="00BC55D7">
        <w:rPr>
          <w:rFonts w:ascii="微软雅黑" w:eastAsia="微软雅黑" w:hAnsi="微软雅黑" w:hint="eastAsia"/>
          <w:sz w:val="24"/>
          <w:szCs w:val="24"/>
        </w:rPr>
        <w:t>合同签订后的一年内，承担我校防雷有关工作的技术指导工作；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3.3</w:t>
      </w:r>
      <w:r w:rsidRPr="00BC55D7">
        <w:rPr>
          <w:rFonts w:ascii="微软雅黑" w:eastAsia="微软雅黑" w:hAnsi="微软雅黑" w:hint="eastAsia"/>
          <w:sz w:val="24"/>
          <w:szCs w:val="24"/>
        </w:rPr>
        <w:t>项目所有工作需在</w:t>
      </w:r>
      <w:r w:rsidRPr="00BC55D7">
        <w:rPr>
          <w:rFonts w:ascii="微软雅黑" w:eastAsia="微软雅黑" w:hAnsi="微软雅黑" w:hint="eastAsia"/>
          <w:sz w:val="24"/>
          <w:szCs w:val="24"/>
        </w:rPr>
        <w:t>2020</w:t>
      </w:r>
      <w:r w:rsidRPr="00BC55D7">
        <w:rPr>
          <w:rFonts w:ascii="微软雅黑" w:eastAsia="微软雅黑" w:hAnsi="微软雅黑" w:hint="eastAsia"/>
          <w:sz w:val="24"/>
          <w:szCs w:val="24"/>
        </w:rPr>
        <w:t>年</w:t>
      </w:r>
      <w:r w:rsidRPr="00BC55D7">
        <w:rPr>
          <w:rFonts w:ascii="微软雅黑" w:eastAsia="微软雅黑" w:hAnsi="微软雅黑" w:hint="eastAsia"/>
          <w:sz w:val="24"/>
          <w:szCs w:val="24"/>
        </w:rPr>
        <w:t>11</w:t>
      </w:r>
      <w:r w:rsidRPr="00BC55D7">
        <w:rPr>
          <w:rFonts w:ascii="微软雅黑" w:eastAsia="微软雅黑" w:hAnsi="微软雅黑" w:hint="eastAsia"/>
          <w:sz w:val="24"/>
          <w:szCs w:val="24"/>
        </w:rPr>
        <w:t>月</w:t>
      </w:r>
      <w:r w:rsidRPr="00BC55D7">
        <w:rPr>
          <w:rFonts w:ascii="微软雅黑" w:eastAsia="微软雅黑" w:hAnsi="微软雅黑" w:hint="eastAsia"/>
          <w:sz w:val="24"/>
          <w:szCs w:val="24"/>
        </w:rPr>
        <w:t>20</w:t>
      </w:r>
      <w:r w:rsidRPr="00BC55D7">
        <w:rPr>
          <w:rFonts w:ascii="微软雅黑" w:eastAsia="微软雅黑" w:hAnsi="微软雅黑" w:hint="eastAsia"/>
          <w:sz w:val="24"/>
          <w:szCs w:val="24"/>
        </w:rPr>
        <w:t>日前完成；</w:t>
      </w:r>
    </w:p>
    <w:p w:rsidR="00B67EFC" w:rsidRPr="00BC55D7" w:rsidRDefault="00C66AAE">
      <w:pPr>
        <w:pStyle w:val="2"/>
        <w:autoSpaceDE w:val="0"/>
        <w:autoSpaceDN w:val="0"/>
        <w:spacing w:line="276" w:lineRule="auto"/>
        <w:ind w:left="0"/>
        <w:jc w:val="both"/>
        <w:rPr>
          <w:rFonts w:ascii="微软雅黑" w:eastAsia="微软雅黑" w:hAnsi="微软雅黑"/>
          <w:sz w:val="24"/>
          <w:szCs w:val="24"/>
        </w:rPr>
      </w:pPr>
      <w:r w:rsidRPr="00BC55D7">
        <w:rPr>
          <w:rFonts w:ascii="微软雅黑" w:eastAsia="微软雅黑" w:hAnsi="微软雅黑" w:hint="eastAsia"/>
          <w:sz w:val="24"/>
          <w:szCs w:val="24"/>
        </w:rPr>
        <w:t>3.4</w:t>
      </w:r>
      <w:r w:rsidRPr="00BC55D7">
        <w:rPr>
          <w:rFonts w:ascii="微软雅黑" w:eastAsia="微软雅黑" w:hAnsi="微软雅黑" w:hint="eastAsia"/>
          <w:sz w:val="24"/>
          <w:szCs w:val="24"/>
        </w:rPr>
        <w:t>报价不得高于</w:t>
      </w:r>
      <w:r w:rsidRPr="00BC55D7">
        <w:rPr>
          <w:rFonts w:ascii="微软雅黑" w:eastAsia="微软雅黑" w:hAnsi="微软雅黑" w:hint="eastAsia"/>
          <w:sz w:val="24"/>
          <w:szCs w:val="24"/>
        </w:rPr>
        <w:t>15</w:t>
      </w:r>
      <w:r w:rsidRPr="00BC55D7">
        <w:rPr>
          <w:rFonts w:ascii="微软雅黑" w:eastAsia="微软雅黑" w:hAnsi="微软雅黑" w:hint="eastAsia"/>
          <w:sz w:val="24"/>
          <w:szCs w:val="24"/>
        </w:rPr>
        <w:t>万元人民币。</w:t>
      </w:r>
    </w:p>
    <w:sectPr w:rsidR="00B67EFC" w:rsidRPr="00BC55D7" w:rsidSect="00BC55D7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AAE" w:rsidRDefault="00C66AAE" w:rsidP="00BC55D7">
      <w:r>
        <w:separator/>
      </w:r>
    </w:p>
  </w:endnote>
  <w:endnote w:type="continuationSeparator" w:id="1">
    <w:p w:rsidR="00C66AAE" w:rsidRDefault="00C66AAE" w:rsidP="00BC5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AAE" w:rsidRDefault="00C66AAE" w:rsidP="00BC55D7">
      <w:r>
        <w:separator/>
      </w:r>
    </w:p>
  </w:footnote>
  <w:footnote w:type="continuationSeparator" w:id="1">
    <w:p w:rsidR="00C66AAE" w:rsidRDefault="00C66AAE" w:rsidP="00BC5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0000"/>
    <w:multiLevelType w:val="hybridMultilevel"/>
    <w:tmpl w:val="B562115E"/>
    <w:lvl w:ilvl="0" w:tplc="C65C562C">
      <w:start w:val="1"/>
      <w:numFmt w:val="chineseCounting"/>
      <w:suff w:val="nothing"/>
      <w:lvlText w:val="%1．"/>
      <w:lvlJc w:val="left"/>
    </w:lvl>
    <w:lvl w:ilvl="1" w:tplc="4A38B694">
      <w:numFmt w:val="none"/>
      <w:lvlText w:val=""/>
      <w:lvlJc w:val="left"/>
      <w:pPr>
        <w:tabs>
          <w:tab w:val="num" w:pos="360"/>
        </w:tabs>
      </w:pPr>
    </w:lvl>
    <w:lvl w:ilvl="2" w:tplc="E89C3890">
      <w:numFmt w:val="none"/>
      <w:lvlText w:val=""/>
      <w:lvlJc w:val="left"/>
      <w:pPr>
        <w:tabs>
          <w:tab w:val="num" w:pos="360"/>
        </w:tabs>
      </w:pPr>
    </w:lvl>
    <w:lvl w:ilvl="3" w:tplc="548E1E26">
      <w:numFmt w:val="none"/>
      <w:lvlText w:val=""/>
      <w:lvlJc w:val="left"/>
      <w:pPr>
        <w:tabs>
          <w:tab w:val="num" w:pos="360"/>
        </w:tabs>
      </w:pPr>
    </w:lvl>
    <w:lvl w:ilvl="4" w:tplc="0A1AD712">
      <w:numFmt w:val="none"/>
      <w:lvlText w:val=""/>
      <w:lvlJc w:val="left"/>
      <w:pPr>
        <w:tabs>
          <w:tab w:val="num" w:pos="360"/>
        </w:tabs>
      </w:pPr>
    </w:lvl>
    <w:lvl w:ilvl="5" w:tplc="632059A0">
      <w:numFmt w:val="none"/>
      <w:lvlText w:val=""/>
      <w:lvlJc w:val="left"/>
      <w:pPr>
        <w:tabs>
          <w:tab w:val="num" w:pos="360"/>
        </w:tabs>
      </w:pPr>
    </w:lvl>
    <w:lvl w:ilvl="6" w:tplc="D7324242">
      <w:numFmt w:val="none"/>
      <w:lvlText w:val=""/>
      <w:lvlJc w:val="left"/>
      <w:pPr>
        <w:tabs>
          <w:tab w:val="num" w:pos="360"/>
        </w:tabs>
      </w:pPr>
    </w:lvl>
    <w:lvl w:ilvl="7" w:tplc="4E3EF3BE">
      <w:numFmt w:val="none"/>
      <w:lvlText w:val=""/>
      <w:lvlJc w:val="left"/>
      <w:pPr>
        <w:tabs>
          <w:tab w:val="num" w:pos="360"/>
        </w:tabs>
      </w:pPr>
    </w:lvl>
    <w:lvl w:ilvl="8" w:tplc="6344840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F000001"/>
    <w:multiLevelType w:val="hybridMultilevel"/>
    <w:tmpl w:val="04B00E3A"/>
    <w:lvl w:ilvl="0" w:tplc="11F08194">
      <w:start w:val="2"/>
      <w:numFmt w:val="decimal"/>
      <w:suff w:val="nothing"/>
      <w:lvlText w:val="%1."/>
      <w:lvlJc w:val="left"/>
    </w:lvl>
    <w:lvl w:ilvl="1" w:tplc="A0A098A2">
      <w:numFmt w:val="none"/>
      <w:lvlText w:val=""/>
      <w:lvlJc w:val="left"/>
      <w:pPr>
        <w:tabs>
          <w:tab w:val="num" w:pos="360"/>
        </w:tabs>
      </w:pPr>
    </w:lvl>
    <w:lvl w:ilvl="2" w:tplc="048EF554">
      <w:numFmt w:val="none"/>
      <w:lvlText w:val=""/>
      <w:lvlJc w:val="left"/>
      <w:pPr>
        <w:tabs>
          <w:tab w:val="num" w:pos="360"/>
        </w:tabs>
      </w:pPr>
    </w:lvl>
    <w:lvl w:ilvl="3" w:tplc="53124CC6">
      <w:numFmt w:val="none"/>
      <w:lvlText w:val=""/>
      <w:lvlJc w:val="left"/>
      <w:pPr>
        <w:tabs>
          <w:tab w:val="num" w:pos="360"/>
        </w:tabs>
      </w:pPr>
    </w:lvl>
    <w:lvl w:ilvl="4" w:tplc="CACCAE5A">
      <w:numFmt w:val="none"/>
      <w:lvlText w:val=""/>
      <w:lvlJc w:val="left"/>
      <w:pPr>
        <w:tabs>
          <w:tab w:val="num" w:pos="360"/>
        </w:tabs>
      </w:pPr>
    </w:lvl>
    <w:lvl w:ilvl="5" w:tplc="531021DA">
      <w:numFmt w:val="none"/>
      <w:lvlText w:val=""/>
      <w:lvlJc w:val="left"/>
      <w:pPr>
        <w:tabs>
          <w:tab w:val="num" w:pos="360"/>
        </w:tabs>
      </w:pPr>
    </w:lvl>
    <w:lvl w:ilvl="6" w:tplc="0D64126E">
      <w:numFmt w:val="none"/>
      <w:lvlText w:val=""/>
      <w:lvlJc w:val="left"/>
      <w:pPr>
        <w:tabs>
          <w:tab w:val="num" w:pos="360"/>
        </w:tabs>
      </w:pPr>
    </w:lvl>
    <w:lvl w:ilvl="7" w:tplc="53E61A50">
      <w:numFmt w:val="none"/>
      <w:lvlText w:val=""/>
      <w:lvlJc w:val="left"/>
      <w:pPr>
        <w:tabs>
          <w:tab w:val="num" w:pos="360"/>
        </w:tabs>
      </w:pPr>
    </w:lvl>
    <w:lvl w:ilvl="8" w:tplc="D7BA90A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</w:compat>
  <w:rsids>
    <w:rsidRoot w:val="00B67EFC"/>
    <w:rsid w:val="00B67EFC"/>
    <w:rsid w:val="00BC55D7"/>
    <w:rsid w:val="00C66AAE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7EFC"/>
    <w:pPr>
      <w:jc w:val="both"/>
    </w:pPr>
    <w:rPr>
      <w:rFonts w:asciiTheme="minorHAnsi" w:eastAsiaTheme="minorEastAsia" w:hAnsiTheme="minorHAnsi" w:cstheme="min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18"/>
    <w:qFormat/>
    <w:rsid w:val="00B67EFC"/>
    <w:rPr>
      <w:i/>
    </w:rPr>
  </w:style>
  <w:style w:type="paragraph" w:customStyle="1" w:styleId="2">
    <w:name w:val="正文2"/>
    <w:basedOn w:val="a"/>
    <w:qFormat/>
    <w:rsid w:val="00B67EFC"/>
    <w:pPr>
      <w:spacing w:after="60" w:line="360" w:lineRule="atLeast"/>
      <w:ind w:left="57" w:right="57"/>
      <w:jc w:val="center"/>
    </w:pPr>
    <w:rPr>
      <w:rFonts w:ascii="宋体"/>
    </w:rPr>
  </w:style>
  <w:style w:type="paragraph" w:styleId="a4">
    <w:name w:val="header"/>
    <w:basedOn w:val="a"/>
    <w:link w:val="Char"/>
    <w:uiPriority w:val="99"/>
    <w:semiHidden/>
    <w:unhideWhenUsed/>
    <w:rsid w:val="00BC5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55D7"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5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55D7"/>
    <w:rPr>
      <w:rFonts w:asciiTheme="minorHAnsi" w:eastAsiaTheme="minorEastAsia" w:hAnsiTheme="minorHAnsi" w:cstheme="min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bs.co188.com/thread-8507426-1-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1430</Characters>
  <Application>Microsoft Office Word</Application>
  <DocSecurity>0</DocSecurity>
  <Lines>11</Lines>
  <Paragraphs>3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仲杰</cp:lastModifiedBy>
  <cp:revision>4</cp:revision>
  <dcterms:created xsi:type="dcterms:W3CDTF">2020-10-14T06:51:00Z</dcterms:created>
  <dcterms:modified xsi:type="dcterms:W3CDTF">2020-10-14T06:54:00Z</dcterms:modified>
</cp:coreProperties>
</file>