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航空数据采集及系统界面优化与性能提升服务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HFBX2025051</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二○二五年五月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HFBX2025051；</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航空数据采集及系统界面优化与性能提升服务；</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人民币18万元；</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本项目基于已开发完成的口岸重要消化道病原体风险预警展示原型系统，进行数据采集、界面优化与性能提升3部分工作。数据采集任务，要求采集2024-2025年度国际航班动态、机场运行指标等数据信息；界面优化要求统一风格设计，提升多维度数据可视化表达能力；性能提升要求构建多层地图、加快系统响应速度和并发处理能力。</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16340A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服务周期：本项目须于合同签订后2个月内完成项目，并提供不少于1年的免费维护服务（自验收合格之日起计算）；</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付款方式：项目完成经甲方验收通过后的十个工作日内，向乙方支付合同全款。合同内全部款项均以“银行转账”方式予以支付。</w:t>
      </w:r>
    </w:p>
    <w:p w14:paraId="41BEA8D1">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二、报价人的资格要求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r>
        <w:rPr>
          <w:rFonts w:hint="eastAsia" w:ascii="方正兰亭黑简体" w:hAnsi="方正兰亭黑简体" w:eastAsia="方正兰亭黑简体" w:cs="方正兰亭黑简体"/>
          <w:color w:val="auto"/>
          <w:sz w:val="22"/>
          <w:szCs w:val="28"/>
          <w:highlight w:val="none"/>
          <w:lang w:eastAsia="zh-CN"/>
        </w:rPr>
        <w:t>。</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default" w:ascii="方正兰亭黑简体" w:hAnsi="方正兰亭黑简体" w:eastAsia="方正兰亭黑简体" w:cs="方正兰亭黑简体"/>
          <w:color w:val="auto"/>
          <w:sz w:val="22"/>
          <w:szCs w:val="28"/>
          <w:highlight w:val="none"/>
          <w:lang w:val="en-US"/>
        </w:rPr>
      </w:pPr>
      <w:r>
        <w:rPr>
          <w:rFonts w:hint="eastAsia" w:ascii="方正兰亭黑简体" w:hAnsi="方正兰亭黑简体" w:eastAsia="方正兰亭黑简体" w:cs="方正兰亭黑简体"/>
          <w:color w:val="auto"/>
          <w:sz w:val="22"/>
          <w:szCs w:val="28"/>
          <w:highlight w:val="none"/>
          <w:lang w:val="en-US" w:eastAsia="zh-CN"/>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6</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周二</w:t>
      </w:r>
      <w:bookmarkStart w:id="4" w:name="_GoBack"/>
      <w:bookmarkEnd w:id="4"/>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宋</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38283870</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5DE00E15">
      <w:pPr>
        <w:pStyle w:val="19"/>
        <w:spacing w:line="360" w:lineRule="auto"/>
        <w:ind w:left="420" w:right="105" w:rightChars="50" w:firstLine="6" w:firstLineChars="0"/>
        <w:rPr>
          <w:rStyle w:val="21"/>
          <w:rFonts w:hint="default" w:ascii="Times New Roman" w:hAnsi="Times New Roman" w:eastAsia="方正兰亭黑简体" w:cs="Times New Roman"/>
          <w:color w:val="auto"/>
          <w:sz w:val="24"/>
          <w:szCs w:val="24"/>
          <w:highlight w:val="none"/>
        </w:rPr>
      </w:pPr>
      <w:r>
        <w:rPr>
          <w:rStyle w:val="21"/>
          <w:rFonts w:hint="default" w:ascii="Times New Roman" w:hAnsi="Times New Roman" w:eastAsia="方正兰亭黑简体" w:cs="Times New Roman"/>
          <w:color w:val="auto"/>
          <w:sz w:val="24"/>
          <w:szCs w:val="24"/>
          <w:highlight w:val="none"/>
          <w:lang w:eastAsia="zh-Hans"/>
        </w:rPr>
        <w:t>一、</w:t>
      </w:r>
      <w:r>
        <w:rPr>
          <w:rStyle w:val="21"/>
          <w:rFonts w:hint="default" w:ascii="Times New Roman" w:hAnsi="Times New Roman" w:eastAsia="方正兰亭黑简体" w:cs="Times New Roman"/>
          <w:color w:val="auto"/>
          <w:sz w:val="24"/>
          <w:szCs w:val="24"/>
          <w:highlight w:val="none"/>
        </w:rPr>
        <w:t>项目概况</w:t>
      </w:r>
    </w:p>
    <w:p w14:paraId="46B1C13C">
      <w:pPr>
        <w:pStyle w:val="19"/>
        <w:spacing w:line="360" w:lineRule="auto"/>
        <w:ind w:left="420"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本项目基于已开发完成的口岸重要消化道病原体风险预警展示原型系统，进行数据采集、界面优化与性能提升3部分工作。数据采集任务，要求采集2024-2025年度国际航班动态、机场运行指标等数据信息；界面优化要求统一风格设计，提升多维度数据可视化表达能力；性能提升要求构建多层地图、加快系统响应速度和并发处理能力。具体服务内容包括：</w:t>
      </w:r>
    </w:p>
    <w:p w14:paraId="592E5E1B">
      <w:pPr>
        <w:pStyle w:val="19"/>
        <w:numPr>
          <w:ilvl w:val="0"/>
          <w:numId w:val="1"/>
        </w:numPr>
        <w:spacing w:line="360" w:lineRule="auto"/>
        <w:ind w:right="105" w:rightChars="50" w:firstLineChars="0"/>
        <w:rPr>
          <w:rFonts w:hint="default" w:ascii="Times New Roman" w:hAnsi="Times New Roman" w:eastAsia="方正兰亭黑简体" w:cs="Times New Roman"/>
          <w:b/>
          <w:bCs/>
          <w:color w:val="auto"/>
          <w:sz w:val="24"/>
          <w:szCs w:val="24"/>
          <w:highlight w:val="none"/>
        </w:rPr>
      </w:pPr>
      <w:r>
        <w:rPr>
          <w:rFonts w:hint="default" w:ascii="Times New Roman" w:hAnsi="Times New Roman" w:eastAsia="方正兰亭黑简体" w:cs="Times New Roman"/>
          <w:b/>
          <w:bCs/>
          <w:color w:val="auto"/>
          <w:sz w:val="24"/>
          <w:szCs w:val="24"/>
          <w:highlight w:val="none"/>
        </w:rPr>
        <w:t>数据采集：</w:t>
      </w:r>
    </w:p>
    <w:p w14:paraId="62DD09B3">
      <w:pPr>
        <w:pStyle w:val="19"/>
        <w:spacing w:line="360" w:lineRule="auto"/>
        <w:ind w:left="56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a、国际航班动态：</w:t>
      </w:r>
    </w:p>
    <w:p w14:paraId="54C9F457">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航线、航班、航班情况、客舱图</w:t>
      </w:r>
    </w:p>
    <w:p w14:paraId="398F6980">
      <w:pPr>
        <w:pStyle w:val="19"/>
        <w:spacing w:line="360" w:lineRule="auto"/>
        <w:ind w:left="56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b、机场运行指标：</w:t>
      </w:r>
    </w:p>
    <w:p w14:paraId="0A220A94">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机场交通、航班流量、机场天气、机场特情</w:t>
      </w:r>
    </w:p>
    <w:p w14:paraId="38447510">
      <w:pPr>
        <w:pStyle w:val="19"/>
        <w:numPr>
          <w:ilvl w:val="0"/>
          <w:numId w:val="1"/>
        </w:numPr>
        <w:spacing w:line="360" w:lineRule="auto"/>
        <w:ind w:right="105" w:rightChars="50" w:firstLineChars="0"/>
        <w:rPr>
          <w:rFonts w:hint="default" w:ascii="Times New Roman" w:hAnsi="Times New Roman" w:eastAsia="方正兰亭黑简体" w:cs="Times New Roman"/>
          <w:b/>
          <w:bCs/>
          <w:color w:val="auto"/>
          <w:sz w:val="24"/>
          <w:szCs w:val="24"/>
          <w:highlight w:val="none"/>
        </w:rPr>
      </w:pPr>
      <w:r>
        <w:rPr>
          <w:rFonts w:hint="default" w:ascii="Times New Roman" w:hAnsi="Times New Roman" w:eastAsia="方正兰亭黑简体" w:cs="Times New Roman"/>
          <w:b/>
          <w:bCs/>
          <w:color w:val="auto"/>
          <w:sz w:val="24"/>
          <w:szCs w:val="24"/>
          <w:highlight w:val="none"/>
        </w:rPr>
        <w:t>当前原型系统待优化界面：</w:t>
      </w:r>
    </w:p>
    <w:p w14:paraId="01AA0093">
      <w:pPr>
        <w:pStyle w:val="19"/>
        <w:spacing w:line="360" w:lineRule="auto"/>
        <w:ind w:left="56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a、消化道病原体监测数据：</w:t>
      </w:r>
    </w:p>
    <w:p w14:paraId="71E4BBA0">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全球消化道传染病疫情情报</w:t>
      </w:r>
    </w:p>
    <w:p w14:paraId="6EFEDA1E">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海关检疫记录（历史病原体查获数据、入境交通工具微生物检测结果）</w:t>
      </w:r>
    </w:p>
    <w:p w14:paraId="420292FB">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船舶压载水微生物监测专项数据</w:t>
      </w:r>
    </w:p>
    <w:p w14:paraId="2C3FDF62">
      <w:pPr>
        <w:pStyle w:val="19"/>
        <w:spacing w:line="360" w:lineRule="auto"/>
        <w:ind w:left="56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b、消化道病原体风险预警：</w:t>
      </w:r>
    </w:p>
    <w:p w14:paraId="2969785D">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全球航空、航运网络可视化</w:t>
      </w:r>
    </w:p>
    <w:p w14:paraId="4C523D90">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消化道病原体风险可视化</w:t>
      </w:r>
    </w:p>
    <w:p w14:paraId="16F766A6">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航班动态回放</w:t>
      </w:r>
    </w:p>
    <w:p w14:paraId="2993FA8A">
      <w:pPr>
        <w:pStyle w:val="19"/>
        <w:numPr>
          <w:ilvl w:val="0"/>
          <w:numId w:val="1"/>
        </w:numPr>
        <w:spacing w:line="360" w:lineRule="auto"/>
        <w:ind w:right="105" w:rightChars="50" w:firstLineChars="0"/>
        <w:rPr>
          <w:rFonts w:hint="default" w:ascii="Times New Roman" w:hAnsi="Times New Roman" w:eastAsia="方正兰亭黑简体" w:cs="Times New Roman"/>
          <w:b/>
          <w:bCs/>
          <w:color w:val="auto"/>
          <w:sz w:val="24"/>
          <w:szCs w:val="24"/>
          <w:highlight w:val="none"/>
        </w:rPr>
      </w:pPr>
      <w:r>
        <w:rPr>
          <w:rFonts w:hint="default" w:ascii="Times New Roman" w:hAnsi="Times New Roman" w:eastAsia="方正兰亭黑简体" w:cs="Times New Roman"/>
          <w:b/>
          <w:bCs/>
          <w:color w:val="auto"/>
          <w:sz w:val="24"/>
          <w:szCs w:val="24"/>
          <w:highlight w:val="none"/>
        </w:rPr>
        <w:t>当前原型系统待提升性能：</w:t>
      </w:r>
    </w:p>
    <w:p w14:paraId="2CFF51A8">
      <w:pPr>
        <w:pStyle w:val="19"/>
        <w:spacing w:line="360" w:lineRule="auto"/>
        <w:ind w:left="56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a、多层地图结构：</w:t>
      </w:r>
    </w:p>
    <w:p w14:paraId="59EC657C">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地图（含航空、航运网络）缩放</w:t>
      </w:r>
    </w:p>
    <w:p w14:paraId="5CFE1C83">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分地区消化道传染病病例数显示</w:t>
      </w:r>
    </w:p>
    <w:p w14:paraId="1B98BEF5">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分病原体种类显示相关航线和风险</w:t>
      </w:r>
    </w:p>
    <w:p w14:paraId="4DE29006">
      <w:pPr>
        <w:pStyle w:val="19"/>
        <w:spacing w:line="360" w:lineRule="auto"/>
        <w:ind w:left="56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b、其他性能指标：</w:t>
      </w:r>
    </w:p>
    <w:p w14:paraId="07BC19EA">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信息查询响应速度小于100毫秒</w:t>
      </w:r>
    </w:p>
    <w:p w14:paraId="622162B8">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图形操作响应速度小于200毫秒</w:t>
      </w:r>
    </w:p>
    <w:p w14:paraId="57BD99B5">
      <w:pPr>
        <w:pStyle w:val="19"/>
        <w:numPr>
          <w:ilvl w:val="1"/>
          <w:numId w:val="2"/>
        </w:numPr>
        <w:tabs>
          <w:tab w:val="clear" w:pos="1440"/>
        </w:tabs>
        <w:spacing w:line="360" w:lineRule="auto"/>
        <w:ind w:left="708" w:leftChars="337" w:right="105" w:rightChars="50" w:firstLine="256" w:firstLineChars="107"/>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支持并发访问量20</w:t>
      </w:r>
    </w:p>
    <w:p w14:paraId="655C1C79">
      <w:pPr>
        <w:pStyle w:val="19"/>
        <w:spacing w:line="360" w:lineRule="auto"/>
        <w:ind w:left="420" w:right="105" w:rightChars="50" w:firstLine="6" w:firstLineChars="0"/>
        <w:rPr>
          <w:rStyle w:val="21"/>
          <w:rFonts w:hint="default" w:ascii="Times New Roman" w:hAnsi="Times New Roman" w:eastAsia="方正兰亭黑简体" w:cs="Times New Roman"/>
          <w:color w:val="auto"/>
          <w:sz w:val="24"/>
          <w:szCs w:val="24"/>
          <w:highlight w:val="none"/>
        </w:rPr>
      </w:pPr>
      <w:r>
        <w:rPr>
          <w:rStyle w:val="21"/>
          <w:rFonts w:hint="default" w:ascii="Times New Roman" w:hAnsi="Times New Roman" w:eastAsia="方正兰亭黑简体" w:cs="Times New Roman"/>
          <w:color w:val="auto"/>
          <w:sz w:val="24"/>
          <w:szCs w:val="24"/>
          <w:highlight w:val="none"/>
        </w:rPr>
        <w:t>二、技术指标</w:t>
      </w:r>
    </w:p>
    <w:p w14:paraId="3E8080D5">
      <w:pPr>
        <w:pStyle w:val="19"/>
        <w:spacing w:line="360" w:lineRule="auto"/>
        <w:ind w:left="420" w:right="105" w:rightChars="50" w:firstLine="6" w:firstLineChars="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系统需满足以下技术指标：</w:t>
      </w:r>
    </w:p>
    <w:p w14:paraId="7B8BC34D">
      <w:pPr>
        <w:pStyle w:val="19"/>
        <w:spacing w:line="360" w:lineRule="auto"/>
        <w:ind w:right="105" w:rightChars="50" w:firstLine="562"/>
        <w:rPr>
          <w:rFonts w:hint="default" w:ascii="Times New Roman" w:hAnsi="Times New Roman" w:eastAsia="方正兰亭黑简体" w:cs="Times New Roman"/>
          <w:b/>
          <w:bCs/>
          <w:color w:val="auto"/>
          <w:sz w:val="24"/>
          <w:szCs w:val="24"/>
          <w:highlight w:val="none"/>
        </w:rPr>
      </w:pPr>
      <w:r>
        <w:rPr>
          <w:rFonts w:hint="default" w:ascii="Times New Roman" w:hAnsi="Times New Roman" w:eastAsia="方正兰亭黑简体" w:cs="Times New Roman"/>
          <w:b/>
          <w:bCs/>
          <w:color w:val="auto"/>
          <w:sz w:val="24"/>
          <w:szCs w:val="24"/>
          <w:highlight w:val="none"/>
        </w:rPr>
        <w:t>数据采集模块（5项）</w:t>
      </w:r>
    </w:p>
    <w:p w14:paraId="3BD06286">
      <w:pPr>
        <w:pStyle w:val="19"/>
        <w:numPr>
          <w:ilvl w:val="0"/>
          <w:numId w:val="3"/>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2024-2025年度国际航班动态数据采集，包括航线、航班、航班情况、客舱图数据维度；</w:t>
      </w:r>
    </w:p>
    <w:p w14:paraId="44608AC4">
      <w:pPr>
        <w:pStyle w:val="19"/>
        <w:numPr>
          <w:ilvl w:val="0"/>
          <w:numId w:val="3"/>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机场运行指标数据采集，包括机场交通、航班流量、机场天气、机场特情数据维度；</w:t>
      </w:r>
    </w:p>
    <w:p w14:paraId="46B8641C">
      <w:pPr>
        <w:pStyle w:val="19"/>
        <w:numPr>
          <w:ilvl w:val="0"/>
          <w:numId w:val="3"/>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支持航空信息的导入、导出、查询功能，支持通过ICAO/IATA航班、时间、始发/到达机场与国家信息的高效查询；</w:t>
      </w:r>
    </w:p>
    <w:p w14:paraId="2AE55705">
      <w:pPr>
        <w:pStyle w:val="19"/>
        <w:numPr>
          <w:ilvl w:val="0"/>
          <w:numId w:val="3"/>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支持船舶信息的导入、导出、查询功能，支持通过船名、MMSI/IMO代码、始发/停靠/到达港口和国家信息进行高效查询；</w:t>
      </w:r>
    </w:p>
    <w:p w14:paraId="3B483448">
      <w:pPr>
        <w:pStyle w:val="19"/>
        <w:numPr>
          <w:ilvl w:val="0"/>
          <w:numId w:val="3"/>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内置海关专用数据模板，实现全球消化道传染病疫情信息、海关检疫记录、船舶压载水微生物监测数据的批量导入、导出、查询功能；</w:t>
      </w:r>
    </w:p>
    <w:p w14:paraId="5C0A8359">
      <w:pPr>
        <w:pStyle w:val="19"/>
        <w:spacing w:line="360" w:lineRule="auto"/>
        <w:ind w:right="105" w:rightChars="50" w:firstLine="562"/>
        <w:rPr>
          <w:rFonts w:hint="default" w:ascii="Times New Roman" w:hAnsi="Times New Roman" w:eastAsia="方正兰亭黑简体" w:cs="Times New Roman"/>
          <w:b/>
          <w:bCs/>
          <w:color w:val="auto"/>
          <w:sz w:val="24"/>
          <w:szCs w:val="24"/>
          <w:highlight w:val="none"/>
        </w:rPr>
      </w:pPr>
      <w:r>
        <w:rPr>
          <w:rFonts w:hint="default" w:ascii="Times New Roman" w:hAnsi="Times New Roman" w:eastAsia="方正兰亭黑简体" w:cs="Times New Roman"/>
          <w:b/>
          <w:bCs/>
          <w:color w:val="auto"/>
          <w:sz w:val="24"/>
          <w:szCs w:val="24"/>
          <w:highlight w:val="none"/>
        </w:rPr>
        <w:t>界面优化模块（5项）</w:t>
      </w:r>
    </w:p>
    <w:p w14:paraId="1A5DDB54">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消化道病原体监测数据可视化展示优化，包括全球消化道传染病疫情情报、海关检疫记录、船舶压载水微生物监测专项数据的列表显示和柱状图/折线图/饼图等至少两种图形化显示方式；</w:t>
      </w:r>
    </w:p>
    <w:p w14:paraId="1DB3F1DF">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消化道病原体风险预警界面优化，包括全球航空和航运网络可视化、消化道病原体风险可视化、航班动态回放；</w:t>
      </w:r>
    </w:p>
    <w:p w14:paraId="1B52AF03">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各种列表、图形、操作菜单进行统一风格设计；</w:t>
      </w:r>
    </w:p>
    <w:p w14:paraId="4E10C601">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支持高风险病原体和来源国TOP10列表展示（含历史检出病原体等关键指标）；</w:t>
      </w:r>
    </w:p>
    <w:p w14:paraId="7488EBE0">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支持基于GIS的全球航线轨迹离线展示功能；</w:t>
      </w:r>
    </w:p>
    <w:p w14:paraId="4F79252A">
      <w:pPr>
        <w:pStyle w:val="19"/>
        <w:spacing w:line="360" w:lineRule="auto"/>
        <w:ind w:right="105" w:rightChars="50" w:firstLine="562"/>
        <w:rPr>
          <w:rFonts w:hint="default" w:ascii="Times New Roman" w:hAnsi="Times New Roman" w:eastAsia="方正兰亭黑简体" w:cs="Times New Roman"/>
          <w:b/>
          <w:bCs/>
          <w:color w:val="auto"/>
          <w:sz w:val="24"/>
          <w:szCs w:val="24"/>
          <w:highlight w:val="none"/>
        </w:rPr>
      </w:pPr>
      <w:r>
        <w:rPr>
          <w:rFonts w:hint="default" w:ascii="Times New Roman" w:hAnsi="Times New Roman" w:eastAsia="方正兰亭黑简体" w:cs="Times New Roman"/>
          <w:b/>
          <w:bCs/>
          <w:color w:val="auto"/>
          <w:sz w:val="24"/>
          <w:szCs w:val="24"/>
          <w:highlight w:val="none"/>
        </w:rPr>
        <w:t>性能提升模块（4项）</w:t>
      </w:r>
    </w:p>
    <w:p w14:paraId="7593AC33">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支持多层地图结构，包括地图（含航空、航运网络）缩放、分地区消化道传染病病例数显示、分病原体种类显示相关航线和风险；</w:t>
      </w:r>
    </w:p>
    <w:p w14:paraId="3D42089A">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信息查询响应速度小于100毫秒，图形操作响应速度小于200毫秒；</w:t>
      </w:r>
    </w:p>
    <w:p w14:paraId="2950E153">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支持并发访问量20；</w:t>
      </w:r>
    </w:p>
    <w:p w14:paraId="1EE0FDC7">
      <w:pPr>
        <w:pStyle w:val="19"/>
        <w:numPr>
          <w:ilvl w:val="0"/>
          <w:numId w:val="4"/>
        </w:numPr>
        <w:spacing w:line="360" w:lineRule="auto"/>
        <w:ind w:right="105" w:rightChars="50" w:firstLine="560"/>
        <w:rPr>
          <w:rFonts w:hint="default" w:ascii="Times New Roman" w:hAnsi="Times New Roman" w:eastAsia="方正兰亭黑简体" w:cs="Times New Roman"/>
          <w:color w:val="auto"/>
          <w:sz w:val="24"/>
          <w:szCs w:val="24"/>
          <w:highlight w:val="none"/>
        </w:rPr>
      </w:pPr>
      <w:r>
        <w:rPr>
          <w:rFonts w:hint="default" w:ascii="Times New Roman" w:hAnsi="Times New Roman" w:eastAsia="方正兰亭黑简体" w:cs="Times New Roman"/>
          <w:color w:val="auto"/>
          <w:sz w:val="24"/>
          <w:szCs w:val="24"/>
          <w:highlight w:val="none"/>
        </w:rPr>
        <w:t>系统需适配多分辨率大屏和主流WEB内核浏览器终端。</w:t>
      </w:r>
    </w:p>
    <w:p w14:paraId="4279B8C0">
      <w:pPr>
        <w:spacing w:line="360" w:lineRule="auto"/>
        <w:rPr>
          <w:rFonts w:hint="eastAsia" w:ascii="方正兰亭黑简体" w:hAnsi="方正兰亭黑简体" w:eastAsia="方正兰亭黑简体" w:cs="方正兰亭黑简体"/>
          <w:color w:val="auto"/>
          <w:sz w:val="22"/>
          <w:szCs w:val="22"/>
          <w:highlight w:val="none"/>
        </w:rPr>
      </w:pP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5"/>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376E4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5BA867B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3BD5266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73F8DC20">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5E600D7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59107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F68C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8B98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6C04270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2D460A8A">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2FE14B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614A2EFF">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36E8C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3F74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298B792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7A30D29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F94B8E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1F077C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00D5E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5E77868B">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3485C39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7DCAF04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0F6666D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12D9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4D422A61">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24F2443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6937CC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F3088BC">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32116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820CDCF">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0F73A17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09656F32">
            <w:pPr>
              <w:pStyle w:val="13"/>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5282DA09">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项目编号：HFBX2025051</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4"/>
        <w:tblW w:w="498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21"/>
        <w:gridCol w:w="3717"/>
        <w:gridCol w:w="2082"/>
        <w:gridCol w:w="1811"/>
        <w:gridCol w:w="1543"/>
      </w:tblGrid>
      <w:tr w14:paraId="579A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318" w:type="pct"/>
            <w:tcBorders>
              <w:top w:val="single" w:color="auto" w:sz="12" w:space="0"/>
              <w:left w:val="single" w:color="auto" w:sz="12" w:space="0"/>
              <w:bottom w:val="double" w:color="auto" w:sz="4" w:space="0"/>
            </w:tcBorders>
            <w:noWrap w:val="0"/>
            <w:vAlign w:val="center"/>
          </w:tcPr>
          <w:p w14:paraId="474CD489">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序号</w:t>
            </w:r>
          </w:p>
        </w:tc>
        <w:tc>
          <w:tcPr>
            <w:tcW w:w="1900" w:type="pct"/>
            <w:tcBorders>
              <w:top w:val="single" w:color="auto" w:sz="12" w:space="0"/>
              <w:bottom w:val="double" w:color="auto" w:sz="4" w:space="0"/>
            </w:tcBorders>
            <w:noWrap w:val="0"/>
            <w:vAlign w:val="center"/>
          </w:tcPr>
          <w:p w14:paraId="73B7305B">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项目名称</w:t>
            </w:r>
          </w:p>
        </w:tc>
        <w:tc>
          <w:tcPr>
            <w:tcW w:w="1065" w:type="pct"/>
            <w:tcBorders>
              <w:top w:val="single" w:color="auto" w:sz="12" w:space="0"/>
              <w:bottom w:val="double" w:color="auto" w:sz="4" w:space="0"/>
              <w:right w:val="single" w:color="auto" w:sz="4" w:space="0"/>
            </w:tcBorders>
            <w:noWrap w:val="0"/>
            <w:vAlign w:val="center"/>
          </w:tcPr>
          <w:p w14:paraId="0BF6F767">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项目报价（）</w:t>
            </w:r>
          </w:p>
        </w:tc>
        <w:tc>
          <w:tcPr>
            <w:tcW w:w="926" w:type="pct"/>
            <w:tcBorders>
              <w:top w:val="single" w:color="auto" w:sz="12" w:space="0"/>
              <w:left w:val="single" w:color="auto" w:sz="4" w:space="0"/>
              <w:bottom w:val="double" w:color="auto" w:sz="4" w:space="0"/>
              <w:right w:val="single" w:color="auto" w:sz="4" w:space="0"/>
            </w:tcBorders>
            <w:noWrap w:val="0"/>
            <w:vAlign w:val="center"/>
          </w:tcPr>
          <w:p w14:paraId="4894B890">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完成时间</w:t>
            </w:r>
          </w:p>
        </w:tc>
        <w:tc>
          <w:tcPr>
            <w:tcW w:w="789" w:type="pct"/>
            <w:tcBorders>
              <w:top w:val="single" w:color="auto" w:sz="12" w:space="0"/>
              <w:left w:val="single" w:color="auto" w:sz="4" w:space="0"/>
              <w:bottom w:val="double" w:color="auto" w:sz="4" w:space="0"/>
              <w:right w:val="single" w:color="auto" w:sz="12" w:space="0"/>
            </w:tcBorders>
            <w:noWrap w:val="0"/>
            <w:vAlign w:val="center"/>
          </w:tcPr>
          <w:p w14:paraId="1DA56D7A">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免费维护（年）</w:t>
            </w:r>
          </w:p>
        </w:tc>
      </w:tr>
      <w:tr w14:paraId="579C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5" w:hRule="exact"/>
        </w:trPr>
        <w:tc>
          <w:tcPr>
            <w:tcW w:w="318" w:type="pct"/>
            <w:tcBorders>
              <w:top w:val="double" w:color="auto" w:sz="4" w:space="0"/>
              <w:left w:val="single" w:color="auto" w:sz="12" w:space="0"/>
              <w:bottom w:val="double" w:color="auto" w:sz="4" w:space="0"/>
            </w:tcBorders>
            <w:noWrap w:val="0"/>
            <w:vAlign w:val="center"/>
          </w:tcPr>
          <w:p w14:paraId="384D002E">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1</w:t>
            </w:r>
          </w:p>
        </w:tc>
        <w:tc>
          <w:tcPr>
            <w:tcW w:w="1900" w:type="pct"/>
            <w:tcBorders>
              <w:top w:val="double" w:color="auto" w:sz="4" w:space="0"/>
              <w:bottom w:val="double" w:color="auto" w:sz="4" w:space="0"/>
            </w:tcBorders>
            <w:noWrap w:val="0"/>
            <w:vAlign w:val="center"/>
          </w:tcPr>
          <w:p w14:paraId="6719B3FD">
            <w:pPr>
              <w:tabs>
                <w:tab w:val="left" w:pos="7020"/>
              </w:tabs>
              <w:jc w:val="center"/>
              <w:rPr>
                <w:rFonts w:hint="eastAsia" w:ascii="黑体" w:hAnsi="黑体" w:eastAsia="黑体" w:cs="Times New Roman"/>
                <w:b/>
                <w:color w:val="auto"/>
                <w:sz w:val="24"/>
                <w:highlight w:val="none"/>
              </w:rPr>
            </w:pPr>
            <w:r>
              <w:rPr>
                <w:rFonts w:hint="eastAsia" w:ascii="黑体" w:hAnsi="黑体" w:eastAsia="黑体"/>
                <w:b/>
                <w:color w:val="auto"/>
                <w:sz w:val="24"/>
                <w:highlight w:val="none"/>
                <w:lang w:val="en-US" w:eastAsia="zh-CN"/>
              </w:rPr>
              <w:t>航空数据采集及系统界面优化与性能提升服务</w:t>
            </w:r>
          </w:p>
        </w:tc>
        <w:tc>
          <w:tcPr>
            <w:tcW w:w="1065" w:type="pct"/>
            <w:tcBorders>
              <w:top w:val="double" w:color="auto" w:sz="4" w:space="0"/>
              <w:bottom w:val="double" w:color="auto" w:sz="4" w:space="0"/>
              <w:right w:val="single" w:color="auto" w:sz="4" w:space="0"/>
            </w:tcBorders>
            <w:noWrap w:val="0"/>
            <w:vAlign w:val="center"/>
          </w:tcPr>
          <w:p w14:paraId="6061CC09">
            <w:pPr>
              <w:tabs>
                <w:tab w:val="left" w:pos="7020"/>
              </w:tabs>
              <w:jc w:val="center"/>
              <w:rPr>
                <w:rFonts w:hint="eastAsia" w:ascii="黑体" w:hAnsi="黑体" w:eastAsia="黑体" w:cs="Times New Roman"/>
                <w:b/>
                <w:color w:val="auto"/>
                <w:sz w:val="24"/>
                <w:highlight w:val="none"/>
              </w:rPr>
            </w:pPr>
          </w:p>
        </w:tc>
        <w:tc>
          <w:tcPr>
            <w:tcW w:w="926" w:type="pct"/>
            <w:tcBorders>
              <w:top w:val="double" w:color="auto" w:sz="4" w:space="0"/>
              <w:left w:val="single" w:color="auto" w:sz="4" w:space="0"/>
              <w:bottom w:val="double" w:color="auto" w:sz="4" w:space="0"/>
              <w:right w:val="single" w:color="auto" w:sz="4" w:space="0"/>
            </w:tcBorders>
            <w:noWrap w:val="0"/>
            <w:vAlign w:val="center"/>
          </w:tcPr>
          <w:p w14:paraId="03A2AFB4">
            <w:pPr>
              <w:tabs>
                <w:tab w:val="left" w:pos="7020"/>
              </w:tabs>
              <w:jc w:val="center"/>
              <w:rPr>
                <w:rFonts w:hint="default"/>
                <w:color w:val="auto"/>
                <w:highlight w:val="none"/>
                <w:lang w:val="en-US" w:eastAsia="zh-CN"/>
              </w:rPr>
            </w:pPr>
            <w:r>
              <w:rPr>
                <w:rFonts w:hint="eastAsia" w:ascii="黑体" w:hAnsi="黑体" w:eastAsia="黑体"/>
                <w:b/>
                <w:color w:val="auto"/>
                <w:sz w:val="24"/>
                <w:highlight w:val="none"/>
                <w:lang w:val="en-US" w:eastAsia="zh-CN"/>
              </w:rPr>
              <w:t>自合同签订之日起___天</w:t>
            </w:r>
          </w:p>
        </w:tc>
        <w:tc>
          <w:tcPr>
            <w:tcW w:w="789" w:type="pct"/>
            <w:tcBorders>
              <w:top w:val="double" w:color="auto" w:sz="4" w:space="0"/>
              <w:left w:val="single" w:color="auto" w:sz="4" w:space="0"/>
              <w:bottom w:val="double" w:color="auto" w:sz="4" w:space="0"/>
              <w:right w:val="single" w:color="auto" w:sz="12" w:space="0"/>
            </w:tcBorders>
            <w:noWrap w:val="0"/>
            <w:vAlign w:val="center"/>
          </w:tcPr>
          <w:p w14:paraId="3F20429A">
            <w:pPr>
              <w:tabs>
                <w:tab w:val="left" w:pos="7020"/>
              </w:tabs>
              <w:spacing w:line="360" w:lineRule="auto"/>
              <w:jc w:val="center"/>
              <w:rPr>
                <w:rFonts w:hint="default"/>
                <w:color w:val="auto"/>
                <w:highlight w:val="none"/>
                <w:lang w:val="en-US" w:eastAsia="zh-CN"/>
              </w:rPr>
            </w:pPr>
          </w:p>
        </w:tc>
      </w:tr>
      <w:tr w14:paraId="5510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2219" w:type="pct"/>
            <w:gridSpan w:val="2"/>
            <w:tcBorders>
              <w:top w:val="double" w:color="auto" w:sz="4" w:space="0"/>
              <w:left w:val="single" w:color="auto" w:sz="12" w:space="0"/>
              <w:bottom w:val="single" w:color="auto" w:sz="12" w:space="0"/>
              <w:right w:val="single" w:color="auto" w:sz="4" w:space="0"/>
            </w:tcBorders>
            <w:noWrap w:val="0"/>
            <w:vAlign w:val="center"/>
          </w:tcPr>
          <w:p w14:paraId="0F13BD8C">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合计金额（人民币）</w:t>
            </w:r>
          </w:p>
        </w:tc>
        <w:tc>
          <w:tcPr>
            <w:tcW w:w="2780" w:type="pct"/>
            <w:gridSpan w:val="3"/>
            <w:tcBorders>
              <w:top w:val="double" w:color="auto" w:sz="4" w:space="0"/>
              <w:left w:val="single" w:color="auto" w:sz="4" w:space="0"/>
              <w:bottom w:val="single" w:color="auto" w:sz="12" w:space="0"/>
              <w:right w:val="single" w:color="auto" w:sz="12" w:space="0"/>
            </w:tcBorders>
            <w:noWrap w:val="0"/>
            <w:vAlign w:val="center"/>
          </w:tcPr>
          <w:p w14:paraId="70C7A344">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           （大写）：</w:t>
            </w:r>
          </w:p>
        </w:tc>
      </w:tr>
    </w:tbl>
    <w:p w14:paraId="0F0EB054">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D1E3BE6">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做如下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5"/>
        <w:rPr>
          <w:rFonts w:hint="default" w:ascii="方正兰亭黑简体" w:hAnsi="方正兰亭黑简体" w:eastAsia="方正兰亭黑简体" w:cs="方正兰亭黑简体"/>
          <w:color w:val="auto"/>
          <w:sz w:val="22"/>
          <w:szCs w:val="28"/>
          <w:highlight w:val="none"/>
          <w:lang w:val="en-US" w:eastAsia="zh-CN"/>
        </w:rPr>
      </w:pPr>
    </w:p>
    <w:p w14:paraId="3F5F1DB4">
      <w:pPr>
        <w:pStyle w:val="5"/>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64950263">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kern w:val="2"/>
          <w:sz w:val="22"/>
          <w:szCs w:val="28"/>
          <w:highlight w:val="none"/>
          <w:lang w:val="en-US" w:eastAsia="zh-CN" w:bidi="ar-SA"/>
        </w:rPr>
        <w:t>、项目</w:t>
      </w:r>
      <w:r>
        <w:rPr>
          <w:rFonts w:hint="eastAsia" w:ascii="方正兰亭黑简体" w:hAnsi="方正兰亭黑简体" w:eastAsia="方正兰亭黑简体" w:cs="方正兰亭黑简体"/>
          <w:color w:val="auto"/>
          <w:sz w:val="22"/>
          <w:szCs w:val="28"/>
          <w:highlight w:val="none"/>
          <w:lang w:val="en-US" w:eastAsia="zh-CN"/>
        </w:rPr>
        <w:t>服务方案及实施计划</w:t>
      </w:r>
    </w:p>
    <w:p w14:paraId="0492334C">
      <w:pPr>
        <w:pStyle w:val="4"/>
        <w:numPr>
          <w:ilvl w:val="0"/>
          <w:numId w:val="0"/>
        </w:numPr>
        <w:ind w:left="0" w:leftChars="0" w:firstLine="0" w:firstLineChars="0"/>
        <w:rPr>
          <w:rFonts w:hint="eastAsia" w:ascii="方正兰亭黑简体" w:hAnsi="方正兰亭黑简体" w:eastAsia="方正兰亭黑简体" w:cs="方正兰亭黑简体"/>
          <w:color w:val="auto"/>
          <w:kern w:val="2"/>
          <w:sz w:val="22"/>
          <w:szCs w:val="28"/>
          <w:highlight w:val="none"/>
          <w:lang w:val="en-US" w:eastAsia="zh-CN" w:bidi="ar-SA"/>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5</w:t>
      </w:r>
      <w:r>
        <w:rPr>
          <w:rFonts w:hint="default"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业绩案例</w:t>
      </w:r>
    </w:p>
    <w:p w14:paraId="575220FA">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8ED7EC-3716-49D3-B6DE-EDC974A17A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0A9503F6-5261-4FD7-AA22-AE4C993A5618}"/>
  </w:font>
  <w:font w:name="华文楷体">
    <w:panose1 w:val="02010600040101010101"/>
    <w:charset w:val="86"/>
    <w:family w:val="auto"/>
    <w:pitch w:val="default"/>
    <w:sig w:usb0="00000287" w:usb1="080F0000" w:usb2="00000000" w:usb3="00000000" w:csb0="0004009F" w:csb1="DFD70000"/>
    <w:embedRegular r:id="rId3" w:fontKey="{496882B1-0526-4824-B308-154B12A75D11}"/>
  </w:font>
  <w:font w:name="方正仿宋_GB2312">
    <w:panose1 w:val="02000000000000000000"/>
    <w:charset w:val="86"/>
    <w:family w:val="auto"/>
    <w:pitch w:val="default"/>
    <w:sig w:usb0="A00002BF" w:usb1="184F6CFA" w:usb2="00000012" w:usb3="00000000" w:csb0="00040001" w:csb1="00000000"/>
    <w:embedRegular r:id="rId4" w:fontKey="{B53BB4DC-2758-496C-A6D0-12C6AF2B13B3}"/>
  </w:font>
  <w:font w:name="仿宋">
    <w:panose1 w:val="02010609060101010101"/>
    <w:charset w:val="86"/>
    <w:family w:val="modern"/>
    <w:pitch w:val="default"/>
    <w:sig w:usb0="800002BF" w:usb1="38CF7CFA" w:usb2="00000016" w:usb3="00000000" w:csb0="00040001" w:csb1="00000000"/>
    <w:embedRegular r:id="rId5" w:fontKey="{A8985501-58F9-4045-88CE-15628C2C7E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abstractNum w:abstractNumId="1">
    <w:nsid w:val="1F180144"/>
    <w:multiLevelType w:val="multilevel"/>
    <w:tmpl w:val="1F180144"/>
    <w:lvl w:ilvl="0" w:tentative="0">
      <w:start w:val="1"/>
      <w:numFmt w:val="decimal"/>
      <w:lvlText w:val="%1、"/>
      <w:lvlJc w:val="left"/>
      <w:pPr>
        <w:ind w:left="1146" w:hanging="720"/>
      </w:pPr>
      <w:rPr>
        <w:rFonts w:hint="default"/>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2">
    <w:nsid w:val="33E21991"/>
    <w:multiLevelType w:val="multilevel"/>
    <w:tmpl w:val="33E21991"/>
    <w:lvl w:ilvl="0" w:tentative="0">
      <w:start w:val="6"/>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F4F30AE"/>
    <w:multiLevelType w:val="multilevel"/>
    <w:tmpl w:val="5F4F30AE"/>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2"/>
      <w:numFmt w:val="decimal"/>
      <w:lvlText w:val="%3、"/>
      <w:lvlJc w:val="left"/>
      <w:pPr>
        <w:ind w:left="2520" w:hanging="720"/>
      </w:pPr>
      <w:rPr>
        <w:rFonts w:hint="default" w:ascii="Times New Roman" w:hAnsi="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7836770"/>
    <w:multiLevelType w:val="multilevel"/>
    <w:tmpl w:val="6783677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3353790"/>
    <w:rsid w:val="157E6317"/>
    <w:rsid w:val="24050543"/>
    <w:rsid w:val="269F2B16"/>
    <w:rsid w:val="2FB07FD7"/>
    <w:rsid w:val="33B3033B"/>
    <w:rsid w:val="3444286B"/>
    <w:rsid w:val="35906085"/>
    <w:rsid w:val="3A9852E0"/>
    <w:rsid w:val="3D6469F5"/>
    <w:rsid w:val="3FCC680A"/>
    <w:rsid w:val="3FDF48A5"/>
    <w:rsid w:val="40134FEB"/>
    <w:rsid w:val="41007DAA"/>
    <w:rsid w:val="480A63EB"/>
    <w:rsid w:val="487158D1"/>
    <w:rsid w:val="4CCA439B"/>
    <w:rsid w:val="4DDF7B10"/>
    <w:rsid w:val="4EFD134C"/>
    <w:rsid w:val="543D6D6A"/>
    <w:rsid w:val="58C4549A"/>
    <w:rsid w:val="5AEA704B"/>
    <w:rsid w:val="5DF2219B"/>
    <w:rsid w:val="5E8720EC"/>
    <w:rsid w:val="5EE9209B"/>
    <w:rsid w:val="60BF2A71"/>
    <w:rsid w:val="66E533C4"/>
    <w:rsid w:val="681A51E0"/>
    <w:rsid w:val="695E3370"/>
    <w:rsid w:val="699D5EE7"/>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Body Text 2"/>
    <w:basedOn w:val="1"/>
    <w:qFormat/>
    <w:uiPriority w:val="0"/>
    <w:pPr>
      <w:spacing w:after="120" w:line="480" w:lineRule="auto"/>
    </w:pPr>
    <w:rPr>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3"/>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3518</Words>
  <Characters>3739</Characters>
  <Lines>0</Lines>
  <Paragraphs>0</Paragraphs>
  <TotalTime>4</TotalTime>
  <ScaleCrop>false</ScaleCrop>
  <LinksUpToDate>false</LinksUpToDate>
  <CharactersWithSpaces>4043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2025-05-28T15:13:21Z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eyJoZGlkIjoiZGVmM2YzZmUwZjIwOWQ5MzUzZGEwZTI1OTc3MjFhOGYiLCJ1c2VySWQiOiIyOTgyOTgyOTEifQ==</vt:lpwstr>
  </property>
  <property fmtid="{D5CDD505-2E9C-101B-9397-08002B2CF9AE}" pid="4" name="ICV">
    <vt:lpwstr>2BFD31D5F3FB4B709DBC969892577809_12</vt:lpwstr>
  </property>
</Properties>
</file>