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上海海事大学24小时网站值班监测告警服务需求</w:t>
      </w:r>
    </w:p>
    <w:p>
      <w:pPr>
        <w:numPr>
          <w:ilvl w:val="0"/>
          <w:numId w:val="1"/>
        </w:numPr>
        <w:spacing w:line="360" w:lineRule="auto"/>
        <w:outlineLvl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参数说明</w:t>
      </w:r>
    </w:p>
    <w:tbl>
      <w:tblPr>
        <w:tblStyle w:val="8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315"/>
        <w:gridCol w:w="7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38" w:type="dxa"/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服务类别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服务名称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详细参数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38" w:type="dxa"/>
            <w:vMerge w:val="restart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定期风险评估</w:t>
            </w:r>
          </w:p>
        </w:tc>
        <w:tc>
          <w:tcPr>
            <w:tcW w:w="131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24"/>
              </w:rPr>
              <w:t>暴露面检测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24"/>
              </w:rPr>
              <w:t>支持关键资产系统域名发现，自动发现客户所填入域名相关的所有子域名；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638" w:type="dxa"/>
            <w:vMerge w:val="continue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24"/>
              </w:rPr>
              <w:t>支持检测网站服务器端口开放情况，比如数据库端口、Ftp服务端口等；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24"/>
              </w:rPr>
              <w:t>漏洞脆弱性检测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24"/>
              </w:rPr>
              <w:t>支持对Web漏洞进行扫描，覆盖通用漏洞和常规漏洞。支持SQL注入、XSS、安全配置错误、已知漏洞组件包含、敏感信息泄露等常见漏洞的检测；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6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24"/>
              </w:rPr>
              <w:t>专家漏洞验证服务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 w:themeColor="text1"/>
                <w:kern w:val="0"/>
                <w:sz w:val="24"/>
              </w:rPr>
              <w:t>对风险评估报告中的高危漏洞进行专家验证，确保高危事件的准确性，并定期给用户推送云扫描报告。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38" w:type="dxa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高危0day事件告警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▲支持高危0day实时检测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br w:type="textWrapping"/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出现0D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ay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漏洞时，主动对所监控用户业务做扫描发现，重要网络安全事件和安全漏洞快速预警通告和检测，检测结果第一时间定向推送到客户，能够支持微信端实时推送告警信息（提供截图证明）；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38" w:type="dxa"/>
            <w:vMerge w:val="restart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实时异常监测</w:t>
            </w: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敏感词监测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支持对目标站点提供7×24小时网页敏感词检测能力。发现网页敏感词事件第一时间通过微信通知用户，监测内容能够在报告中进行呈现；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38" w:type="dxa"/>
            <w:vMerge w:val="continue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业务可用性监测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支持页面响应监测，通过固定的频率模拟用户请求访问被监控站点，实时获取站点的响应状态和请求详情，精准的探测出网站的各种异常3分钟检测一次，当连续3次访问失败时判断为业务不可用；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38" w:type="dxa"/>
            <w:vMerge w:val="continue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支持网站存活监测，通过固定的频率探测被监控站点存活状态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篡改监测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▲对目标站点的关键页面进行实时篡改监测，分钟级篡改发现，第一时间通过微信进行实时告警，并提供主动电话告警（提截图证明）；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6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▲支持整站内容进行篡改监测，梳理并在首页展示站点结构图，显示网站各节点是否存在被篡改事件（提供界面截图证明）；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黑链监测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支持对目标站点提供7×24小时网页黑链监测能力。发现网页黑链事件第一时间通过微信通知用户，监测内容能够在报告中进行呈现。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38" w:type="dxa"/>
            <w:vMerge w:val="restart"/>
            <w:shd w:val="clear" w:color="auto" w:fill="D0CECE" w:themeFill="background2" w:themeFillShade="E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及时告警</w:t>
            </w: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微信告警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支持以微信的方式对篡改、挂马、网站不可用等安全事件进行实时告警，支持微信端内容的及时推送；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638" w:type="dxa"/>
            <w:vMerge w:val="continue"/>
            <w:shd w:val="clear" w:color="auto" w:fill="D0CECE" w:themeFill="background2" w:themeFillShade="E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 w:themeColor="text1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 w:themeColor="text1"/>
                <w:kern w:val="0"/>
                <w:sz w:val="24"/>
              </w:rPr>
              <w:t>邮件告警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color w:val="000000" w:themeColor="text1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 w:themeColor="text1"/>
                <w:kern w:val="0"/>
                <w:sz w:val="24"/>
              </w:rPr>
              <w:t>支持邮件的方式推送安全事件报告、月报运营报告，便于站点安全的管理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38" w:type="dxa"/>
            <w:vMerge w:val="restart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可视化展示</w:t>
            </w: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ascii="微软雅黑" w:hAnsi="微软雅黑" w:eastAsia="微软雅黑" w:cs="Helvetica"/>
                <w:kern w:val="0"/>
                <w:sz w:val="24"/>
              </w:rPr>
              <w:t>风险管理可视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▲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平台展示包括web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业务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系统的风险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统计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、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风险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分布、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潜在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风险篡改TOP5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和风险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等级统计；</w:t>
            </w:r>
          </w:p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风险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列表中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包括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已被篡改风险、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潜在篡改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风险、非篡改风险；</w:t>
            </w:r>
          </w:p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风险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状态包含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未解决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状态、平台自动已解决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状态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、人工标记已解决状态，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便于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快速了解风险处理进度；</w:t>
            </w:r>
          </w:p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ascii="微软雅黑" w:hAnsi="微软雅黑" w:eastAsia="微软雅黑" w:cs="Helvetica"/>
                <w:kern w:val="0"/>
                <w:sz w:val="24"/>
              </w:rPr>
              <w:t>支持根据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单位名称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风险；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（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提供截图证明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38" w:type="dxa"/>
            <w:vMerge w:val="continue"/>
            <w:shd w:val="clear" w:color="auto" w:fill="D0CECE" w:themeFill="background2" w:themeFillShade="E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restart"/>
            <w:shd w:val="clear" w:color="000000" w:fill="FFFFFF"/>
            <w:vAlign w:val="center"/>
          </w:tcPr>
          <w:p>
            <w:pPr>
              <w:widowControl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篡改监测过程可视化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支持提供可视化的篡改监测界面，首页可直观展示篡改监测过程和监测结果，如正在监测哪一个页面，历史监测页面的安全状况等，便于实时掌握业务风险情况；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8" w:type="dxa"/>
            <w:vMerge w:val="continue"/>
            <w:shd w:val="clear" w:color="auto" w:fill="D0CECE" w:themeFill="background2" w:themeFillShade="E6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bookmarkStart w:id="0" w:name="_Hlk525032565"/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▲网站篡改事件应支持查看“举证图片”，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管理人员可通过微信及web登录界面，直观查看被篡改内容，便于第一时间掌握被篡改的情况（提供微信及web界面截图证明）；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638" w:type="dxa"/>
            <w:vMerge w:val="continue"/>
            <w:shd w:val="clear" w:color="auto" w:fill="D0CECE" w:themeFill="background2" w:themeFillShade="E6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ascii="微软雅黑" w:hAnsi="微软雅黑" w:eastAsia="微软雅黑" w:cs="Helvetica"/>
                <w:kern w:val="0"/>
                <w:sz w:val="24"/>
              </w:rPr>
              <w:t>交付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报告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支持每月定期进行网站安全评估，并生成安全评估报告，报告应至少包含扫描站点信息、风险分布情况、漏洞的风险描述、影响范围、解决方案和具体的攻击举证进行详细的展示；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638" w:type="dxa"/>
            <w:vMerge w:val="continue"/>
            <w:shd w:val="clear" w:color="auto" w:fill="D0CECE" w:themeFill="background2" w:themeFillShade="E6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ascii="微软雅黑" w:hAnsi="微软雅黑" w:eastAsia="微软雅黑" w:cs="Helvetica"/>
                <w:kern w:val="0"/>
                <w:sz w:val="24"/>
              </w:rPr>
              <w:t>平台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可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自动生成以下报告：《安全事件报告》、《内网扫描报告》、《云扫描报告》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、《每日值守报告》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、《安全运营报告》、《重大活动值守报告》；</w:t>
            </w:r>
          </w:p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bookmarkStart w:id="1" w:name="_Hlk525032876"/>
            <w:r>
              <w:rPr>
                <w:rFonts w:ascii="微软雅黑" w:hAnsi="微软雅黑" w:eastAsia="微软雅黑" w:cs="Helvetica"/>
                <w:kern w:val="0"/>
                <w:sz w:val="24"/>
              </w:rPr>
              <w:t>支持手动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按时间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范围导出《值守报告》。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638" w:type="dxa"/>
            <w:shd w:val="clear" w:color="auto" w:fill="D0CECE" w:themeFill="background2" w:themeFillShade="E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服务期为1年，服务期满后若甲方对中标单位提供的服务满意且服务价格保持不变，经双方商定后，可与中标单位续约一年服务合同，最多可续约两次。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638" w:type="dxa"/>
            <w:shd w:val="clear" w:color="auto" w:fill="D0CECE" w:themeFill="background2" w:themeFillShade="E6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Helvetic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  <w:lang w:val="en-US" w:eastAsia="zh-CN"/>
              </w:rPr>
              <w:t>网站数量</w:t>
            </w: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Helvetica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  <w:lang w:val="en-US" w:eastAsia="zh-CN"/>
              </w:rPr>
              <w:t>监测校内网站数量不少于90个。</w:t>
            </w:r>
            <w:bookmarkStart w:id="2" w:name="_GoBack"/>
            <w:bookmarkEnd w:id="2"/>
          </w:p>
        </w:tc>
      </w:tr>
    </w:tbl>
    <w:p>
      <w:pPr>
        <w:spacing w:line="360" w:lineRule="auto"/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FB"/>
    <w:rsid w:val="000175E1"/>
    <w:rsid w:val="000268B6"/>
    <w:rsid w:val="0004794C"/>
    <w:rsid w:val="00051DDC"/>
    <w:rsid w:val="000C4FF2"/>
    <w:rsid w:val="000D1E31"/>
    <w:rsid w:val="000D47F7"/>
    <w:rsid w:val="000F3353"/>
    <w:rsid w:val="000F7CDA"/>
    <w:rsid w:val="00104D1C"/>
    <w:rsid w:val="0014677F"/>
    <w:rsid w:val="0014745C"/>
    <w:rsid w:val="00162B6B"/>
    <w:rsid w:val="0018100A"/>
    <w:rsid w:val="001A03BD"/>
    <w:rsid w:val="001B0A06"/>
    <w:rsid w:val="001C307A"/>
    <w:rsid w:val="001F3ADF"/>
    <w:rsid w:val="00236C3C"/>
    <w:rsid w:val="00252D3B"/>
    <w:rsid w:val="00256105"/>
    <w:rsid w:val="00257C85"/>
    <w:rsid w:val="00284969"/>
    <w:rsid w:val="00287298"/>
    <w:rsid w:val="002F2D1A"/>
    <w:rsid w:val="00316855"/>
    <w:rsid w:val="0033337C"/>
    <w:rsid w:val="0033562E"/>
    <w:rsid w:val="003571F3"/>
    <w:rsid w:val="00384D6A"/>
    <w:rsid w:val="00385E2E"/>
    <w:rsid w:val="003A0FBC"/>
    <w:rsid w:val="003A4ECB"/>
    <w:rsid w:val="003D5D13"/>
    <w:rsid w:val="003E5524"/>
    <w:rsid w:val="003E744D"/>
    <w:rsid w:val="00401C5A"/>
    <w:rsid w:val="00403FE3"/>
    <w:rsid w:val="0040698F"/>
    <w:rsid w:val="00442078"/>
    <w:rsid w:val="00446537"/>
    <w:rsid w:val="004635AF"/>
    <w:rsid w:val="00474C04"/>
    <w:rsid w:val="004761D2"/>
    <w:rsid w:val="00477AEF"/>
    <w:rsid w:val="00521EBA"/>
    <w:rsid w:val="00534A49"/>
    <w:rsid w:val="005354C4"/>
    <w:rsid w:val="00557A22"/>
    <w:rsid w:val="00570752"/>
    <w:rsid w:val="00576928"/>
    <w:rsid w:val="005828AE"/>
    <w:rsid w:val="005874EA"/>
    <w:rsid w:val="00592347"/>
    <w:rsid w:val="00593B3D"/>
    <w:rsid w:val="0059471A"/>
    <w:rsid w:val="005A0FB9"/>
    <w:rsid w:val="005B66D3"/>
    <w:rsid w:val="005D174E"/>
    <w:rsid w:val="005D1A8C"/>
    <w:rsid w:val="005E72C3"/>
    <w:rsid w:val="00601B22"/>
    <w:rsid w:val="00613C83"/>
    <w:rsid w:val="00613CF4"/>
    <w:rsid w:val="006236B3"/>
    <w:rsid w:val="00626AAB"/>
    <w:rsid w:val="00652D3E"/>
    <w:rsid w:val="0067161C"/>
    <w:rsid w:val="00681502"/>
    <w:rsid w:val="006939D0"/>
    <w:rsid w:val="006A32EA"/>
    <w:rsid w:val="006A4DEC"/>
    <w:rsid w:val="006C524F"/>
    <w:rsid w:val="006D5E4C"/>
    <w:rsid w:val="006F7818"/>
    <w:rsid w:val="007342B6"/>
    <w:rsid w:val="007478D0"/>
    <w:rsid w:val="007621E1"/>
    <w:rsid w:val="00775541"/>
    <w:rsid w:val="00820A28"/>
    <w:rsid w:val="00837234"/>
    <w:rsid w:val="00865EB0"/>
    <w:rsid w:val="008C503D"/>
    <w:rsid w:val="008E7317"/>
    <w:rsid w:val="008F19FB"/>
    <w:rsid w:val="009302CF"/>
    <w:rsid w:val="00930CF9"/>
    <w:rsid w:val="00996227"/>
    <w:rsid w:val="009975EC"/>
    <w:rsid w:val="009B7917"/>
    <w:rsid w:val="009F2121"/>
    <w:rsid w:val="009F27B0"/>
    <w:rsid w:val="00A11615"/>
    <w:rsid w:val="00A46C58"/>
    <w:rsid w:val="00A740BC"/>
    <w:rsid w:val="00A8006B"/>
    <w:rsid w:val="00A92380"/>
    <w:rsid w:val="00AD6538"/>
    <w:rsid w:val="00B13761"/>
    <w:rsid w:val="00B22DE7"/>
    <w:rsid w:val="00B47E2E"/>
    <w:rsid w:val="00B53655"/>
    <w:rsid w:val="00B80C4B"/>
    <w:rsid w:val="00C16C6F"/>
    <w:rsid w:val="00C56F08"/>
    <w:rsid w:val="00C67AE0"/>
    <w:rsid w:val="00C77BCE"/>
    <w:rsid w:val="00C87ABD"/>
    <w:rsid w:val="00CC3F6F"/>
    <w:rsid w:val="00CD21AE"/>
    <w:rsid w:val="00CD6C0F"/>
    <w:rsid w:val="00CE621F"/>
    <w:rsid w:val="00D0491A"/>
    <w:rsid w:val="00D357EC"/>
    <w:rsid w:val="00D618AC"/>
    <w:rsid w:val="00D63CDA"/>
    <w:rsid w:val="00D84345"/>
    <w:rsid w:val="00E339CF"/>
    <w:rsid w:val="00E37106"/>
    <w:rsid w:val="00E43221"/>
    <w:rsid w:val="00E76009"/>
    <w:rsid w:val="00E91CF1"/>
    <w:rsid w:val="00EA35C3"/>
    <w:rsid w:val="00ED181E"/>
    <w:rsid w:val="00F11890"/>
    <w:rsid w:val="00F200BB"/>
    <w:rsid w:val="00F3753F"/>
    <w:rsid w:val="00F42FF6"/>
    <w:rsid w:val="2ECC5A0F"/>
    <w:rsid w:val="64605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unhideWhenUsed/>
    <w:uiPriority w:val="99"/>
    <w:rPr>
      <w:rFonts w:ascii="宋体"/>
      <w:sz w:val="24"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rFonts w:ascii="Times New Roman" w:hAnsi="Times New Roman"/>
      <w:b/>
      <w:bCs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3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文字 Char1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主题 Char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0">
    <w:name w:val="文档结构图 Char"/>
    <w:basedOn w:val="10"/>
    <w:link w:val="2"/>
    <w:semiHidden/>
    <w:qFormat/>
    <w:uiPriority w:val="99"/>
    <w:rPr>
      <w:rFonts w:ascii="宋体" w:hAnsi="Times New Roman" w:eastAsia="宋体" w:cs="Times New Roman"/>
      <w:sz w:val="24"/>
      <w:szCs w:val="24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D14210-E313-48B9-9E0B-5416FE8B0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</Words>
  <Characters>1237</Characters>
  <Lines>10</Lines>
  <Paragraphs>2</Paragraphs>
  <TotalTime>93</TotalTime>
  <ScaleCrop>false</ScaleCrop>
  <LinksUpToDate>false</LinksUpToDate>
  <CharactersWithSpaces>1451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2019-10-21T04:17:00Z</dcterms:created>
  <dc:creator>LiuZB</dc:creator>
  <cp:lastModifiedBy>孙尊涛</cp:lastModifiedBy>
  <dcterms:modified xsi:type="dcterms:W3CDTF">2019-10-24T03:01:42Z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