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center"/>
        <w:rPr>
          <w:rFonts w:hint="eastAsia" w:ascii="微软雅黑" w:eastAsia="微软雅黑"/>
          <w:b w:val="0"/>
          <w:sz w:val="32"/>
          <w:szCs w:val="28"/>
          <w:lang w:eastAsia="zh-CN"/>
        </w:rPr>
      </w:pPr>
      <w:r>
        <w:rPr>
          <w:rFonts w:hint="eastAsia" w:ascii="微软雅黑" w:eastAsia="微软雅黑"/>
          <w:b w:val="0"/>
          <w:sz w:val="32"/>
          <w:szCs w:val="28"/>
          <w:lang w:eastAsia="zh-CN"/>
        </w:rPr>
        <w:t>防雷检测招标要求</w:t>
      </w:r>
    </w:p>
    <w:p>
      <w:pPr>
        <w:numPr>
          <w:ilvl w:val="0"/>
          <w:numId w:val="1"/>
        </w:numPr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0"/>
        <w:rPr>
          <w:rFonts w:hint="eastAsia" w:ascii="宋体" w:eastAsia="宋体"/>
          <w:b/>
          <w:sz w:val="24"/>
          <w:lang w:eastAsia="zh-CN"/>
        </w:rPr>
      </w:pPr>
      <w:r>
        <w:rPr>
          <w:rFonts w:hint="eastAsia" w:ascii="宋体" w:eastAsia="宋体"/>
          <w:b/>
          <w:sz w:val="24"/>
          <w:lang w:eastAsia="zh-CN"/>
        </w:rPr>
        <w:t>项目简介</w:t>
      </w:r>
    </w:p>
    <w:p>
      <w:pPr>
        <w:numPr>
          <w:ilvl w:val="0"/>
          <w:numId w:val="0"/>
        </w:numPr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eastAsia" w:ascii="宋体" w:eastAsia="宋体"/>
          <w:sz w:val="24"/>
          <w:lang w:eastAsia="zh-CN"/>
        </w:rPr>
      </w:pPr>
      <w:r>
        <w:rPr>
          <w:rFonts w:hint="eastAsia" w:ascii="宋体" w:eastAsia="宋体"/>
          <w:sz w:val="24"/>
          <w:lang w:eastAsia="zh-CN"/>
        </w:rPr>
        <w:t>为了切实执行《中华人民共和国气象</w:t>
      </w:r>
      <w:r>
        <w:rPr>
          <w:rFonts w:hint="default" w:ascii="宋体" w:eastAsia="宋体"/>
          <w:sz w:val="24"/>
          <w:lang w:eastAsia="zh-CN"/>
        </w:rPr>
        <w:t>法》</w:t>
      </w:r>
      <w:r>
        <w:rPr>
          <w:rFonts w:hint="eastAsia" w:ascii="宋体" w:eastAsia="宋体"/>
          <w:sz w:val="24"/>
          <w:lang w:eastAsia="zh-CN"/>
        </w:rPr>
        <w:t>和《</w:t>
      </w:r>
      <w:r>
        <w:rPr>
          <w:rFonts w:hint="default" w:ascii="宋体" w:eastAsia="宋体"/>
          <w:sz w:val="24"/>
          <w:lang w:eastAsia="zh-CN"/>
        </w:rPr>
        <w:t>防雷减灾管理办法》</w:t>
      </w:r>
      <w:r>
        <w:rPr>
          <w:rFonts w:hint="eastAsia" w:ascii="宋体" w:eastAsia="宋体"/>
          <w:sz w:val="24"/>
          <w:lang w:eastAsia="zh-CN"/>
        </w:rPr>
        <w:t>，有效提高我校防雷防灾能力，完善防雷防灾档案建设，特开展此项目。</w:t>
      </w:r>
    </w:p>
    <w:p>
      <w:pPr>
        <w:numPr>
          <w:ilvl w:val="0"/>
          <w:numId w:val="0"/>
        </w:numPr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0"/>
        <w:rPr>
          <w:rFonts w:hint="eastAsia" w:ascii="宋体" w:eastAsia="宋体"/>
          <w:b/>
          <w:sz w:val="24"/>
          <w:lang w:eastAsia="zh-CN"/>
        </w:rPr>
      </w:pPr>
      <w:r>
        <w:rPr>
          <w:rFonts w:hint="eastAsia" w:ascii="宋体" w:eastAsia="宋体"/>
          <w:b/>
          <w:sz w:val="24"/>
          <w:lang w:eastAsia="zh-CN"/>
        </w:rPr>
        <w:t>二．投标人资质要求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1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1.</w:t>
      </w:r>
      <w:r>
        <w:rPr>
          <w:rFonts w:ascii="宋体" w:hAnsi="宋体" w:eastAsia="宋体"/>
          <w:b/>
          <w:sz w:val="24"/>
          <w:szCs w:val="24"/>
        </w:rPr>
        <w:t>在中华人民共和国境内注册，具有独立法人资格的防雷设施</w:t>
      </w:r>
      <w:r>
        <w:rPr>
          <w:rFonts w:hint="eastAsia" w:ascii="宋体" w:hAnsi="宋体" w:eastAsia="宋体"/>
          <w:b/>
          <w:sz w:val="24"/>
          <w:szCs w:val="24"/>
        </w:rPr>
        <w:t>检验</w:t>
      </w:r>
      <w:r>
        <w:rPr>
          <w:rFonts w:ascii="宋体" w:hAnsi="宋体" w:eastAsia="宋体"/>
          <w:b/>
          <w:sz w:val="24"/>
          <w:szCs w:val="24"/>
        </w:rPr>
        <w:t>检测机构；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1"/>
        <w:rPr>
          <w:rFonts w:hint="eastAsia"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2.</w:t>
      </w:r>
      <w:r>
        <w:rPr>
          <w:rFonts w:ascii="宋体" w:hAnsi="宋体" w:eastAsia="宋体"/>
          <w:b/>
          <w:sz w:val="24"/>
          <w:szCs w:val="24"/>
        </w:rPr>
        <w:t>投标单位必须是上海市防雷协会的认证会员单位</w:t>
      </w:r>
      <w:r>
        <w:rPr>
          <w:rFonts w:hint="eastAsia" w:ascii="宋体" w:hAnsi="宋体" w:eastAsia="宋体"/>
          <w:b/>
          <w:sz w:val="24"/>
          <w:szCs w:val="24"/>
        </w:rPr>
        <w:t>；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1"/>
        <w:rPr>
          <w:rFonts w:hint="eastAsia"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3.持有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上海市</w:t>
      </w:r>
      <w:r>
        <w:rPr>
          <w:rFonts w:ascii="宋体" w:hAnsi="宋体" w:eastAsia="宋体"/>
          <w:b/>
          <w:sz w:val="24"/>
          <w:szCs w:val="24"/>
        </w:rPr>
        <w:t>气象局认证的防雷装置检测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乙</w:t>
      </w:r>
      <w:r>
        <w:rPr>
          <w:rFonts w:hint="eastAsia" w:ascii="宋体" w:hAnsi="宋体" w:eastAsia="宋体"/>
          <w:b/>
          <w:sz w:val="24"/>
          <w:szCs w:val="24"/>
        </w:rPr>
        <w:t>级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及以上</w:t>
      </w:r>
      <w:r>
        <w:rPr>
          <w:rFonts w:ascii="宋体" w:hAnsi="宋体" w:eastAsia="宋体"/>
          <w:b/>
          <w:sz w:val="24"/>
          <w:szCs w:val="24"/>
        </w:rPr>
        <w:t>检测资质</w:t>
      </w:r>
      <w:r>
        <w:rPr>
          <w:rFonts w:hint="eastAsia" w:ascii="宋体" w:hAnsi="宋体" w:eastAsia="宋体"/>
          <w:b/>
          <w:sz w:val="24"/>
          <w:szCs w:val="24"/>
        </w:rPr>
        <w:t>；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1"/>
        <w:rPr>
          <w:rFonts w:hint="eastAsia"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4.持有</w:t>
      </w:r>
      <w:r>
        <w:rPr>
          <w:rFonts w:ascii="宋体" w:hAnsi="宋体" w:eastAsia="宋体"/>
          <w:b/>
          <w:sz w:val="24"/>
          <w:szCs w:val="24"/>
        </w:rPr>
        <w:t>上海市质量技术监督局颁发的检验检测机构资质认定证书</w:t>
      </w:r>
      <w:r>
        <w:rPr>
          <w:rFonts w:hint="eastAsia" w:ascii="宋体" w:hAnsi="宋体" w:eastAsia="宋体"/>
          <w:b/>
          <w:sz w:val="24"/>
          <w:szCs w:val="24"/>
        </w:rPr>
        <w:t>；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1"/>
        <w:rPr>
          <w:rFonts w:hint="eastAsia"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5.</w:t>
      </w:r>
      <w:r>
        <w:rPr>
          <w:rFonts w:ascii="宋体" w:hAnsi="宋体" w:eastAsia="宋体"/>
          <w:b/>
          <w:sz w:val="24"/>
          <w:szCs w:val="24"/>
        </w:rPr>
        <w:t>具有同类或类似</w:t>
      </w:r>
      <w:r>
        <w:rPr>
          <w:rFonts w:hint="eastAsia" w:ascii="宋体" w:hAnsi="宋体" w:eastAsia="宋体"/>
          <w:b/>
          <w:sz w:val="24"/>
          <w:szCs w:val="24"/>
        </w:rPr>
        <w:t>建筑物</w:t>
      </w:r>
      <w:r>
        <w:rPr>
          <w:rFonts w:ascii="宋体" w:hAnsi="宋体" w:eastAsia="宋体"/>
          <w:b/>
          <w:sz w:val="24"/>
          <w:szCs w:val="24"/>
        </w:rPr>
        <w:t>检测经验（以合同或业主证明文件为准）；</w:t>
      </w:r>
    </w:p>
    <w:p>
      <w:pPr>
        <w:numPr>
          <w:ilvl w:val="0"/>
          <w:numId w:val="0"/>
        </w:numPr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1"/>
        <w:rPr>
          <w:rFonts w:hint="eastAsia" w:ascii="宋体" w:eastAsia="宋体"/>
          <w:b/>
          <w:sz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6.</w:t>
      </w:r>
      <w:r>
        <w:rPr>
          <w:rFonts w:hint="eastAsia" w:ascii="宋体" w:hAnsi="宋体" w:eastAsia="宋体"/>
          <w:b/>
          <w:sz w:val="24"/>
          <w:szCs w:val="24"/>
        </w:rPr>
        <w:t>本项目不接受联合体投标。</w:t>
      </w:r>
    </w:p>
    <w:p>
      <w:pPr>
        <w:numPr>
          <w:ilvl w:val="0"/>
          <w:numId w:val="0"/>
        </w:numPr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0"/>
        <w:rPr>
          <w:rFonts w:hint="eastAsia" w:ascii="宋体" w:eastAsia="宋体"/>
          <w:b/>
          <w:sz w:val="24"/>
          <w:lang w:eastAsia="zh-CN"/>
        </w:rPr>
      </w:pPr>
      <w:r>
        <w:rPr>
          <w:rFonts w:hint="eastAsia" w:ascii="宋体" w:eastAsia="宋体"/>
          <w:b/>
          <w:sz w:val="24"/>
          <w:lang w:eastAsia="zh-CN"/>
        </w:rPr>
        <w:t>三．标准及依据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1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/>
          <w:b/>
          <w:sz w:val="24"/>
          <w:szCs w:val="24"/>
        </w:rPr>
        <w:t>GB 50343-2012《</w:t>
      </w:r>
      <w:r>
        <w:rPr>
          <w:rFonts w:ascii="宋体" w:eastAsia="宋体"/>
          <w:b/>
          <w:sz w:val="24"/>
        </w:rPr>
        <w:fldChar w:fldCharType="begin"/>
      </w:r>
      <w:r>
        <w:rPr>
          <w:rFonts w:ascii="宋体" w:eastAsia="宋体"/>
          <w:b/>
          <w:sz w:val="24"/>
        </w:rPr>
        <w:instrText xml:space="preserve">HYPERLINK "http://bbs.co188.com/thread-8507426-1-1.html"</w:instrText>
      </w:r>
      <w:r>
        <w:rPr>
          <w:rFonts w:ascii="宋体" w:eastAsia="宋体"/>
          <w:b/>
          <w:sz w:val="24"/>
        </w:rPr>
        <w:fldChar w:fldCharType="separate"/>
      </w:r>
      <w:r>
        <w:rPr>
          <w:rFonts w:hint="eastAsia" w:ascii="宋体" w:hAnsi="宋体" w:eastAsia="宋体"/>
          <w:b/>
          <w:sz w:val="24"/>
          <w:szCs w:val="24"/>
        </w:rPr>
        <w:t>建筑物电子信息系统防雷技术规范</w:t>
      </w:r>
      <w:r>
        <w:rPr>
          <w:rFonts w:hint="eastAsia" w:ascii="宋体" w:hAnsi="宋体" w:eastAsia="宋体"/>
          <w:b/>
          <w:sz w:val="24"/>
          <w:szCs w:val="24"/>
        </w:rPr>
        <w:fldChar w:fldCharType="end"/>
      </w:r>
      <w:r>
        <w:rPr>
          <w:rFonts w:hint="eastAsia" w:ascii="宋体" w:hAnsi="宋体" w:eastAsia="宋体"/>
          <w:b/>
          <w:sz w:val="24"/>
          <w:szCs w:val="24"/>
        </w:rPr>
        <w:t>》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1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/>
          <w:b/>
          <w:sz w:val="24"/>
          <w:szCs w:val="24"/>
        </w:rPr>
        <w:t>GB 50601-2010《建筑物防雷工程施工与质量验收规范》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1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/>
          <w:b/>
          <w:sz w:val="24"/>
          <w:szCs w:val="24"/>
        </w:rPr>
        <w:t>DB31/T389-2015《防雷装置安全检测技术规范》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1"/>
        <w:rPr>
          <w:rFonts w:hint="eastAsia"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4.</w:t>
      </w:r>
      <w:r>
        <w:rPr>
          <w:rFonts w:hint="eastAsia" w:ascii="宋体" w:hAnsi="宋体" w:eastAsia="宋体"/>
          <w:b/>
          <w:sz w:val="24"/>
          <w:szCs w:val="24"/>
        </w:rPr>
        <w:t>GB/T21714-2015《雷电防护》系列标准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0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  <w:lang w:eastAsia="zh-CN"/>
        </w:rPr>
        <w:t>四．项目内容及要求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1"/>
        <w:rPr>
          <w:rFonts w:hint="eastAsia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1.按照相关国家规定及标准对本校共50个建筑物的防雷设备开展下列检测：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Autospacing="0" w:after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1.1</w:t>
      </w:r>
      <w:r>
        <w:rPr>
          <w:rFonts w:hint="eastAsia" w:ascii="宋体" w:hAnsi="宋体" w:eastAsia="宋体"/>
          <w:sz w:val="24"/>
          <w:szCs w:val="24"/>
        </w:rPr>
        <w:t>建筑物的防雷分类；（二类、三类防雷建筑）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Autospacing="0" w:after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1.2</w:t>
      </w:r>
      <w:r>
        <w:rPr>
          <w:rFonts w:hint="eastAsia" w:ascii="宋体" w:hAnsi="宋体" w:eastAsia="宋体"/>
          <w:sz w:val="24"/>
          <w:szCs w:val="24"/>
        </w:rPr>
        <w:t>接闪器；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Autospacing="0" w:after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1.3</w:t>
      </w:r>
      <w:r>
        <w:rPr>
          <w:rFonts w:hint="eastAsia" w:ascii="宋体" w:hAnsi="宋体" w:eastAsia="宋体"/>
          <w:sz w:val="24"/>
          <w:szCs w:val="24"/>
        </w:rPr>
        <w:t>引下线；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Autospacing="0" w:after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1.4</w:t>
      </w:r>
      <w:r>
        <w:rPr>
          <w:rFonts w:hint="eastAsia" w:ascii="宋体" w:hAnsi="宋体" w:eastAsia="宋体"/>
          <w:sz w:val="24"/>
          <w:szCs w:val="24"/>
        </w:rPr>
        <w:t>接地装置；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Autospacing="0" w:after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1.5</w:t>
      </w:r>
      <w:r>
        <w:rPr>
          <w:rFonts w:hint="eastAsia" w:ascii="宋体" w:hAnsi="宋体" w:eastAsia="宋体"/>
          <w:sz w:val="24"/>
          <w:szCs w:val="24"/>
        </w:rPr>
        <w:t>防雷区的划分；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Autospacing="0" w:after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1.6</w:t>
      </w:r>
      <w:r>
        <w:rPr>
          <w:rFonts w:hint="eastAsia" w:ascii="宋体" w:hAnsi="宋体" w:eastAsia="宋体"/>
          <w:sz w:val="24"/>
          <w:szCs w:val="24"/>
        </w:rPr>
        <w:t>电磁屏蔽；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Autospacing="0" w:after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1.7</w:t>
      </w:r>
      <w:r>
        <w:rPr>
          <w:rFonts w:hint="eastAsia" w:ascii="宋体" w:hAnsi="宋体" w:eastAsia="宋体"/>
          <w:sz w:val="24"/>
          <w:szCs w:val="24"/>
        </w:rPr>
        <w:t>等电位连接；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Autospacing="0" w:after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1.8</w:t>
      </w:r>
      <w:r>
        <w:rPr>
          <w:rFonts w:hint="eastAsia" w:ascii="宋体" w:hAnsi="宋体" w:eastAsia="宋体"/>
          <w:sz w:val="24"/>
          <w:szCs w:val="24"/>
        </w:rPr>
        <w:t>电涌保护器(SPD)。</w:t>
      </w:r>
    </w:p>
    <w:p>
      <w:pPr>
        <w:pStyle w:val="5"/>
        <w:numPr>
          <w:ilvl w:val="0"/>
          <w:numId w:val="2"/>
        </w:numPr>
        <w:autoSpaceDE w:val="0"/>
        <w:autoSpaceDN w:val="0"/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1"/>
        <w:rPr>
          <w:rFonts w:hint="eastAsia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检测楼宇清单</w:t>
      </w:r>
    </w:p>
    <w:tbl>
      <w:tblPr>
        <w:tblStyle w:val="2"/>
        <w:tblW w:w="804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3337"/>
        <w:gridCol w:w="33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检测楼宇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检测点数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图文信息中心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大礼堂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留学生公寓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海达楼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塔吊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灯塔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体育中心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物流工程学院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外语学院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法学院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经济管理学院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交通运输学院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海洋环境工程学院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信息工程学院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学生服务中心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水训馆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海琴楼（Ｂ食堂）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海馨楼（Ａ食堂、北广商铺）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海联楼（Ｃ食堂）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海云楼（招待所）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学生公寓27号楼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学生公寓28号楼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学生公寓29号楼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学生公寓30号楼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学生公寓31号楼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学生公寓32号楼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学生公寓33号楼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学生公寓34号楼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学生公寓35号楼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学生公寓36号楼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31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学生公寓37号楼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32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学生公寓38号楼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学生公寓39号楼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34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学生公寓40号楼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35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学生公寓41号楼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36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学生公寓42号楼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37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学生公寓43号楼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38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学生公寓44号楼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39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学生公寓45号楼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40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学生公寓46号楼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41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学生公寓47号楼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42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学生公寓48号楼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学生公寓49号楼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44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学生公寓50号楼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45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学生公寓51号楼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46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学生公寓52号楼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47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学生公寓53号楼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48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学生公寓54号楼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49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学生公寓55号楼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r>
              <w:rPr>
                <w:rFonts w:hint="eastAsia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集装箱供应链楼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以实测为准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51</w:t>
            </w:r>
          </w:p>
        </w:tc>
        <w:tc>
          <w:tcPr>
            <w:tcW w:w="3337" w:type="dxa"/>
            <w:shd w:val="clear" w:color="000000" w:fill="auto"/>
            <w:vAlign w:val="top"/>
          </w:tcPr>
          <w:p>
            <w:pPr>
              <w:snapToGrid w:val="0"/>
              <w:spacing w:line="360" w:lineRule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研究生公寓（双楼）</w:t>
            </w:r>
          </w:p>
        </w:tc>
        <w:tc>
          <w:tcPr>
            <w:tcW w:w="3325" w:type="dxa"/>
            <w:shd w:val="clear" w:color="000000" w:fill="auto"/>
            <w:vAlign w:val="top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以实测为准</w:t>
            </w:r>
          </w:p>
        </w:tc>
      </w:tr>
    </w:tbl>
    <w:p>
      <w:pPr>
        <w:pStyle w:val="5"/>
        <w:numPr>
          <w:ilvl w:val="0"/>
          <w:numId w:val="2"/>
        </w:numPr>
        <w:autoSpaceDE w:val="0"/>
        <w:autoSpaceDN w:val="0"/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1"/>
        <w:rPr>
          <w:rFonts w:hint="eastAsia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项目要求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Autospacing="0" w:after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3.1完成检测后,向校方提供完整、有效（获得上海市气象局认可）的检测报告，必须涵盖上述楼宇的每个检测点和检测项。该检测报告作为项目完成的标志性文本；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Autospacing="0" w:after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3.2合同签订后的一年内，承担我校防雷有关工作的技术指导工作；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Autospacing="0" w:after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3.3项目所有工作需在202</w:t>
      </w:r>
      <w:r>
        <w:rPr>
          <w:rFonts w:hint="eastAsia" w:hAnsi="宋体" w:eastAsia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年1</w:t>
      </w:r>
      <w:r>
        <w:rPr>
          <w:rFonts w:hint="eastAsia" w:hAnsi="宋体" w:eastAsia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月20日前完成；</w:t>
      </w:r>
    </w:p>
    <w:p>
      <w:pPr>
        <w:pStyle w:val="5"/>
        <w:numPr>
          <w:ilvl w:val="0"/>
          <w:numId w:val="0"/>
        </w:numPr>
        <w:autoSpaceDE w:val="0"/>
        <w:autoSpaceDN w:val="0"/>
        <w:snapToGrid/>
        <w:spacing w:beforeAutospacing="0" w:after="0" w:afterAutospacing="0" w:line="360" w:lineRule="auto"/>
        <w:ind w:left="0" w:leftChars="0" w:right="0" w:rightChars="0" w:firstLine="480" w:firstLineChars="200"/>
        <w:jc w:val="left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3.4报价不得高于6万元人民币。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000000"/>
    <w:multiLevelType w:val="multilevel"/>
    <w:tmpl w:val="2F000000"/>
    <w:lvl w:ilvl="0" w:tentative="0">
      <w:start w:val="1"/>
      <w:numFmt w:val="chineseCounting"/>
      <w:suff w:val="nothing"/>
      <w:lvlText w:val="%1．"/>
      <w:lvlJc w:val="left"/>
    </w:lvl>
    <w:lvl w:ilvl="1" w:tentative="0">
      <w:start w:val="1"/>
      <w:numFmt w:val="chineseCounting"/>
      <w:suff w:val="nothing"/>
      <w:lvlText w:val="%1．"/>
      <w:lvlJc w:val="left"/>
    </w:lvl>
    <w:lvl w:ilvl="2" w:tentative="0">
      <w:start w:val="1"/>
      <w:numFmt w:val="chineseCounting"/>
      <w:suff w:val="nothing"/>
      <w:lvlText w:val="%1．"/>
      <w:lvlJc w:val="left"/>
    </w:lvl>
    <w:lvl w:ilvl="3" w:tentative="0">
      <w:start w:val="1"/>
      <w:numFmt w:val="chineseCounting"/>
      <w:suff w:val="nothing"/>
      <w:lvlText w:val="%1．"/>
      <w:lvlJc w:val="left"/>
    </w:lvl>
    <w:lvl w:ilvl="4" w:tentative="0">
      <w:start w:val="1"/>
      <w:numFmt w:val="chineseCounting"/>
      <w:suff w:val="nothing"/>
      <w:lvlText w:val="%1．"/>
      <w:lvlJc w:val="left"/>
    </w:lvl>
    <w:lvl w:ilvl="5" w:tentative="0">
      <w:start w:val="1"/>
      <w:numFmt w:val="chineseCounting"/>
      <w:suff w:val="nothing"/>
      <w:lvlText w:val="%1．"/>
      <w:lvlJc w:val="left"/>
    </w:lvl>
    <w:lvl w:ilvl="6" w:tentative="0">
      <w:start w:val="1"/>
      <w:numFmt w:val="chineseCounting"/>
      <w:suff w:val="nothing"/>
      <w:lvlText w:val="%1．"/>
      <w:lvlJc w:val="left"/>
    </w:lvl>
    <w:lvl w:ilvl="7" w:tentative="0">
      <w:start w:val="1"/>
      <w:numFmt w:val="chineseCounting"/>
      <w:suff w:val="nothing"/>
      <w:lvlText w:val="%1．"/>
      <w:lvlJc w:val="left"/>
    </w:lvl>
    <w:lvl w:ilvl="8" w:tentative="0">
      <w:start w:val="1"/>
      <w:numFmt w:val="chineseCounting"/>
      <w:suff w:val="nothing"/>
      <w:lvlText w:val="%1．"/>
      <w:lvlJc w:val="left"/>
    </w:lvl>
  </w:abstractNum>
  <w:abstractNum w:abstractNumId="1">
    <w:nsid w:val="2F000001"/>
    <w:multiLevelType w:val="multilevel"/>
    <w:tmpl w:val="2F000001"/>
    <w:lvl w:ilvl="0" w:tentative="0">
      <w:start w:val="2"/>
      <w:numFmt w:val="decimal"/>
      <w:suff w:val="nothing"/>
      <w:lvlText w:val="%1."/>
      <w:lvlJc w:val="left"/>
    </w:lvl>
    <w:lvl w:ilvl="1" w:tentative="0">
      <w:start w:val="2"/>
      <w:numFmt w:val="decimal"/>
      <w:suff w:val="nothing"/>
      <w:lvlText w:val="%1."/>
      <w:lvlJc w:val="left"/>
    </w:lvl>
    <w:lvl w:ilvl="2" w:tentative="0">
      <w:start w:val="2"/>
      <w:numFmt w:val="decimal"/>
      <w:suff w:val="nothing"/>
      <w:lvlText w:val="%1."/>
      <w:lvlJc w:val="left"/>
    </w:lvl>
    <w:lvl w:ilvl="3" w:tentative="0">
      <w:start w:val="2"/>
      <w:numFmt w:val="decimal"/>
      <w:suff w:val="nothing"/>
      <w:lvlText w:val="%1."/>
      <w:lvlJc w:val="left"/>
    </w:lvl>
    <w:lvl w:ilvl="4" w:tentative="0">
      <w:start w:val="2"/>
      <w:numFmt w:val="decimal"/>
      <w:suff w:val="nothing"/>
      <w:lvlText w:val="%1."/>
      <w:lvlJc w:val="left"/>
    </w:lvl>
    <w:lvl w:ilvl="5" w:tentative="0">
      <w:start w:val="2"/>
      <w:numFmt w:val="decimal"/>
      <w:suff w:val="nothing"/>
      <w:lvlText w:val="%1."/>
      <w:lvlJc w:val="left"/>
    </w:lvl>
    <w:lvl w:ilvl="6" w:tentative="0">
      <w:start w:val="2"/>
      <w:numFmt w:val="decimal"/>
      <w:suff w:val="nothing"/>
      <w:lvlText w:val="%1."/>
      <w:lvlJc w:val="left"/>
    </w:lvl>
    <w:lvl w:ilvl="7" w:tentative="0">
      <w:start w:val="2"/>
      <w:numFmt w:val="decimal"/>
      <w:suff w:val="nothing"/>
      <w:lvlText w:val="%1."/>
      <w:lvlJc w:val="left"/>
    </w:lvl>
    <w:lvl w:ilvl="8" w:tentative="0">
      <w:start w:val="2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4"/>
  </w:compat>
  <w:docVars>
    <w:docVar w:name="commondata" w:val="eyJoZGlkIjoiZGI2ZmJlYzg0MGQ5NWRiMzlkOTJkNDBiNTE2ZDc5YWMifQ=="/>
  </w:docVars>
  <w:rsids>
    <w:rsidRoot w:val="00000000"/>
    <w:rsid w:val="06FA2F47"/>
    <w:rsid w:val="15364628"/>
    <w:rsid w:val="17AC4CB3"/>
    <w:rsid w:val="5D3D674E"/>
    <w:rsid w:val="658C582A"/>
    <w:rsid w:val="762A352C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2"/>
  </w:style>
  <w:style w:type="table" w:default="1" w:styleId="2">
    <w:name w:val="Normal Table"/>
    <w:autoRedefine/>
    <w:semiHidden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autoRedefine/>
    <w:qFormat/>
    <w:uiPriority w:val="18"/>
    <w:rPr>
      <w:i/>
    </w:rPr>
  </w:style>
  <w:style w:type="paragraph" w:customStyle="1" w:styleId="5">
    <w:name w:val="正文2"/>
    <w:basedOn w:val="1"/>
    <w:autoRedefine/>
    <w:qFormat/>
    <w:uiPriority w:val="151"/>
    <w:pPr>
      <w:spacing w:after="60" w:line="360" w:lineRule="atLeast"/>
      <w:ind w:left="57" w:right="57" w:firstLine="0"/>
      <w:jc w:val="center"/>
    </w:pPr>
    <w:rPr>
      <w:rFonts w:ascii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2023-10-07T01:36:00Z</dcterms:created>
  <dc:creator>Administrator</dc:creator>
  <cp:lastModifiedBy>心灵墨者</cp:lastModifiedBy>
  <dcterms:modified xsi:type="dcterms:W3CDTF">2024-07-25T03:12:42Z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2052-12.1.0.16309</vt:lpwstr>
  </property>
  <property fmtid="{D5CDD505-2E9C-101B-9397-08002B2CF9AE}" pid="3" name="ICV">
    <vt:lpwstr>E392EF693A9C4EBDB66FCD5EB7589DCD_13</vt:lpwstr>
  </property>
</Properties>
</file>