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cs="仿宋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《船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舶自动化仪表试验台》技术要求</w:t>
      </w:r>
    </w:p>
    <w:p>
      <w:pPr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1.采购设备名称</w:t>
      </w:r>
      <w:r>
        <w:rPr>
          <w:rFonts w:hint="eastAsia" w:asciiTheme="minorEastAsia" w:hAnsiTheme="minorEastAsia" w:eastAsiaTheme="minorEastAsia"/>
          <w:szCs w:val="21"/>
        </w:rPr>
        <w:t>：船舶自动化仪表试验台。</w:t>
      </w:r>
    </w:p>
    <w:p>
      <w:pPr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2.采购设备数量</w:t>
      </w:r>
      <w:r>
        <w:rPr>
          <w:rFonts w:hint="eastAsia" w:asciiTheme="minorEastAsia" w:hAnsiTheme="minorEastAsia" w:eastAsiaTheme="minorEastAsia"/>
          <w:szCs w:val="21"/>
        </w:rPr>
        <w:t>：</w:t>
      </w:r>
      <w:r>
        <w:rPr>
          <w:rFonts w:asciiTheme="minorEastAsia" w:hAnsiTheme="minorEastAsia" w:eastAsiaTheme="minorEastAsia"/>
          <w:szCs w:val="21"/>
        </w:rPr>
        <w:t>4</w:t>
      </w:r>
      <w:r>
        <w:rPr>
          <w:rFonts w:hint="eastAsia" w:asciiTheme="minorEastAsia" w:hAnsiTheme="minorEastAsia" w:eastAsiaTheme="minorEastAsia"/>
          <w:szCs w:val="21"/>
        </w:rPr>
        <w:t>台。</w:t>
      </w:r>
    </w:p>
    <w:p>
      <w:pPr>
        <w:snapToGrid w:val="0"/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3.每台</w:t>
      </w:r>
      <w:r>
        <w:rPr>
          <w:rFonts w:hint="eastAsia" w:cs="仿宋" w:asciiTheme="minorEastAsia" w:hAnsiTheme="minorEastAsia" w:eastAsiaTheme="minorEastAsia"/>
          <w:b/>
          <w:szCs w:val="21"/>
        </w:rPr>
        <w:t xml:space="preserve">设备配置构成： </w:t>
      </w:r>
    </w:p>
    <w:tbl>
      <w:tblPr>
        <w:tblStyle w:val="8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418"/>
        <w:gridCol w:w="3260"/>
        <w:gridCol w:w="1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89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名称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规格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单位数量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功能备注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实验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工作</w:t>
            </w:r>
            <w:r>
              <w:rPr>
                <w:rFonts w:asciiTheme="minorEastAsia" w:hAnsiTheme="minorEastAsia" w:eastAsiaTheme="minorEastAsia"/>
                <w:szCs w:val="21"/>
              </w:rPr>
              <w:t>台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1400×14000×1000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安装、储存各种仪表和传感器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快速接头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自锁快接 M12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滤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清</w:t>
            </w:r>
            <w:r>
              <w:rPr>
                <w:rFonts w:asciiTheme="minorEastAsia" w:hAnsiTheme="minorEastAsia" w:eastAsiaTheme="minorEastAsia"/>
                <w:szCs w:val="21"/>
              </w:rPr>
              <w:t>器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截止阀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调压阀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调节气压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指示灯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指示限位动作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精密压力表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1.0级、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校验用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L</w:t>
            </w:r>
            <w:r>
              <w:rPr>
                <w:rFonts w:asciiTheme="minorEastAsia" w:hAnsiTheme="minorEastAsia" w:eastAsiaTheme="minorEastAsia"/>
                <w:szCs w:val="21"/>
              </w:rPr>
              <w:t>ED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数字显示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气动PID控制器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NAKAKITA品牌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气动P</w:t>
            </w:r>
            <w:r>
              <w:rPr>
                <w:rFonts w:asciiTheme="minorEastAsia" w:hAnsiTheme="minorEastAsia" w:eastAsiaTheme="minorEastAsia"/>
                <w:szCs w:val="21"/>
              </w:rPr>
              <w:t>ID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作用规律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数字PID控制器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电动P</w:t>
            </w:r>
            <w:r>
              <w:rPr>
                <w:rFonts w:asciiTheme="minorEastAsia" w:hAnsiTheme="minorEastAsia" w:eastAsiaTheme="minorEastAsia"/>
                <w:szCs w:val="21"/>
              </w:rPr>
              <w:t>ID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作用规律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电动差压变送器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液位、粘度、流量、温度等差压式检测，变换为4-</w:t>
            </w:r>
            <w:r>
              <w:rPr>
                <w:rFonts w:asciiTheme="minorEastAsia" w:hAnsiTheme="minorEastAsia" w:eastAsiaTheme="minorEastAsia"/>
                <w:szCs w:val="21"/>
              </w:rPr>
              <w:t>20mA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压力开关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（双位式压力继电器）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船用品牌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给定值和副差调节，可用于液位、压力等调节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气-电(</w:t>
            </w:r>
            <w:r>
              <w:rPr>
                <w:rFonts w:asciiTheme="minorEastAsia" w:hAnsiTheme="minorEastAsia" w:eastAsiaTheme="minorEastAsia"/>
                <w:szCs w:val="21"/>
              </w:rPr>
              <w:t>P/E)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转换器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气动信号转换为标准电信号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多源标准信号发生器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0-15V,0-25</w:t>
            </w:r>
            <w:r>
              <w:rPr>
                <w:rFonts w:asciiTheme="minorEastAsia" w:hAnsiTheme="minorEastAsia" w:eastAsia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V</w:t>
            </w:r>
            <w:r>
              <w:rPr>
                <w:rFonts w:asciiTheme="minorEastAsia" w:hAnsiTheme="minorEastAsia" w:eastAsiaTheme="minorEastAsia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0-100</w:t>
            </w:r>
            <w:r>
              <w:rPr>
                <w:rFonts w:asciiTheme="minorEastAsia" w:hAnsiTheme="minorEastAsia" w:eastAsia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V；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0-20</w:t>
            </w:r>
            <w:r>
              <w:rPr>
                <w:rFonts w:asciiTheme="minorEastAsia" w:hAnsiTheme="minorEastAsia" w:eastAsia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A，4-20</w:t>
            </w:r>
            <w:r>
              <w:rPr>
                <w:rFonts w:asciiTheme="minorEastAsia" w:hAnsiTheme="minorEastAsia" w:eastAsia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A；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热电偶：K,E,J,T,R,B,S,N;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热电阻：PT100,300mA,7H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提供所需的信号源，用于传感器校准与测量。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触摸显示屏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10寸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实时显示P</w:t>
            </w:r>
            <w:r>
              <w:rPr>
                <w:rFonts w:asciiTheme="minorEastAsia" w:hAnsiTheme="minorEastAsia" w:eastAsiaTheme="minorEastAsia"/>
                <w:szCs w:val="21"/>
              </w:rPr>
              <w:t>ID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曲线及调试、校验显示用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数据采集主板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10CH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采集试验信号送入触摸屏，编制简单控制回路用，包括通讯信号、模拟量、开关量。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温度源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深井干体炉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PID控制，固态继电器。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89" w:type="dxa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其它耗材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电源开关、插座、试验管路、接头耗材等</w:t>
            </w: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1套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widowControl/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kern w:val="1"/>
          <w:szCs w:val="21"/>
        </w:rPr>
        <w:t>4.技术要求：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8" w:type="dxa"/>
            <w:vAlign w:val="center"/>
          </w:tcPr>
          <w:p>
            <w:pPr>
              <w:tabs>
                <w:tab w:val="left" w:pos="798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1）满足《&lt;中华人民共和国船员培训管理规则&gt;实施办法》（海船员〔2019〕340号）规定</w:t>
            </w:r>
            <w:r>
              <w:rPr>
                <w:rFonts w:hint="eastAsia" w:cs="宋体" w:asciiTheme="minorEastAsia" w:hAnsiTheme="minorEastAsia" w:eastAsiaTheme="minorEastAsia"/>
                <w:szCs w:val="21"/>
                <w:shd w:val="clear" w:color="auto" w:fill="FFFFFF"/>
              </w:rPr>
              <w:t>，轮机员培训</w:t>
            </w: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满足“船用气动/电动仪表试验及调试”教学设施</w:t>
            </w:r>
            <w:r>
              <w:rPr>
                <w:rFonts w:hint="eastAsia" w:cs="宋体" w:asciiTheme="minorEastAsia" w:hAnsiTheme="minorEastAsia" w:eastAsiaTheme="minorEastAsia"/>
                <w:szCs w:val="21"/>
                <w:shd w:val="clear" w:color="auto" w:fill="FFFFFF"/>
              </w:rPr>
              <w:t>要求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2）满足《&lt;中华人民共和国船员培训管理规则&gt;实施办法》（海船员〔2019〕340号）规定</w:t>
            </w:r>
            <w:r>
              <w:rPr>
                <w:rFonts w:hint="eastAsia" w:cs="宋体" w:asciiTheme="minorEastAsia" w:hAnsiTheme="minorEastAsia" w:eastAsiaTheme="minorEastAsia"/>
                <w:szCs w:val="21"/>
                <w:shd w:val="clear" w:color="auto" w:fill="FFFFFF"/>
              </w:rPr>
              <w:t>，大管轮培训</w:t>
            </w: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满足“传感器及校准设备”的试验及校验</w:t>
            </w:r>
            <w:r>
              <w:rPr>
                <w:rFonts w:hint="eastAsia" w:cs="宋体" w:asciiTheme="minorEastAsia" w:hAnsiTheme="minorEastAsia" w:eastAsiaTheme="minorEastAsia"/>
                <w:szCs w:val="21"/>
                <w:shd w:val="clear" w:color="auto" w:fill="FFFFFF"/>
              </w:rPr>
              <w:t>要求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多源标准信号发生器：满足大管轮“传感器及校准设备”需求的信号源，用于多类型传感器试验与校验；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具有独立的信号测量单元、输入单元、安全保护插头接线；</w:t>
            </w:r>
            <w:r>
              <w:rPr>
                <w:rFonts w:hint="eastAsia" w:cs="Cambria Math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可进行气动薄膜调节阀试验及校准，作用规律及性能分析；可进行阀门定位器试验及校准。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涵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盖船舶常用的PLC/DCS现场仪表、调节阀、变频器、压力传感器、温度传感器、流量计、液位传感器、转速传感器、火焰探测传感器、监控报警系统等维护、调试与校准所需功能，具有常规测试、输出电流/电压、24V配电输出等多种功能，具备热电偶、热电阻的输入和输出功能，具备可编程输出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自动步进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功能，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分割输出功能(n/m)：通过分割输出，可将电压、电流、热电偶信号分割成 n/m 次输出，输出值=(主设定值)×(n/m)。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4）试验台可进行船用气动/电动仪表试验与校验，可进行差压变送器零点、量程、迁移调节，可进行双位式压力继电器的给定值设定、幅差调节和报警试验。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可进行船舶典型控制回路的建模与仿真，粘度调节、压力调节、锅炉水位调节、冷却水温度调节等控制系统；可实现锅炉水位、蒸汽压力、压力水柜、空压机等双位式作用规律控制系统试验。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6）气动PID控制器：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可进行气动P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ID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控制系统、工作过程、参数调节；能够独立直观的数字显示P/I/D参数调节后的数字变化；可进行双P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ID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串级控制回路、级联控制回路作用规律，实现前馈控制、双环控制及性能分析；配备触摸屏，</w:t>
            </w:r>
            <w:r>
              <w:rPr>
                <w:rFonts w:hint="eastAsia" w:cs="Cambria Math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触摸屏实时显示信号采集板提供的信号值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，直观显示PID控制回路工作过程、数值及曲线，实现船上典型的粘度调节、温度调节回路及工作过程；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7）数字PID控制器：能够进行完整的PID参数配置调节，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能够显示主机缸套冷缺水控制三通阀驱动信号。</w:t>
            </w:r>
          </w:p>
          <w:p>
            <w:pPr>
              <w:spacing w:line="360" w:lineRule="auto"/>
              <w:rPr>
                <w:rFonts w:cs="Cambria Math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8）</w:t>
            </w:r>
            <w:r>
              <w:rPr>
                <w:rFonts w:hint="eastAsia" w:cs="Cambria Math" w:asciiTheme="minorEastAsia" w:hAnsiTheme="minorEastAsia" w:eastAsiaTheme="minorEastAsia"/>
                <w:szCs w:val="21"/>
              </w:rPr>
              <w:t>信号采集板集中采集和处理气信号(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P/E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转换</w:t>
            </w:r>
            <w:r>
              <w:rPr>
                <w:rFonts w:cs="Cambria Math" w:asciiTheme="minorEastAsia" w:hAnsiTheme="minorEastAsia" w:eastAsiaTheme="minorEastAsia"/>
                <w:szCs w:val="21"/>
              </w:rPr>
              <w:t>)</w:t>
            </w:r>
            <w:r>
              <w:rPr>
                <w:rFonts w:hint="eastAsia" w:cs="Cambria Math" w:asciiTheme="minorEastAsia" w:hAnsiTheme="minorEastAsia" w:eastAsiaTheme="minorEastAsia"/>
                <w:szCs w:val="21"/>
              </w:rPr>
              <w:t>，信号线性化标定及变差分析。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Cambria Math" w:asciiTheme="minorEastAsia" w:hAnsiTheme="minorEastAsia" w:eastAsiaTheme="minorEastAsia"/>
                <w:szCs w:val="21"/>
              </w:rPr>
              <w:t>9）温度源，采用深井干体炉模式，能够PID温度调节，集成于试验台体。</w:t>
            </w:r>
          </w:p>
        </w:tc>
      </w:tr>
    </w:tbl>
    <w:p>
      <w:pPr>
        <w:tabs>
          <w:tab w:val="left" w:pos="7980"/>
        </w:tabs>
        <w:spacing w:line="360" w:lineRule="auto"/>
        <w:rPr>
          <w:rFonts w:cs="仿宋" w:asciiTheme="minorEastAsia" w:hAnsiTheme="minorEastAsia" w:eastAsiaTheme="minorEastAsia"/>
          <w:szCs w:val="21"/>
        </w:rPr>
      </w:pPr>
    </w:p>
    <w:sectPr>
      <w:headerReference r:id="rId3" w:type="default"/>
      <w:footerReference r:id="rId4" w:type="default"/>
      <w:pgSz w:w="11907" w:h="16840"/>
      <w:pgMar w:top="1418" w:right="1134" w:bottom="1247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1"/>
      </w:rPr>
      <w:instrText xml:space="preserve"> PAGE </w:instrText>
    </w:r>
    <w:r>
      <w:fldChar w:fldCharType="separate"/>
    </w:r>
    <w:r>
      <w:rPr>
        <w:rStyle w:val="11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4"/>
    <w:rsid w:val="00002654"/>
    <w:rsid w:val="00003834"/>
    <w:rsid w:val="000122DB"/>
    <w:rsid w:val="0005129D"/>
    <w:rsid w:val="00056C41"/>
    <w:rsid w:val="00082811"/>
    <w:rsid w:val="00096D72"/>
    <w:rsid w:val="000A409B"/>
    <w:rsid w:val="000D19E1"/>
    <w:rsid w:val="001029D8"/>
    <w:rsid w:val="00103487"/>
    <w:rsid w:val="001157D4"/>
    <w:rsid w:val="001222F8"/>
    <w:rsid w:val="001237A5"/>
    <w:rsid w:val="00125F67"/>
    <w:rsid w:val="0013007D"/>
    <w:rsid w:val="00144482"/>
    <w:rsid w:val="00147463"/>
    <w:rsid w:val="00153B23"/>
    <w:rsid w:val="00154191"/>
    <w:rsid w:val="00156996"/>
    <w:rsid w:val="00157CC8"/>
    <w:rsid w:val="001604F8"/>
    <w:rsid w:val="001659E8"/>
    <w:rsid w:val="00165DA9"/>
    <w:rsid w:val="001717EF"/>
    <w:rsid w:val="0017261D"/>
    <w:rsid w:val="00183C38"/>
    <w:rsid w:val="00191010"/>
    <w:rsid w:val="001A4AF7"/>
    <w:rsid w:val="001B1388"/>
    <w:rsid w:val="001B36ED"/>
    <w:rsid w:val="001C5FD0"/>
    <w:rsid w:val="001D78FE"/>
    <w:rsid w:val="001D7A5B"/>
    <w:rsid w:val="001E3916"/>
    <w:rsid w:val="001F54CA"/>
    <w:rsid w:val="001F5978"/>
    <w:rsid w:val="001F6BFB"/>
    <w:rsid w:val="00206552"/>
    <w:rsid w:val="002069E5"/>
    <w:rsid w:val="00214395"/>
    <w:rsid w:val="00237145"/>
    <w:rsid w:val="00244097"/>
    <w:rsid w:val="00246071"/>
    <w:rsid w:val="00260496"/>
    <w:rsid w:val="0026669D"/>
    <w:rsid w:val="00273042"/>
    <w:rsid w:val="002739FD"/>
    <w:rsid w:val="00273A41"/>
    <w:rsid w:val="00277392"/>
    <w:rsid w:val="002825D9"/>
    <w:rsid w:val="00286529"/>
    <w:rsid w:val="00291235"/>
    <w:rsid w:val="00295410"/>
    <w:rsid w:val="002A2265"/>
    <w:rsid w:val="002B1C2A"/>
    <w:rsid w:val="002E5C13"/>
    <w:rsid w:val="002F4A74"/>
    <w:rsid w:val="00301A79"/>
    <w:rsid w:val="0031249E"/>
    <w:rsid w:val="00324760"/>
    <w:rsid w:val="00343DB7"/>
    <w:rsid w:val="003536B8"/>
    <w:rsid w:val="003639C4"/>
    <w:rsid w:val="00380796"/>
    <w:rsid w:val="003A2218"/>
    <w:rsid w:val="003A6CA2"/>
    <w:rsid w:val="003B57F9"/>
    <w:rsid w:val="003C2A74"/>
    <w:rsid w:val="003D64E0"/>
    <w:rsid w:val="004026B5"/>
    <w:rsid w:val="00402CFD"/>
    <w:rsid w:val="00427F5A"/>
    <w:rsid w:val="00451315"/>
    <w:rsid w:val="00470715"/>
    <w:rsid w:val="00472244"/>
    <w:rsid w:val="00487460"/>
    <w:rsid w:val="00493698"/>
    <w:rsid w:val="00495CD2"/>
    <w:rsid w:val="004A02E4"/>
    <w:rsid w:val="004A2DD1"/>
    <w:rsid w:val="004A742D"/>
    <w:rsid w:val="004B1E9F"/>
    <w:rsid w:val="004C06D0"/>
    <w:rsid w:val="004C0CFF"/>
    <w:rsid w:val="004C1706"/>
    <w:rsid w:val="004C1A8E"/>
    <w:rsid w:val="004C7BE8"/>
    <w:rsid w:val="004D1934"/>
    <w:rsid w:val="004D5453"/>
    <w:rsid w:val="004D6481"/>
    <w:rsid w:val="0050398D"/>
    <w:rsid w:val="005111DF"/>
    <w:rsid w:val="00514056"/>
    <w:rsid w:val="00515D9B"/>
    <w:rsid w:val="00517F63"/>
    <w:rsid w:val="00525944"/>
    <w:rsid w:val="00527FBE"/>
    <w:rsid w:val="00532471"/>
    <w:rsid w:val="0053690A"/>
    <w:rsid w:val="005463B7"/>
    <w:rsid w:val="00550509"/>
    <w:rsid w:val="0055429C"/>
    <w:rsid w:val="00562365"/>
    <w:rsid w:val="0056322B"/>
    <w:rsid w:val="00572AA1"/>
    <w:rsid w:val="00575D4E"/>
    <w:rsid w:val="00580767"/>
    <w:rsid w:val="005959CA"/>
    <w:rsid w:val="005B0F32"/>
    <w:rsid w:val="005B53FA"/>
    <w:rsid w:val="005C00BD"/>
    <w:rsid w:val="005C76D1"/>
    <w:rsid w:val="005D0D5B"/>
    <w:rsid w:val="005D1F18"/>
    <w:rsid w:val="005D3C2C"/>
    <w:rsid w:val="005E3355"/>
    <w:rsid w:val="00603A5B"/>
    <w:rsid w:val="00620AFF"/>
    <w:rsid w:val="00625625"/>
    <w:rsid w:val="00632D72"/>
    <w:rsid w:val="00636199"/>
    <w:rsid w:val="0063630A"/>
    <w:rsid w:val="00644471"/>
    <w:rsid w:val="00652181"/>
    <w:rsid w:val="006622EC"/>
    <w:rsid w:val="00686953"/>
    <w:rsid w:val="00693EDF"/>
    <w:rsid w:val="006C0F1F"/>
    <w:rsid w:val="006C3C70"/>
    <w:rsid w:val="006E7991"/>
    <w:rsid w:val="006F735B"/>
    <w:rsid w:val="00714B65"/>
    <w:rsid w:val="00714E25"/>
    <w:rsid w:val="00723511"/>
    <w:rsid w:val="00730655"/>
    <w:rsid w:val="00732DF3"/>
    <w:rsid w:val="00734614"/>
    <w:rsid w:val="0075052F"/>
    <w:rsid w:val="00757697"/>
    <w:rsid w:val="007632EF"/>
    <w:rsid w:val="00781C41"/>
    <w:rsid w:val="00785668"/>
    <w:rsid w:val="007934DE"/>
    <w:rsid w:val="00795884"/>
    <w:rsid w:val="007A03FF"/>
    <w:rsid w:val="007A2EF8"/>
    <w:rsid w:val="007A30CB"/>
    <w:rsid w:val="007B1B63"/>
    <w:rsid w:val="007C003A"/>
    <w:rsid w:val="007F0CC6"/>
    <w:rsid w:val="007F1C05"/>
    <w:rsid w:val="00813B7C"/>
    <w:rsid w:val="00816FFC"/>
    <w:rsid w:val="008302B4"/>
    <w:rsid w:val="008327C9"/>
    <w:rsid w:val="0084519D"/>
    <w:rsid w:val="00851E73"/>
    <w:rsid w:val="00861499"/>
    <w:rsid w:val="0086764C"/>
    <w:rsid w:val="00872EB0"/>
    <w:rsid w:val="008B0685"/>
    <w:rsid w:val="008D7714"/>
    <w:rsid w:val="008E1303"/>
    <w:rsid w:val="008E497E"/>
    <w:rsid w:val="008E7366"/>
    <w:rsid w:val="009013EC"/>
    <w:rsid w:val="0090275D"/>
    <w:rsid w:val="00924BBB"/>
    <w:rsid w:val="00936A84"/>
    <w:rsid w:val="009563B2"/>
    <w:rsid w:val="00957702"/>
    <w:rsid w:val="009609C7"/>
    <w:rsid w:val="00961129"/>
    <w:rsid w:val="00965EC9"/>
    <w:rsid w:val="009707C7"/>
    <w:rsid w:val="009744C7"/>
    <w:rsid w:val="0097762D"/>
    <w:rsid w:val="009819A5"/>
    <w:rsid w:val="00996E7F"/>
    <w:rsid w:val="009A64ED"/>
    <w:rsid w:val="009B3295"/>
    <w:rsid w:val="009D08BC"/>
    <w:rsid w:val="009D0B63"/>
    <w:rsid w:val="009E641F"/>
    <w:rsid w:val="009F08D4"/>
    <w:rsid w:val="00A07CA3"/>
    <w:rsid w:val="00A24410"/>
    <w:rsid w:val="00A2469B"/>
    <w:rsid w:val="00A31990"/>
    <w:rsid w:val="00A413BA"/>
    <w:rsid w:val="00A43953"/>
    <w:rsid w:val="00A477D6"/>
    <w:rsid w:val="00A54454"/>
    <w:rsid w:val="00A62665"/>
    <w:rsid w:val="00A64FC1"/>
    <w:rsid w:val="00A706D4"/>
    <w:rsid w:val="00A900E3"/>
    <w:rsid w:val="00A9417E"/>
    <w:rsid w:val="00A95170"/>
    <w:rsid w:val="00AA66DA"/>
    <w:rsid w:val="00AA6DFD"/>
    <w:rsid w:val="00AA78B4"/>
    <w:rsid w:val="00AB3B95"/>
    <w:rsid w:val="00AB6015"/>
    <w:rsid w:val="00AB715E"/>
    <w:rsid w:val="00AD030F"/>
    <w:rsid w:val="00AE02AD"/>
    <w:rsid w:val="00AE132A"/>
    <w:rsid w:val="00AE5809"/>
    <w:rsid w:val="00AF6529"/>
    <w:rsid w:val="00B12C48"/>
    <w:rsid w:val="00B13C5B"/>
    <w:rsid w:val="00B33D91"/>
    <w:rsid w:val="00B3603B"/>
    <w:rsid w:val="00B4179E"/>
    <w:rsid w:val="00B5613C"/>
    <w:rsid w:val="00B611A8"/>
    <w:rsid w:val="00B80809"/>
    <w:rsid w:val="00B82727"/>
    <w:rsid w:val="00B84328"/>
    <w:rsid w:val="00B860A9"/>
    <w:rsid w:val="00BC1668"/>
    <w:rsid w:val="00BC1768"/>
    <w:rsid w:val="00BC7E08"/>
    <w:rsid w:val="00BD0CEC"/>
    <w:rsid w:val="00BD3D63"/>
    <w:rsid w:val="00BE47DD"/>
    <w:rsid w:val="00BE68ED"/>
    <w:rsid w:val="00BF144A"/>
    <w:rsid w:val="00BF1F3B"/>
    <w:rsid w:val="00BF2393"/>
    <w:rsid w:val="00BF6391"/>
    <w:rsid w:val="00C1105E"/>
    <w:rsid w:val="00C134EA"/>
    <w:rsid w:val="00C13CBD"/>
    <w:rsid w:val="00C24693"/>
    <w:rsid w:val="00C318A9"/>
    <w:rsid w:val="00C3196B"/>
    <w:rsid w:val="00C47246"/>
    <w:rsid w:val="00C50B1E"/>
    <w:rsid w:val="00C57655"/>
    <w:rsid w:val="00C64FEC"/>
    <w:rsid w:val="00C65B5D"/>
    <w:rsid w:val="00C71D79"/>
    <w:rsid w:val="00C8279D"/>
    <w:rsid w:val="00C84C9D"/>
    <w:rsid w:val="00CA19D0"/>
    <w:rsid w:val="00CA7F8E"/>
    <w:rsid w:val="00CB3AC5"/>
    <w:rsid w:val="00CB7A6D"/>
    <w:rsid w:val="00CD4186"/>
    <w:rsid w:val="00CD5A4F"/>
    <w:rsid w:val="00CE3163"/>
    <w:rsid w:val="00D03DA3"/>
    <w:rsid w:val="00D2307F"/>
    <w:rsid w:val="00D232C9"/>
    <w:rsid w:val="00D26786"/>
    <w:rsid w:val="00D763C3"/>
    <w:rsid w:val="00D9550D"/>
    <w:rsid w:val="00DD031C"/>
    <w:rsid w:val="00DE5171"/>
    <w:rsid w:val="00E03FD0"/>
    <w:rsid w:val="00E24B6A"/>
    <w:rsid w:val="00E32D49"/>
    <w:rsid w:val="00E34584"/>
    <w:rsid w:val="00E40B16"/>
    <w:rsid w:val="00E416AD"/>
    <w:rsid w:val="00E5093B"/>
    <w:rsid w:val="00E72BF2"/>
    <w:rsid w:val="00E77119"/>
    <w:rsid w:val="00E84036"/>
    <w:rsid w:val="00E94A5A"/>
    <w:rsid w:val="00E97B99"/>
    <w:rsid w:val="00EA23A1"/>
    <w:rsid w:val="00EA2B49"/>
    <w:rsid w:val="00EA3978"/>
    <w:rsid w:val="00EB521B"/>
    <w:rsid w:val="00ED766F"/>
    <w:rsid w:val="00EE1A53"/>
    <w:rsid w:val="00EE25C6"/>
    <w:rsid w:val="00EE711A"/>
    <w:rsid w:val="00EF481B"/>
    <w:rsid w:val="00F13598"/>
    <w:rsid w:val="00F22A0A"/>
    <w:rsid w:val="00F4239C"/>
    <w:rsid w:val="00F65634"/>
    <w:rsid w:val="00F8229E"/>
    <w:rsid w:val="00F85BFD"/>
    <w:rsid w:val="00F860E8"/>
    <w:rsid w:val="00F87A55"/>
    <w:rsid w:val="00F913CF"/>
    <w:rsid w:val="00FA069B"/>
    <w:rsid w:val="00FA10E0"/>
    <w:rsid w:val="00FB5330"/>
    <w:rsid w:val="00FC0AAF"/>
    <w:rsid w:val="00FC25E2"/>
    <w:rsid w:val="00FD0A9F"/>
    <w:rsid w:val="00FD5598"/>
    <w:rsid w:val="00FE7180"/>
    <w:rsid w:val="00FF3561"/>
    <w:rsid w:val="00FF4315"/>
    <w:rsid w:val="1E1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uiPriority w:val="99"/>
    <w:pPr>
      <w:spacing w:after="120"/>
    </w:p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0"/>
    <w:rPr>
      <w:sz w:val="18"/>
      <w:szCs w:val="18"/>
    </w:rPr>
  </w:style>
  <w:style w:type="character" w:customStyle="1" w:styleId="14">
    <w:name w:val="页脚 字符"/>
    <w:basedOn w:val="10"/>
    <w:link w:val="6"/>
    <w:uiPriority w:val="99"/>
    <w:rPr>
      <w:sz w:val="18"/>
      <w:szCs w:val="18"/>
    </w:rPr>
  </w:style>
  <w:style w:type="character" w:customStyle="1" w:styleId="15">
    <w:name w:val="正文文本缩进 字符"/>
    <w:basedOn w:val="10"/>
    <w:link w:val="3"/>
    <w:uiPriority w:val="0"/>
    <w:rPr>
      <w:rFonts w:ascii="Calibri" w:hAnsi="Calibri" w:eastAsia="宋体" w:cs="Times New Roman"/>
      <w:szCs w:val="24"/>
    </w:rPr>
  </w:style>
  <w:style w:type="character" w:customStyle="1" w:styleId="16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17">
    <w:name w:val="日期 字符"/>
    <w:basedOn w:val="10"/>
    <w:link w:val="4"/>
    <w:semiHidden/>
    <w:uiPriority w:val="99"/>
    <w:rPr>
      <w:rFonts w:ascii="Calibri" w:hAnsi="Calibri" w:eastAsia="宋体" w:cs="Times New Roman"/>
      <w:szCs w:val="24"/>
    </w:rPr>
  </w:style>
  <w:style w:type="paragraph" w:customStyle="1" w:styleId="18">
    <w:name w:val="列出段落1"/>
    <w:basedOn w:val="1"/>
    <w:uiPriority w:val="0"/>
    <w:pPr>
      <w:ind w:firstLine="420" w:firstLineChars="200"/>
    </w:pPr>
  </w:style>
  <w:style w:type="character" w:customStyle="1" w:styleId="19">
    <w:name w:val="批注框文本 字符"/>
    <w:basedOn w:val="10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200" w:firstLineChars="200"/>
    </w:pPr>
    <w:rPr>
      <w:szCs w:val="22"/>
    </w:rPr>
  </w:style>
  <w:style w:type="character" w:customStyle="1" w:styleId="21">
    <w:name w:val="正文文本 字符"/>
    <w:basedOn w:val="10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922DA-026D-42BB-89D6-E40D6D99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1411</Characters>
  <Lines>11</Lines>
  <Paragraphs>3</Paragraphs>
  <TotalTime>633</TotalTime>
  <ScaleCrop>false</ScaleCrop>
  <LinksUpToDate>false</LinksUpToDate>
  <CharactersWithSpaces>1655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2019-12-07T17:34:00Z</dcterms:created>
  <dc:creator>sunzenghua</dc:creator>
  <cp:lastModifiedBy>仲杰</cp:lastModifiedBy>
  <dcterms:modified xsi:type="dcterms:W3CDTF">2021-10-22T02:34:13Z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DA254B458C064C50ABE945000A62D7A4</vt:lpwstr>
  </property>
</Properties>
</file>