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世界航海人物库建设项目</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HFBX2026058</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六</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HFBX2026058</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世界航海人物库建设项目</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10</w:t>
      </w:r>
      <w:r>
        <w:rPr>
          <w:rFonts w:hint="eastAsia" w:ascii="方正兰亭黑简体" w:hAnsi="方正兰亭黑简体" w:eastAsia="方正兰亭黑简体" w:cs="方正兰亭黑简体"/>
          <w:color w:val="auto"/>
          <w:sz w:val="22"/>
          <w:szCs w:val="28"/>
          <w:highlight w:val="none"/>
        </w:rPr>
        <w:t>万元；</w:t>
      </w:r>
    </w:p>
    <w:p w14:paraId="290FE17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default" w:ascii="方正兰亭黑简体" w:hAnsi="方正兰亭黑简体" w:eastAsia="方正兰亭黑简体" w:cs="方正兰亭黑简体"/>
          <w:color w:val="auto"/>
          <w:sz w:val="22"/>
          <w:szCs w:val="28"/>
          <w:highlight w:val="none"/>
          <w:lang w:val="en-US" w:eastAsia="zh-CN"/>
        </w:rPr>
        <w:t>本项目</w:t>
      </w:r>
      <w:r>
        <w:rPr>
          <w:rFonts w:hint="eastAsia" w:ascii="方正兰亭黑简体" w:hAnsi="方正兰亭黑简体" w:eastAsia="方正兰亭黑简体" w:cs="方正兰亭黑简体"/>
          <w:color w:val="auto"/>
          <w:sz w:val="22"/>
          <w:szCs w:val="28"/>
          <w:highlight w:val="none"/>
          <w:lang w:val="en-US" w:eastAsia="zh-CN"/>
        </w:rPr>
        <w:t>需委托一家合格供应商依托学校在航海史、航运史、郑和研究等领域的学科积淀和资源优势，以古今中外重要航海代表人物为核心，系统整合校藏研究成果、历史文献、音视频、图片、手稿等多模态资源，构建“人物—事件—技术—文献”关联体系和航海人文知识图谱，破解航海人物史料分散、权威数据缺失、通用大模型史实偏差等问题。项目建成后将为航海史教学、海洋文化传播、跨学科科研创新、航运行业人文素养培育及“云端海事大学”建设提供权威、系统、可持续更新的数字化资源支撑。</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64ECA64C">
      <w:pPr>
        <w:pStyle w:val="19"/>
        <w:tabs>
          <w:tab w:val="left" w:pos="0"/>
        </w:tabs>
        <w:spacing w:line="360" w:lineRule="auto"/>
        <w:ind w:firstLine="0" w:firstLineChars="0"/>
        <w:rPr>
          <w:rFonts w:hint="default" w:ascii="方正兰亭黑简体" w:hAnsi="方正兰亭黑简体" w:eastAsia="方正兰亭黑简体" w:cs="方正兰亭黑简体"/>
          <w:color w:val="auto"/>
          <w:kern w:val="2"/>
          <w:sz w:val="22"/>
          <w:szCs w:val="28"/>
          <w:highlight w:val="none"/>
          <w:lang w:val="en-US" w:eastAsia="zh-CN" w:bidi="ar-SA"/>
        </w:rPr>
      </w:pPr>
      <w:r>
        <w:rPr>
          <w:rFonts w:hint="eastAsia" w:ascii="方正兰亭黑简体" w:hAnsi="方正兰亭黑简体" w:eastAsia="方正兰亭黑简体" w:cs="方正兰亭黑简体"/>
          <w:color w:val="auto"/>
          <w:sz w:val="22"/>
          <w:szCs w:val="28"/>
          <w:highlight w:val="none"/>
          <w:lang w:val="en-US" w:eastAsia="zh-CN"/>
        </w:rPr>
        <w:t>服务期限：</w:t>
      </w:r>
      <w:r>
        <w:rPr>
          <w:rFonts w:hint="eastAsia" w:ascii="方正兰亭黑简体" w:hAnsi="方正兰亭黑简体" w:eastAsia="方正兰亭黑简体" w:cs="方正兰亭黑简体"/>
          <w:color w:val="auto"/>
          <w:kern w:val="2"/>
          <w:sz w:val="22"/>
          <w:szCs w:val="28"/>
          <w:highlight w:val="none"/>
          <w:lang w:val="en-US" w:eastAsia="zh-CN" w:bidi="ar-SA"/>
        </w:rPr>
        <w:t>合同签订后120天内完成项目并通过校方验收。</w:t>
      </w:r>
    </w:p>
    <w:p w14:paraId="32839853">
      <w:pPr>
        <w:pStyle w:val="19"/>
        <w:numPr>
          <w:ilvl w:val="0"/>
          <w:numId w:val="0"/>
        </w:numPr>
        <w:tabs>
          <w:tab w:val="left" w:pos="0"/>
        </w:tabs>
        <w:spacing w:line="360" w:lineRule="auto"/>
        <w:ind w:firstLine="0" w:firstLineChars="0"/>
        <w:rPr>
          <w:rFonts w:hint="default" w:ascii="方正兰亭黑简体" w:hAnsi="方正兰亭黑简体" w:eastAsia="方正兰亭黑简体" w:cs="方正兰亭黑简体"/>
          <w:color w:val="auto"/>
          <w:kern w:val="2"/>
          <w:sz w:val="22"/>
          <w:szCs w:val="28"/>
          <w:highlight w:val="none"/>
          <w:lang w:val="en-US" w:eastAsia="zh-CN" w:bidi="ar-SA"/>
        </w:rPr>
      </w:pPr>
      <w:r>
        <w:rPr>
          <w:rFonts w:hint="eastAsia" w:ascii="方正兰亭黑简体" w:hAnsi="方正兰亭黑简体" w:eastAsia="方正兰亭黑简体" w:cs="方正兰亭黑简体"/>
          <w:color w:val="auto"/>
          <w:kern w:val="2"/>
          <w:sz w:val="22"/>
          <w:szCs w:val="28"/>
          <w:highlight w:val="none"/>
          <w:lang w:val="en-US" w:eastAsia="zh-CN" w:bidi="ar-SA"/>
        </w:rPr>
        <w:t>交付方式：</w:t>
      </w:r>
      <w:r>
        <w:rPr>
          <w:rFonts w:hint="eastAsia" w:ascii="方正兰亭黑简体" w:hAnsi="方正兰亭黑简体" w:eastAsia="方正兰亭黑简体" w:cs="方正兰亭黑简体"/>
          <w:color w:val="auto"/>
          <w:kern w:val="2"/>
          <w:sz w:val="22"/>
          <w:szCs w:val="28"/>
          <w:highlight w:val="none"/>
          <w:lang w:val="en-US" w:eastAsia="zh-CN" w:bidi="ar-SA"/>
        </w:rPr>
        <w:t>云端部署。</w:t>
      </w:r>
    </w:p>
    <w:p w14:paraId="627DD869">
      <w:pPr>
        <w:pStyle w:val="19"/>
        <w:numPr>
          <w:ilvl w:val="0"/>
          <w:numId w:val="0"/>
        </w:numPr>
        <w:tabs>
          <w:tab w:val="left" w:pos="0"/>
        </w:tabs>
        <w:spacing w:line="360" w:lineRule="auto"/>
        <w:ind w:firstLine="0" w:firstLineChars="0"/>
        <w:rPr>
          <w:rFonts w:hint="default" w:ascii="方正兰亭黑简体" w:hAnsi="方正兰亭黑简体" w:eastAsia="方正兰亭黑简体" w:cs="方正兰亭黑简体"/>
          <w:color w:val="auto"/>
          <w:kern w:val="2"/>
          <w:sz w:val="22"/>
          <w:szCs w:val="28"/>
          <w:highlight w:val="none"/>
          <w:lang w:val="en-US" w:eastAsia="zh-CN" w:bidi="ar-SA"/>
        </w:rPr>
      </w:pPr>
      <w:r>
        <w:rPr>
          <w:rFonts w:hint="eastAsia" w:ascii="方正兰亭黑简体" w:hAnsi="方正兰亭黑简体" w:eastAsia="方正兰亭黑简体" w:cs="方正兰亭黑简体"/>
          <w:color w:val="auto"/>
          <w:kern w:val="2"/>
          <w:sz w:val="22"/>
          <w:szCs w:val="28"/>
          <w:highlight w:val="none"/>
          <w:lang w:val="en-US" w:eastAsia="zh-CN" w:bidi="ar-SA"/>
        </w:rPr>
        <w:t>付款方式：</w:t>
      </w:r>
      <w:r>
        <w:rPr>
          <w:rFonts w:hint="eastAsia" w:ascii="方正兰亭黑简体" w:hAnsi="方正兰亭黑简体" w:eastAsia="方正兰亭黑简体" w:cs="方正兰亭黑简体"/>
          <w:color w:val="auto"/>
          <w:kern w:val="2"/>
          <w:sz w:val="22"/>
          <w:szCs w:val="28"/>
          <w:highlight w:val="none"/>
          <w:lang w:val="en-US" w:eastAsia="zh-CN" w:bidi="ar-SA"/>
        </w:rPr>
        <w:t>合同签订后10个工作日内支付合同价款的30%，项目内容完成并经招标人确认验收试运行合格后支付合同价款的70%。</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w:t>
      </w:r>
      <w:r>
        <w:rPr>
          <w:rFonts w:hint="eastAsia" w:ascii="方正兰亭黑简体" w:hAnsi="方正兰亭黑简体" w:eastAsia="方正兰亭黑简体" w:cs="方正兰亭黑简体"/>
          <w:color w:val="auto"/>
          <w:sz w:val="22"/>
          <w:szCs w:val="28"/>
          <w:highlight w:val="none"/>
          <w:lang w:val="en-US" w:eastAsia="zh-CN"/>
        </w:rPr>
        <w:t>采购</w:t>
      </w:r>
      <w:r>
        <w:rPr>
          <w:rFonts w:hint="eastAsia" w:ascii="方正兰亭黑简体" w:hAnsi="方正兰亭黑简体" w:eastAsia="方正兰亭黑简体" w:cs="方正兰亭黑简体"/>
          <w:color w:val="auto"/>
          <w:sz w:val="22"/>
          <w:szCs w:val="28"/>
          <w:highlight w:val="none"/>
        </w:rPr>
        <w:t>严重违法失信行为记录名单的供应商。</w:t>
      </w:r>
    </w:p>
    <w:p w14:paraId="34243CE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6393E20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2"/>
      <w:bookmarkStart w:id="4" w:name="OLE_LINK1"/>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7</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一</w:t>
      </w:r>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w:t>
      </w:r>
      <w:r>
        <w:rPr>
          <w:rFonts w:hint="eastAsia" w:ascii="方正兰亭黑简体" w:hAnsi="方正兰亭黑简体" w:eastAsia="方正兰亭黑简体" w:cs="方正兰亭黑简体"/>
          <w:color w:val="auto"/>
          <w:sz w:val="22"/>
          <w:szCs w:val="28"/>
          <w:highlight w:val="none"/>
        </w:rPr>
        <w:t>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陈</w:t>
      </w:r>
      <w:r>
        <w:rPr>
          <w:rFonts w:hint="eastAsia" w:ascii="方正兰亭黑简体" w:hAnsi="方正兰亭黑简体" w:eastAsia="方正兰亭黑简体" w:cs="方正兰亭黑简体"/>
          <w:color w:val="auto"/>
          <w:sz w:val="22"/>
          <w:szCs w:val="28"/>
          <w:highlight w:val="none"/>
        </w:rPr>
        <w:t>老师</w:t>
      </w:r>
      <w:r>
        <w:rPr>
          <w:rFonts w:hint="eastAsia" w:ascii="方正兰亭黑简体" w:hAnsi="方正兰亭黑简体" w:eastAsia="方正兰亭黑简体" w:cs="方正兰亭黑简体"/>
          <w:color w:val="auto"/>
          <w:sz w:val="22"/>
          <w:szCs w:val="28"/>
          <w:highlight w:val="none"/>
          <w:lang w:val="en-US" w:eastAsia="zh-CN"/>
        </w:rPr>
        <w:t>021-38284943</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第二章采购需求</w:t>
      </w:r>
    </w:p>
    <w:p w14:paraId="39E2A589">
      <w:pPr>
        <w:spacing w:line="48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项目概况</w:t>
      </w:r>
    </w:p>
    <w:p w14:paraId="14F7295A">
      <w:pPr>
        <w:spacing w:line="480" w:lineRule="auto"/>
        <w:ind w:left="0" w:leftChars="0" w:firstLine="440" w:firstLineChars="200"/>
        <w:rPr>
          <w:rFonts w:hint="default"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sz w:val="22"/>
          <w:szCs w:val="22"/>
          <w:highlight w:val="none"/>
        </w:rPr>
        <w:t>本项目依托学校在航海史、航运史、郑和研究等领域的学科积淀和资源优势，以古今中外重要航海代表人物为核心，系统整合校藏研究成果、历史文献、音视频、图片、手稿等多模态资源，构建“人物—事件—技术—文献”关联体系和航海人文知识图谱，破解航海人物史料分散、权威数据缺失、通用大模型史实偏差等问题。项目建成后将为航海史教学、海洋文化传播、跨学科科研创新、航运行业人文素养培育及“云端海事大学”建设提供权威、系统、可持续更新的数字化资源支撑。</w:t>
      </w:r>
    </w:p>
    <w:p w14:paraId="6D46828C">
      <w:pPr>
        <w:widowControl/>
        <w:shd w:val="clear" w:color="auto" w:fill="FFFFFF"/>
        <w:spacing w:line="480" w:lineRule="auto"/>
        <w:ind w:left="0" w:leftChars="0" w:firstLine="0" w:firstLineChars="0"/>
        <w:jc w:val="left"/>
        <w:rPr>
          <w:rFonts w:hint="eastAsia" w:ascii="Times New Roman" w:hAnsi="Times New Roman" w:eastAsia="方正兰亭黑简体" w:cs="Times New Roman"/>
          <w:b/>
          <w:bCs/>
          <w:color w:val="auto"/>
          <w:sz w:val="22"/>
          <w:szCs w:val="22"/>
          <w:highlight w:val="none"/>
          <w:lang w:val="en-US" w:eastAsia="zh-CN"/>
        </w:rPr>
      </w:pPr>
    </w:p>
    <w:p w14:paraId="2564B485">
      <w:pPr>
        <w:widowControl/>
        <w:numPr>
          <w:ilvl w:val="0"/>
          <w:numId w:val="0"/>
        </w:numPr>
        <w:shd w:val="clear" w:color="auto" w:fill="FFFFFF"/>
        <w:spacing w:line="480" w:lineRule="auto"/>
        <w:ind w:left="0" w:leftChars="0" w:firstLine="0" w:firstLineChars="0"/>
        <w:jc w:val="left"/>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kern w:val="2"/>
          <w:sz w:val="22"/>
          <w:szCs w:val="22"/>
          <w:highlight w:val="none"/>
          <w:lang w:val="en-US" w:eastAsia="zh-CN" w:bidi="ar-SA"/>
        </w:rPr>
        <w:t>二、</w:t>
      </w:r>
      <w:r>
        <w:rPr>
          <w:rFonts w:hint="eastAsia" w:ascii="Times New Roman" w:hAnsi="Times New Roman" w:eastAsia="方正兰亭黑简体" w:cs="Times New Roman"/>
          <w:b/>
          <w:bCs/>
          <w:color w:val="auto"/>
          <w:sz w:val="22"/>
          <w:szCs w:val="22"/>
          <w:highlight w:val="none"/>
          <w:lang w:val="en-US" w:eastAsia="zh-CN"/>
        </w:rPr>
        <w:t>服务内容</w:t>
      </w:r>
    </w:p>
    <w:p w14:paraId="21A50361">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w:t>
      </w:r>
      <w:r>
        <w:rPr>
          <w:rFonts w:hint="eastAsia" w:ascii="Times New Roman" w:hAnsi="Times New Roman" w:eastAsia="方正兰亭黑简体" w:cs="Times New Roman"/>
          <w:color w:val="auto"/>
          <w:sz w:val="22"/>
          <w:szCs w:val="22"/>
          <w:highlight w:val="none"/>
          <w:lang w:val="en-US" w:eastAsia="zh-CN"/>
        </w:rPr>
        <w:t>1）</w:t>
      </w:r>
      <w:r>
        <w:rPr>
          <w:rFonts w:hint="eastAsia" w:ascii="Times New Roman" w:hAnsi="Times New Roman" w:eastAsia="方正兰亭黑简体" w:cs="Times New Roman"/>
          <w:color w:val="auto"/>
          <w:sz w:val="22"/>
          <w:szCs w:val="22"/>
          <w:highlight w:val="none"/>
          <w:lang w:eastAsia="zh-CN"/>
        </w:rPr>
        <w:t>中标方需完成世界航海人物库数据资源建设工作</w:t>
      </w:r>
    </w:p>
    <w:p w14:paraId="0B23017B">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数据来源整合：需围绕世界航海人物相关资源开展系统采集、整合、清洗与查重，支持对馆藏文献资源、学校自有资源、网络公开资源等资源进行统一汇聚，形成支撑人物库建设的中央知识库元数据仓储。</w:t>
      </w:r>
    </w:p>
    <w:p w14:paraId="52C001A5">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自定义元数据标准：平台可支持图书、期刊论文、报告、基金项目、多媒体课件、音视频等多类型资源，同时也可支持管理员自定义资料类型名称、自定义各资料类型底层元数据字段标准并选择字段类型，字段类型需包含单行文本框、多行文本框、全文附件、下拉选择等多种方式；支持设置字段是否参与检索、聚类、列表页展示和详情页展示。</w:t>
      </w:r>
    </w:p>
    <w:p w14:paraId="0176ED30">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w:t>
      </w:r>
      <w:r>
        <w:rPr>
          <w:rFonts w:hint="eastAsia" w:ascii="Times New Roman" w:hAnsi="Times New Roman" w:eastAsia="方正兰亭黑简体" w:cs="Times New Roman"/>
          <w:color w:val="auto"/>
          <w:sz w:val="22"/>
          <w:szCs w:val="22"/>
          <w:highlight w:val="none"/>
          <w:lang w:val="en-US" w:eastAsia="zh-CN"/>
        </w:rPr>
        <w:t>2）</w:t>
      </w:r>
      <w:r>
        <w:rPr>
          <w:rFonts w:hint="eastAsia" w:ascii="Times New Roman" w:hAnsi="Times New Roman" w:eastAsia="方正兰亭黑简体" w:cs="Times New Roman"/>
          <w:color w:val="auto"/>
          <w:sz w:val="22"/>
          <w:szCs w:val="22"/>
          <w:highlight w:val="none"/>
          <w:lang w:eastAsia="zh-CN"/>
        </w:rPr>
        <w:t>中标方需完成数据更新维护、成果管理及分类审核机制建设</w:t>
      </w:r>
    </w:p>
    <w:p w14:paraId="64AABC37">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首次建设与自动回溯：系统需根据招标人提供的人物基础信息生成检索式和人物词典，支持回溯相关成果，尽量减少项目初期人工提交工作量，并提升人物成果匹配效率。</w:t>
      </w:r>
    </w:p>
    <w:p w14:paraId="205C4E05">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后续增量更新：人物库在维护过程中需支持按月增量更新，可设置固定日期定时自动抓取最新成果；支持查看平台所有人物成果自动更新记录，包括每次更新的检索式、更新时间及更新成果数量。</w:t>
      </w:r>
    </w:p>
    <w:p w14:paraId="593C0E9C">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成果提交管理：支持从本单位成果库检索、从发现系统检索、单篇上传、模板批量导入等多种成果添加方式；支持批量修改</w:t>
      </w:r>
      <w:bookmarkStart w:id="6" w:name="_GoBack"/>
      <w:r>
        <w:rPr>
          <w:rFonts w:hint="eastAsia" w:ascii="Times New Roman" w:hAnsi="Times New Roman" w:eastAsia="方正兰亭黑简体" w:cs="Times New Roman"/>
          <w:color w:val="auto"/>
          <w:sz w:val="22"/>
          <w:szCs w:val="22"/>
          <w:highlight w:val="none"/>
          <w:lang w:eastAsia="zh-CN"/>
        </w:rPr>
        <w:t>；</w:t>
      </w:r>
      <w:bookmarkEnd w:id="6"/>
      <w:r>
        <w:rPr>
          <w:rFonts w:hint="eastAsia" w:ascii="Times New Roman" w:hAnsi="Times New Roman" w:eastAsia="方正兰亭黑简体" w:cs="Times New Roman"/>
          <w:color w:val="auto"/>
          <w:sz w:val="22"/>
          <w:szCs w:val="22"/>
          <w:highlight w:val="none"/>
          <w:lang w:eastAsia="zh-CN"/>
        </w:rPr>
        <w:t>单篇上传时系统可自动联想本单位的相似成果，提升成果追缴和补录效率。</w:t>
      </w:r>
    </w:p>
    <w:p w14:paraId="24F6E257">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附件与全文管理：提供全文附件上传入口，上传附件可在前台下载或预览；支持PNG、DOC、DOCX、PDF、JPG等多种附件格式，一个成果可支持多个附件，包括期刊封面、目录、全文、获奖证书等。</w:t>
      </w:r>
    </w:p>
    <w:p w14:paraId="63888C0D">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成果导出：支持按照文献类型、年份、认领状态、认领时间、收录数据库等筛选条件导出成果元数据信息；支持按照引文、EndNote、NoteExpress、Refworks、EXCEL等格式保存成果题录。</w:t>
      </w:r>
    </w:p>
    <w:p w14:paraId="1E5541D5">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分类管理：支持4级以内的管理员自定义分类，可在系统元数据仓储基础上建设具有针对性方向的子分类，实现航海人物与相关资源的结构化存储、分类导航和浏览；支持新增、删除分类、一级分类上传图标、多级分类资源上传及已上传资源分类修改。</w:t>
      </w:r>
    </w:p>
    <w:p w14:paraId="285F75A9">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成果审核与回收站：针对人物个人或管理人员上传的成果，系统需提供成果审核功能，并通过数据联想检测上传数据是否与中央知识库已有数据重复或相似，优先采用规范数据以确保数据唯一性与规范性；支持资源回收站功能，对已删除成果可恢复或彻底删除。</w:t>
      </w:r>
    </w:p>
    <w:p w14:paraId="0700CFC5">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w:t>
      </w:r>
      <w:r>
        <w:rPr>
          <w:rFonts w:hint="eastAsia" w:ascii="Times New Roman" w:hAnsi="Times New Roman" w:eastAsia="方正兰亭黑简体" w:cs="Times New Roman"/>
          <w:color w:val="auto"/>
          <w:sz w:val="22"/>
          <w:szCs w:val="22"/>
          <w:highlight w:val="none"/>
          <w:lang w:val="en-US" w:eastAsia="zh-CN"/>
        </w:rPr>
        <w:t>3）</w:t>
      </w:r>
      <w:r>
        <w:rPr>
          <w:rFonts w:hint="eastAsia" w:ascii="Times New Roman" w:hAnsi="Times New Roman" w:eastAsia="方正兰亭黑简体" w:cs="Times New Roman"/>
          <w:color w:val="auto"/>
          <w:sz w:val="22"/>
          <w:szCs w:val="22"/>
          <w:highlight w:val="none"/>
          <w:lang w:eastAsia="zh-CN"/>
        </w:rPr>
        <w:t>中标方需建立航海人物信息管理与权限控制功能</w:t>
      </w:r>
    </w:p>
    <w:p w14:paraId="53D5D164">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人物基础信息管理：系统需根据机构提供的人物信息表为每一位人物赋予唯一ID，支持设置中文名、英文名、中文曾用名、英文曾用名，并支持自动生成英文名多种变体写法。</w:t>
      </w:r>
    </w:p>
    <w:p w14:paraId="2AB700E8">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人物成果匹配：支持设置人物所属机构及曾属机构的年份，通过“机构名称+发文年份”判断成果归属，提高人物成果匹配精度；系统需自动生成默认人物词典，并支持为每位人物配置个性化检索方案，以适应不同人物、不同资源类型的数据建设场景。</w:t>
      </w:r>
    </w:p>
    <w:p w14:paraId="25E109C7">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人物简介管理：支持上传每位重要人物的人物简介，包括各类介绍标题、详细信息、个人简介、成果概述、荣誉奖励等内容，支持富文本编辑与展示顺序自定义排序；前台需自动生成人物简介标签页，并通过电梯导航形式展示。</w:t>
      </w:r>
    </w:p>
    <w:p w14:paraId="6B004A04">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人物经历管理：支持上传每位重要人物的人物经历列表，包括时间节点标题、详细信息、封面缩略图等，支持单条新增、批量导入、批量修改及时间节点自定义排序；系统需根据人物经历生成时间轴，清晰呈现重要人物重大时间点、事迹和图片。</w:t>
      </w:r>
    </w:p>
    <w:p w14:paraId="07B66B77">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重要人物分组：支持4级以内的人物自定义分类，可根据重要人物所属机构、学科领域、人物类型、历史时期等维度进行分组，并支持对不同类别人物进行灵活编辑与管理。</w:t>
      </w:r>
    </w:p>
    <w:p w14:paraId="4C6CEF3F">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全文权限控制：管理员可在后台配置全文访问权限。</w:t>
      </w:r>
    </w:p>
    <w:p w14:paraId="3988C9F4">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w:t>
      </w:r>
      <w:r>
        <w:rPr>
          <w:rFonts w:hint="eastAsia" w:ascii="Times New Roman" w:hAnsi="Times New Roman" w:eastAsia="方正兰亭黑简体" w:cs="Times New Roman"/>
          <w:color w:val="auto"/>
          <w:sz w:val="22"/>
          <w:szCs w:val="22"/>
          <w:highlight w:val="none"/>
          <w:lang w:val="en-US" w:eastAsia="zh-CN"/>
        </w:rPr>
        <w:t>4）</w:t>
      </w:r>
      <w:r>
        <w:rPr>
          <w:rFonts w:hint="eastAsia" w:ascii="Times New Roman" w:hAnsi="Times New Roman" w:eastAsia="方正兰亭黑简体" w:cs="Times New Roman"/>
          <w:color w:val="auto"/>
          <w:sz w:val="22"/>
          <w:szCs w:val="22"/>
          <w:highlight w:val="none"/>
          <w:lang w:eastAsia="zh-CN"/>
        </w:rPr>
        <w:t>建设世界航海人物库前台展示、检索与成果详情功能</w:t>
      </w:r>
    </w:p>
    <w:p w14:paraId="52CE4A52">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成果统一检索：提供一站式检索框，支持空检索、简单检索、高级检索和二次检索；支持按文献类型、字段、逻辑关系、时间段等条件进行组合检索。</w:t>
      </w:r>
    </w:p>
    <w:p w14:paraId="1FE85630">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检索联想与筛选：系统需依据检索词自动生成检索联想词，检索结果支持按照语种、文献类型、年份、有无全文、机构、所属人物等维度组合筛选。</w:t>
      </w:r>
    </w:p>
    <w:p w14:paraId="76DE4EC9">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全文检索：检索时选择“全文”后，可对符合条件的附件进行全文检索；全文检索资源需支持文本阅读器和图文对照阅读器，并具备检索结果高亮、定位等基础阅读能力。</w:t>
      </w:r>
    </w:p>
    <w:p w14:paraId="4A9079E1">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文献详细信息页：提供文献详细信息页面，展示文献元数据对应全文获取途径、标题、作者、关键词、摘要等字段信息。</w:t>
      </w:r>
    </w:p>
    <w:p w14:paraId="139384F6">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重要人物导航页：提供重要人物导航页面，对重要人物进行统一展示，支持按人物姓氏首字母A-Z筛选，并支持对人物进行检索。</w:t>
      </w:r>
    </w:p>
    <w:p w14:paraId="0FC97068">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重要人物个人主页：系统需自动为每位重要人物生成个人主页，展示姓名、头像、资源数量、人物简介、成果列表及统计分析等内容；人物简介采用电梯导航，人物经历以时间轴形式展示，成果列表支持按语种、文献类型、年份、关键词等维度筛选。</w:t>
      </w:r>
    </w:p>
    <w:p w14:paraId="275E89A0">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w:t>
      </w:r>
      <w:r>
        <w:rPr>
          <w:rFonts w:hint="eastAsia" w:ascii="Times New Roman" w:hAnsi="Times New Roman" w:eastAsia="方正兰亭黑简体" w:cs="Times New Roman"/>
          <w:color w:val="auto"/>
          <w:sz w:val="22"/>
          <w:szCs w:val="22"/>
          <w:highlight w:val="none"/>
          <w:lang w:val="en-US" w:eastAsia="zh-CN"/>
        </w:rPr>
        <w:t>5）</w:t>
      </w:r>
      <w:r>
        <w:rPr>
          <w:rFonts w:hint="eastAsia" w:ascii="Times New Roman" w:hAnsi="Times New Roman" w:eastAsia="方正兰亭黑简体" w:cs="Times New Roman"/>
          <w:color w:val="auto"/>
          <w:sz w:val="22"/>
          <w:szCs w:val="22"/>
          <w:highlight w:val="none"/>
          <w:lang w:eastAsia="zh-CN"/>
        </w:rPr>
        <w:t>中标方需建设多维分析、在线浏览与智能问答功能</w:t>
      </w:r>
    </w:p>
    <w:p w14:paraId="19222671">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多维度可视化分析：平台需支持根据用户搜索结果生成可视化分析图表，分析维度包括相关知识点、作者、机构、文献类型占比等，并可用于展示航海人物研究热点、成果趋势和资源结构。</w:t>
      </w:r>
    </w:p>
    <w:p w14:paraId="271B7350">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知识图谱：平台需支持将检索数据及分析结果以图谱形式直观展示，用户可查看以检索词为核心的知识图谱，可选择展示关系字段、展示形式及展示节点数，支持多层级关系展示，最多四级，并支持导出当前页面图片。</w:t>
      </w:r>
    </w:p>
    <w:p w14:paraId="44CCA14D">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资源在线浏览：平台需支持文献、音频、视频等多种类型资源在线浏览，前台资源详情页实时展示附件和字段信息，并提供相关资源、相同作者、关联资源等拓展功能。</w:t>
      </w:r>
    </w:p>
    <w:p w14:paraId="0862DC10">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AI问答：系统需通过对库内资源的学习，为用户提供精准AI问答服务；回答用户问题时需同步显示相关文献来源，支持点击来源跳转查看详细知识来源，帮助用户开展信息溯源并验证答案可靠性。</w:t>
      </w:r>
    </w:p>
    <w:p w14:paraId="5F764DF6">
      <w:pPr>
        <w:widowControl/>
        <w:numPr>
          <w:ilvl w:val="0"/>
          <w:numId w:val="0"/>
        </w:numPr>
        <w:shd w:val="clear" w:color="auto" w:fill="FFFFFF"/>
        <w:spacing w:line="480" w:lineRule="auto"/>
        <w:jc w:val="left"/>
        <w:rPr>
          <w:rFonts w:hint="default" w:ascii="Times New Roman" w:hAnsi="Times New Roman" w:eastAsia="方正兰亭黑简体" w:cs="Times New Roman"/>
          <w:b/>
          <w:bCs/>
          <w:color w:val="auto"/>
          <w:sz w:val="22"/>
          <w:szCs w:val="22"/>
          <w:highlight w:val="none"/>
          <w:lang w:val="en-US" w:eastAsia="zh-CN"/>
        </w:rPr>
      </w:pPr>
    </w:p>
    <w:p w14:paraId="6ED13731">
      <w:pPr>
        <w:spacing w:line="480" w:lineRule="auto"/>
        <w:rPr>
          <w:rFonts w:hint="default" w:ascii="Times New Roman" w:hAnsi="Times New Roman" w:eastAsia="方正兰亭黑简体" w:cs="Times New Roman"/>
          <w:b/>
          <w:bCs/>
          <w:color w:val="auto"/>
          <w:kern w:val="0"/>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w:t>
      </w:r>
      <w:r>
        <w:rPr>
          <w:rFonts w:hint="eastAsia" w:ascii="Times New Roman" w:hAnsi="Times New Roman" w:eastAsia="方正兰亭黑简体" w:cs="Times New Roman"/>
          <w:b/>
          <w:bCs/>
          <w:color w:val="auto"/>
          <w:kern w:val="0"/>
          <w:sz w:val="22"/>
          <w:szCs w:val="22"/>
          <w:highlight w:val="none"/>
          <w:lang w:val="en-US" w:eastAsia="zh-CN"/>
        </w:rPr>
        <w:t>其他要求</w:t>
      </w:r>
    </w:p>
    <w:p w14:paraId="34370E67">
      <w:pPr>
        <w:spacing w:line="48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1.维护期：不少于2年，</w:t>
      </w:r>
    </w:p>
    <w:p w14:paraId="5286BAF9">
      <w:pPr>
        <w:spacing w:line="48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运维服务：质保期内免费提供，包含系统故障排查、BUG修复、常规知识更新、技术咨询、远程技术支持，7×24小时应急响应。质保期结束后提供终身优惠运维服务。</w:t>
      </w:r>
    </w:p>
    <w:p w14:paraId="1ADD2F36">
      <w:pPr>
        <w:spacing w:line="48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迭代服务：质保期内免费提供人物库内容迭代、小功能优化升级服务。</w:t>
      </w:r>
    </w:p>
    <w:p w14:paraId="2FC3B8DC">
      <w:pPr>
        <w:spacing w:line="48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2.履约验收：由图书馆（档案馆）成立验收小组负责验收，以技术要求中的功能要求作为验收标准。</w:t>
      </w:r>
    </w:p>
    <w:p w14:paraId="6966AFD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vAlign w:val="center"/>
          </w:tcPr>
          <w:p w14:paraId="04667EC9">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vAlign w:val="center"/>
          </w:tcPr>
          <w:p w14:paraId="6B1AA947">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vAlign w:val="center"/>
          </w:tcPr>
          <w:p w14:paraId="78DCF4D6">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vAlign w:val="center"/>
          </w:tcPr>
          <w:p w14:paraId="6E043E2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2F6FAA4D">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vAlign w:val="center"/>
          </w:tcPr>
          <w:p w14:paraId="69E5170C">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采用低价优先法计算，即满足比选文件要求且最低的报价为基准价，其价格分为满分20分。其他报价单位的报价得分计算公式如下：报价得分＝20×（评标基准价/投标报价）。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9" w:type="pct"/>
            <w:vAlign w:val="center"/>
          </w:tcPr>
          <w:p w14:paraId="7AF339F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557659E">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74E23610">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6</w:t>
            </w:r>
            <w:r>
              <w:rPr>
                <w:rFonts w:hint="eastAsia" w:ascii="方正兰亭黑简体" w:hAnsi="方正兰亭黑简体" w:eastAsia="方正兰亭黑简体" w:cs="方正兰亭黑简体"/>
                <w:color w:val="auto"/>
                <w:sz w:val="20"/>
                <w:szCs w:val="20"/>
                <w:highlight w:val="none"/>
              </w:rPr>
              <w:t>月1日起至今）业绩案例。（每提供1个得5分；最高得15分）注：需提供相关业绩的合同复印件，否则将不予认可。</w:t>
            </w:r>
          </w:p>
        </w:tc>
      </w:tr>
      <w:tr w14:paraId="6AF9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vAlign w:val="center"/>
          </w:tcPr>
          <w:p w14:paraId="4780BF04">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669" w:type="pct"/>
            <w:vAlign w:val="center"/>
          </w:tcPr>
          <w:p w14:paraId="312CC6C9">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服务响应程度</w:t>
            </w:r>
          </w:p>
          <w:p w14:paraId="1DD2C7B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A438D65">
            <w:pPr>
              <w:spacing w:line="24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25</w:t>
            </w:r>
          </w:p>
        </w:tc>
        <w:tc>
          <w:tcPr>
            <w:tcW w:w="3635" w:type="pct"/>
            <w:vAlign w:val="center"/>
          </w:tcPr>
          <w:p w14:paraId="4C942918">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w:t>
            </w:r>
            <w:r>
              <w:rPr>
                <w:rFonts w:hint="eastAsia" w:ascii="方正兰亭黑简体" w:hAnsi="方正兰亭黑简体" w:eastAsia="方正兰亭黑简体" w:cs="方正兰亭黑简体"/>
                <w:color w:val="auto"/>
                <w:sz w:val="20"/>
                <w:szCs w:val="20"/>
                <w:highlight w:val="none"/>
                <w:lang w:val="en-US" w:eastAsia="zh-CN"/>
              </w:rPr>
              <w:t>技术要求</w:t>
            </w:r>
            <w:r>
              <w:rPr>
                <w:rFonts w:hint="eastAsia" w:ascii="方正兰亭黑简体" w:hAnsi="方正兰亭黑简体" w:eastAsia="方正兰亭黑简体" w:cs="方正兰亭黑简体"/>
                <w:color w:val="auto"/>
                <w:sz w:val="20"/>
                <w:szCs w:val="20"/>
                <w:highlight w:val="none"/>
              </w:rPr>
              <w:t>的，每项扣</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分；扣完为止。</w:t>
            </w:r>
          </w:p>
        </w:tc>
      </w:tr>
      <w:tr w14:paraId="4D0BBB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vAlign w:val="center"/>
          </w:tcPr>
          <w:p w14:paraId="788752CD">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669" w:type="pct"/>
            <w:tcBorders>
              <w:top w:val="single" w:color="auto" w:sz="6" w:space="0"/>
              <w:left w:val="single" w:color="auto" w:sz="6" w:space="0"/>
              <w:bottom w:val="single" w:color="auto" w:sz="6" w:space="0"/>
              <w:right w:val="single" w:color="auto" w:sz="6" w:space="0"/>
            </w:tcBorders>
            <w:vAlign w:val="center"/>
          </w:tcPr>
          <w:p w14:paraId="7A8085A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2F94F36C">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004B4B48">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0</w:t>
            </w:r>
          </w:p>
        </w:tc>
        <w:tc>
          <w:tcPr>
            <w:tcW w:w="3635" w:type="pct"/>
            <w:vAlign w:val="center"/>
          </w:tcPr>
          <w:p w14:paraId="6393C2D9">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优秀（16～20分）：方案整体质量高，方案合理可行性强，响应措施及时高效，项目进度安排紧凑合理。</w:t>
            </w:r>
          </w:p>
          <w:p w14:paraId="36A6F9CB">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良好（11～15分）：方案整体质量较好，响应措施尚可，方案个别细节有待进一步完善。</w:t>
            </w:r>
          </w:p>
          <w:p w14:paraId="3EC9A561">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一般（6～10分）：方案整体质量一般，合理性与可行性一般，存在风险但总体可控的。</w:t>
            </w:r>
          </w:p>
          <w:p w14:paraId="58DA62C3">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较差（0～5分）：方案整体质量较差，与项目实际契合度低的。</w:t>
            </w:r>
          </w:p>
        </w:tc>
      </w:tr>
      <w:tr w14:paraId="3BB31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vAlign w:val="center"/>
          </w:tcPr>
          <w:p w14:paraId="56286725">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669" w:type="pct"/>
            <w:vAlign w:val="center"/>
          </w:tcPr>
          <w:p w14:paraId="6709E7B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20BE35A">
            <w:pPr>
              <w:pStyle w:val="13"/>
              <w:spacing w:line="240" w:lineRule="auto"/>
              <w:ind w:firstLine="200"/>
              <w:rPr>
                <w:color w:val="auto"/>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1D1DB52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tcPr>
          <w:p w14:paraId="17BC9C7A">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优秀（16～20分）：服务承诺等合理可行。</w:t>
            </w:r>
          </w:p>
          <w:p w14:paraId="39CBBAFA">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良好（11～15分）：服务承诺等比较合理。</w:t>
            </w:r>
          </w:p>
          <w:p w14:paraId="57D0EDAC">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一般（6～10分）：服务承诺等合理性与可行性一般。</w:t>
            </w:r>
          </w:p>
          <w:p w14:paraId="053ACC0F">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较差（0～5分）：服务承诺等合理性与可行性较差。</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报价单</w:t>
      </w:r>
    </w:p>
    <w:p w14:paraId="28C0DCFE">
      <w:pPr>
        <w:spacing w:line="440" w:lineRule="exact"/>
        <w:jc w:val="left"/>
        <w:rPr>
          <w:rFonts w:hint="eastAsia" w:ascii="黑体" w:hAnsi="华文楷体" w:eastAsia="黑体"/>
          <w:color w:val="auto"/>
          <w:sz w:val="24"/>
          <w:highlight w:val="none"/>
          <w:lang w:eastAsia="zh-CN"/>
        </w:rPr>
      </w:pPr>
      <w:r>
        <w:rPr>
          <w:rFonts w:hint="eastAsia" w:ascii="黑体" w:hAnsi="华文楷体" w:eastAsia="黑体"/>
          <w:b/>
          <w:color w:val="auto"/>
          <w:sz w:val="24"/>
          <w:highlight w:val="none"/>
        </w:rPr>
        <w:t>TO:</w:t>
      </w:r>
      <w:r>
        <w:rPr>
          <w:rFonts w:hint="eastAsia" w:ascii="黑体" w:hAnsi="华文楷体" w:eastAsia="黑体"/>
          <w:color w:val="auto"/>
          <w:sz w:val="24"/>
          <w:highlight w:val="none"/>
        </w:rPr>
        <w:t>上海海事大学采购与招投标管理中心</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HFBX2026058</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8"/>
          <w:rFonts w:ascii="黑体" w:hAnsi="华文楷体" w:eastAsia="黑体"/>
          <w:b/>
          <w:color w:val="auto"/>
          <w:sz w:val="24"/>
          <w:highlight w:val="none"/>
        </w:rPr>
        <w:t>quotation@shmtu.edu.cn</w:t>
      </w:r>
      <w:r>
        <w:rPr>
          <w:rStyle w:val="18"/>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电话：联系人手机：</w:t>
      </w:r>
    </w:p>
    <w:p w14:paraId="184D96DB">
      <w:pPr>
        <w:spacing w:line="440" w:lineRule="exact"/>
        <w:rPr>
          <w:rFonts w:hint="eastAsia" w:ascii="黑体" w:hAnsi="华文楷体" w:eastAsia="黑体"/>
          <w:b/>
          <w:color w:val="auto"/>
          <w:sz w:val="24"/>
          <w:highlight w:val="none"/>
        </w:rPr>
      </w:pPr>
    </w:p>
    <w:tbl>
      <w:tblPr>
        <w:tblStyle w:val="14"/>
        <w:tblW w:w="498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11"/>
        <w:gridCol w:w="3542"/>
        <w:gridCol w:w="3282"/>
        <w:gridCol w:w="2336"/>
      </w:tblGrid>
      <w:tr w14:paraId="164CE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313" w:type="pct"/>
            <w:tcBorders>
              <w:top w:val="single" w:color="auto" w:sz="12" w:space="0"/>
              <w:left w:val="single" w:color="auto" w:sz="12" w:space="0"/>
              <w:bottom w:val="double" w:color="auto" w:sz="4" w:space="0"/>
            </w:tcBorders>
            <w:vAlign w:val="center"/>
          </w:tcPr>
          <w:p w14:paraId="2BBD17A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序号</w:t>
            </w:r>
          </w:p>
        </w:tc>
        <w:tc>
          <w:tcPr>
            <w:tcW w:w="1812" w:type="pct"/>
            <w:tcBorders>
              <w:top w:val="single" w:color="auto" w:sz="12" w:space="0"/>
              <w:bottom w:val="double" w:color="auto" w:sz="4" w:space="0"/>
            </w:tcBorders>
            <w:vAlign w:val="center"/>
          </w:tcPr>
          <w:p w14:paraId="1041179F">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项目名称</w:t>
            </w:r>
          </w:p>
        </w:tc>
        <w:tc>
          <w:tcPr>
            <w:tcW w:w="1679" w:type="pct"/>
            <w:tcBorders>
              <w:top w:val="single" w:color="auto" w:sz="12" w:space="0"/>
              <w:left w:val="single" w:color="auto" w:sz="4" w:space="0"/>
              <w:bottom w:val="double" w:color="auto" w:sz="4" w:space="0"/>
              <w:right w:val="single" w:color="auto" w:sz="4" w:space="0"/>
            </w:tcBorders>
            <w:vAlign w:val="center"/>
          </w:tcPr>
          <w:p w14:paraId="697F2EE7">
            <w:pPr>
              <w:tabs>
                <w:tab w:val="left" w:pos="7020"/>
              </w:tabs>
              <w:jc w:val="center"/>
              <w:rPr>
                <w:rFonts w:hint="eastAsia" w:ascii="黑体" w:hAnsi="黑体" w:eastAsia="黑体"/>
                <w:b/>
                <w:color w:val="auto"/>
                <w:sz w:val="24"/>
                <w:highlight w:val="none"/>
                <w:lang w:val="en-US" w:eastAsia="zh-CN"/>
              </w:rPr>
            </w:pPr>
            <w:r>
              <w:rPr>
                <w:rFonts w:hint="eastAsia" w:ascii="黑体" w:hAnsi="黑体" w:eastAsia="黑体"/>
                <w:b/>
                <w:color w:val="auto"/>
                <w:sz w:val="24"/>
                <w:highlight w:val="none"/>
              </w:rPr>
              <w:t>项目</w:t>
            </w:r>
            <w:r>
              <w:rPr>
                <w:rFonts w:hint="eastAsia" w:ascii="黑体" w:hAnsi="黑体" w:eastAsia="黑体"/>
                <w:b/>
                <w:color w:val="auto"/>
                <w:sz w:val="24"/>
                <w:highlight w:val="none"/>
                <w:lang w:val="en-US" w:eastAsia="zh-CN"/>
              </w:rPr>
              <w:t>总价</w:t>
            </w:r>
            <w:r>
              <w:rPr>
                <w:rFonts w:hint="eastAsia" w:ascii="黑体" w:hAnsi="黑体" w:eastAsia="黑体"/>
                <w:b/>
                <w:color w:val="auto"/>
                <w:sz w:val="24"/>
                <w:highlight w:val="none"/>
              </w:rPr>
              <w:t>（元）</w:t>
            </w:r>
          </w:p>
        </w:tc>
        <w:tc>
          <w:tcPr>
            <w:tcW w:w="1194" w:type="pct"/>
            <w:tcBorders>
              <w:top w:val="single" w:color="auto" w:sz="12" w:space="0"/>
              <w:left w:val="single" w:color="auto" w:sz="4" w:space="0"/>
              <w:bottom w:val="double" w:color="auto" w:sz="4" w:space="0"/>
              <w:right w:val="single" w:color="auto" w:sz="12" w:space="0"/>
            </w:tcBorders>
            <w:vAlign w:val="center"/>
          </w:tcPr>
          <w:p w14:paraId="5C391E51">
            <w:pPr>
              <w:tabs>
                <w:tab w:val="left" w:pos="7020"/>
              </w:tabs>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备注</w:t>
            </w:r>
          </w:p>
        </w:tc>
      </w:tr>
      <w:tr w14:paraId="09A6E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313" w:type="pct"/>
            <w:tcBorders>
              <w:top w:val="double" w:color="auto" w:sz="4" w:space="0"/>
              <w:left w:val="single" w:color="auto" w:sz="12" w:space="0"/>
              <w:bottom w:val="double" w:color="auto" w:sz="4" w:space="0"/>
            </w:tcBorders>
            <w:vAlign w:val="center"/>
          </w:tcPr>
          <w:p w14:paraId="1ED4381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1</w:t>
            </w:r>
          </w:p>
        </w:tc>
        <w:tc>
          <w:tcPr>
            <w:tcW w:w="1812" w:type="pct"/>
            <w:tcBorders>
              <w:top w:val="double" w:color="auto" w:sz="4" w:space="0"/>
              <w:bottom w:val="double" w:color="auto" w:sz="4" w:space="0"/>
            </w:tcBorders>
            <w:vAlign w:val="center"/>
          </w:tcPr>
          <w:p w14:paraId="4E78542C">
            <w:pPr>
              <w:tabs>
                <w:tab w:val="left" w:pos="7020"/>
              </w:tabs>
              <w:jc w:val="center"/>
              <w:rPr>
                <w:rFonts w:hint="eastAsia" w:ascii="黑体" w:hAnsi="黑体" w:eastAsia="黑体" w:cs="Times New Roman"/>
                <w:b/>
                <w:color w:val="auto"/>
                <w:sz w:val="24"/>
                <w:highlight w:val="none"/>
                <w:lang w:eastAsia="zh-CN"/>
              </w:rPr>
            </w:pPr>
            <w:r>
              <w:rPr>
                <w:rFonts w:hint="eastAsia" w:ascii="黑体" w:hAnsi="黑体" w:eastAsia="黑体"/>
                <w:b/>
                <w:color w:val="auto"/>
                <w:sz w:val="24"/>
                <w:highlight w:val="none"/>
                <w:lang w:eastAsia="zh-CN"/>
              </w:rPr>
              <w:t>世界航海人物库建设项目</w:t>
            </w:r>
          </w:p>
        </w:tc>
        <w:tc>
          <w:tcPr>
            <w:tcW w:w="1679" w:type="pct"/>
            <w:tcBorders>
              <w:top w:val="double" w:color="auto" w:sz="4" w:space="0"/>
              <w:left w:val="single" w:color="auto" w:sz="4" w:space="0"/>
              <w:bottom w:val="double" w:color="auto" w:sz="4" w:space="0"/>
              <w:right w:val="single" w:color="auto" w:sz="4" w:space="0"/>
            </w:tcBorders>
            <w:vAlign w:val="center"/>
          </w:tcPr>
          <w:p w14:paraId="58FFF829">
            <w:pPr>
              <w:tabs>
                <w:tab w:val="left" w:pos="7020"/>
              </w:tabs>
              <w:jc w:val="center"/>
              <w:rPr>
                <w:rFonts w:hint="eastAsia" w:ascii="黑体" w:hAnsi="黑体" w:eastAsia="黑体"/>
                <w:b/>
                <w:color w:val="auto"/>
                <w:sz w:val="24"/>
                <w:highlight w:val="none"/>
                <w:lang w:eastAsia="zh-CN"/>
              </w:rPr>
            </w:pPr>
          </w:p>
        </w:tc>
        <w:tc>
          <w:tcPr>
            <w:tcW w:w="1194" w:type="pct"/>
            <w:tcBorders>
              <w:top w:val="double" w:color="auto" w:sz="4" w:space="0"/>
              <w:left w:val="single" w:color="auto" w:sz="4" w:space="0"/>
              <w:bottom w:val="double" w:color="auto" w:sz="4" w:space="0"/>
              <w:right w:val="single" w:color="auto" w:sz="12" w:space="0"/>
            </w:tcBorders>
            <w:vAlign w:val="center"/>
          </w:tcPr>
          <w:p w14:paraId="3E1EF44A">
            <w:pPr>
              <w:tabs>
                <w:tab w:val="left" w:pos="7020"/>
              </w:tabs>
              <w:jc w:val="center"/>
              <w:rPr>
                <w:rFonts w:hint="default" w:eastAsiaTheme="minorEastAsia"/>
                <w:color w:val="auto"/>
                <w:highlight w:val="none"/>
                <w:lang w:val="en-US" w:eastAsia="zh-CN"/>
              </w:rPr>
            </w:pPr>
          </w:p>
        </w:tc>
      </w:tr>
      <w:tr w14:paraId="77FEC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125" w:type="pct"/>
            <w:gridSpan w:val="2"/>
            <w:tcBorders>
              <w:top w:val="double" w:color="auto" w:sz="4" w:space="0"/>
              <w:left w:val="single" w:color="auto" w:sz="12" w:space="0"/>
              <w:bottom w:val="single" w:color="auto" w:sz="12" w:space="0"/>
              <w:right w:val="single" w:color="auto" w:sz="4" w:space="0"/>
            </w:tcBorders>
            <w:vAlign w:val="center"/>
          </w:tcPr>
          <w:p w14:paraId="6322DB60">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2874" w:type="pct"/>
            <w:gridSpan w:val="2"/>
            <w:tcBorders>
              <w:top w:val="double" w:color="auto" w:sz="4" w:space="0"/>
              <w:left w:val="single" w:color="auto" w:sz="4" w:space="0"/>
              <w:bottom w:val="single" w:color="auto" w:sz="12" w:space="0"/>
              <w:right w:val="single" w:color="auto" w:sz="12" w:space="0"/>
            </w:tcBorders>
            <w:vAlign w:val="center"/>
          </w:tcPr>
          <w:p w14:paraId="4B46D8FA">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￥（大写）：</w:t>
            </w:r>
          </w:p>
        </w:tc>
      </w:tr>
    </w:tbl>
    <w:p w14:paraId="0408D135">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公司名称（盖章）：委托代理人（签字）：报价日期：年月日</w:t>
      </w:r>
    </w:p>
    <w:p w14:paraId="20B1E828">
      <w:pPr>
        <w:spacing w:line="440" w:lineRule="exact"/>
        <w:rPr>
          <w:rFonts w:hint="eastAsia" w:ascii="黑体" w:hAnsi="华文楷体" w:eastAsia="黑体"/>
          <w:color w:val="auto"/>
          <w:sz w:val="24"/>
          <w:highlight w:val="none"/>
        </w:rPr>
      </w:pP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4、报价单附页（如有）共页。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公司名称（盖章）：委托代理人（签字）：</w:t>
      </w:r>
    </w:p>
    <w:p w14:paraId="097F108E">
      <w:pPr>
        <w:pStyle w:val="5"/>
        <w:rPr>
          <w:rFonts w:hint="eastAsia" w:ascii="方正兰亭黑简体" w:hAnsi="方正兰亭黑简体" w:eastAsia="方正兰亭黑简体" w:cs="方正兰亭黑简体"/>
          <w:color w:val="auto"/>
          <w:sz w:val="22"/>
          <w:szCs w:val="28"/>
          <w:highlight w:val="none"/>
        </w:rPr>
      </w:pPr>
    </w:p>
    <w:p w14:paraId="6AAADDA4">
      <w:pPr>
        <w:pStyle w:val="5"/>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4"/>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387F74F-1223-4802-95B2-4DEF39683B3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04BC2E0D-66CB-441A-A463-ABC39DC1EC90}"/>
  </w:font>
  <w:font w:name="仿宋">
    <w:panose1 w:val="02010609060101010101"/>
    <w:charset w:val="86"/>
    <w:family w:val="modern"/>
    <w:pitch w:val="default"/>
    <w:sig w:usb0="800002BF" w:usb1="38CF7CFA" w:usb2="00000016" w:usb3="00000000" w:csb0="00040001" w:csb1="00000000"/>
    <w:embedRegular r:id="rId3" w:fontKey="{F0499F19-672C-48FB-B44F-82655D9285BE}"/>
  </w:font>
  <w:font w:name="方正兰亭黑简体">
    <w:panose1 w:val="02000000000000000000"/>
    <w:charset w:val="86"/>
    <w:family w:val="auto"/>
    <w:pitch w:val="default"/>
    <w:sig w:usb0="A00002BF" w:usb1="184F6CFA" w:usb2="00000012" w:usb3="00000000" w:csb0="00040001" w:csb1="00000000"/>
    <w:embedRegular r:id="rId4" w:fontKey="{0E920059-3994-4B71-A654-E36F26B93FFF}"/>
  </w:font>
  <w:font w:name="华文楷体">
    <w:panose1 w:val="02010600040101010101"/>
    <w:charset w:val="86"/>
    <w:family w:val="auto"/>
    <w:pitch w:val="default"/>
    <w:sig w:usb0="00000287" w:usb1="080F0000" w:usb2="00000000" w:usb3="00000000" w:csb0="0004009F" w:csb1="DFD70000"/>
    <w:embedRegular r:id="rId5" w:fontKey="{82EF05CB-E4F6-4CC8-9C55-095E08DF189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7"/>
                          </w:pPr>
                          <w:r>
                            <w:t>第</w:t>
                          </w:r>
                          <w:r>
                            <w:fldChar w:fldCharType="begin"/>
                          </w:r>
                          <w:r>
                            <w:instrText xml:space="preserve"> PAGE  \* MERGEFORMAT </w:instrText>
                          </w:r>
                          <w:r>
                            <w:fldChar w:fldCharType="separate"/>
                          </w:r>
                          <w:r>
                            <w:t>1</w:t>
                          </w:r>
                          <w:r>
                            <w:fldChar w:fldCharType="end"/>
                          </w:r>
                          <w:r>
                            <w:t>页共</w:t>
                          </w:r>
                          <w:r>
                            <w:fldChar w:fldCharType="begin"/>
                          </w:r>
                          <w:r>
                            <w:instrText xml:space="preserve"> NUMPAGES  \* MERGEFORMAT </w:instrText>
                          </w:r>
                          <w:r>
                            <w:fldChar w:fldCharType="separate"/>
                          </w:r>
                          <w:r>
                            <w:t>9</w:t>
                          </w:r>
                          <w:r>
                            <w:fldChar w:fldCharType="end"/>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7"/>
                    </w:pPr>
                    <w:r>
                      <w:t>第</w:t>
                    </w:r>
                    <w:r>
                      <w:fldChar w:fldCharType="begin"/>
                    </w:r>
                    <w:r>
                      <w:instrText xml:space="preserve"> PAGE  \* MERGEFORMAT </w:instrText>
                    </w:r>
                    <w:r>
                      <w:fldChar w:fldCharType="separate"/>
                    </w:r>
                    <w:r>
                      <w:t>1</w:t>
                    </w:r>
                    <w:r>
                      <w:fldChar w:fldCharType="end"/>
                    </w:r>
                    <w:r>
                      <w:t>页共</w:t>
                    </w:r>
                    <w:r>
                      <w:fldChar w:fldCharType="begin"/>
                    </w:r>
                    <w:r>
                      <w:instrText xml:space="preserve"> NUMPAGES  \* MERGEFORMAT </w:instrText>
                    </w:r>
                    <w:r>
                      <w:fldChar w:fldCharType="separate"/>
                    </w:r>
                    <w:r>
                      <w:t>9</w:t>
                    </w:r>
                    <w:r>
                      <w:fldChar w:fldCharType="end"/>
                    </w:r>
                    <w: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71657EB"/>
    <w:rsid w:val="08B545A5"/>
    <w:rsid w:val="092F2754"/>
    <w:rsid w:val="0B7D7F96"/>
    <w:rsid w:val="13353790"/>
    <w:rsid w:val="13CA7CE9"/>
    <w:rsid w:val="157E6317"/>
    <w:rsid w:val="19F06820"/>
    <w:rsid w:val="1E596D71"/>
    <w:rsid w:val="24050543"/>
    <w:rsid w:val="26883166"/>
    <w:rsid w:val="269F2B16"/>
    <w:rsid w:val="2FB07FD7"/>
    <w:rsid w:val="317D7420"/>
    <w:rsid w:val="331671BF"/>
    <w:rsid w:val="33B3033B"/>
    <w:rsid w:val="33DD0342"/>
    <w:rsid w:val="34416E25"/>
    <w:rsid w:val="35906085"/>
    <w:rsid w:val="3A9852E0"/>
    <w:rsid w:val="3CD56D74"/>
    <w:rsid w:val="3CFB44C3"/>
    <w:rsid w:val="3D6469F5"/>
    <w:rsid w:val="3EB44731"/>
    <w:rsid w:val="3FCC680A"/>
    <w:rsid w:val="3FDF48A5"/>
    <w:rsid w:val="40115E5B"/>
    <w:rsid w:val="40134FEB"/>
    <w:rsid w:val="41007DAA"/>
    <w:rsid w:val="41141E36"/>
    <w:rsid w:val="438704B0"/>
    <w:rsid w:val="44E73D39"/>
    <w:rsid w:val="480A63EB"/>
    <w:rsid w:val="487158D1"/>
    <w:rsid w:val="488E3B06"/>
    <w:rsid w:val="48F25244"/>
    <w:rsid w:val="4CCA439B"/>
    <w:rsid w:val="4D0D4ED5"/>
    <w:rsid w:val="4EFD134C"/>
    <w:rsid w:val="53F3317F"/>
    <w:rsid w:val="543D6D6A"/>
    <w:rsid w:val="547C5F7A"/>
    <w:rsid w:val="58C4549A"/>
    <w:rsid w:val="5AEA704B"/>
    <w:rsid w:val="5C376D46"/>
    <w:rsid w:val="5DF2219B"/>
    <w:rsid w:val="5E8720EC"/>
    <w:rsid w:val="5EE9209B"/>
    <w:rsid w:val="5F44384A"/>
    <w:rsid w:val="60BF2A71"/>
    <w:rsid w:val="63887FE1"/>
    <w:rsid w:val="63F161B6"/>
    <w:rsid w:val="654D0F67"/>
    <w:rsid w:val="66E533C4"/>
    <w:rsid w:val="681A51E0"/>
    <w:rsid w:val="695E3370"/>
    <w:rsid w:val="699D5EE7"/>
    <w:rsid w:val="6A660877"/>
    <w:rsid w:val="6B99520C"/>
    <w:rsid w:val="71E94098"/>
    <w:rsid w:val="778A5BDE"/>
    <w:rsid w:val="7A1F0BD5"/>
    <w:rsid w:val="7A92721C"/>
    <w:rsid w:val="7CFA5264"/>
    <w:rsid w:val="7E4E1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rPr>
      <w:kern w:val="0"/>
      <w:sz w:val="20"/>
      <w:szCs w:val="20"/>
    </w:rPr>
  </w:style>
  <w:style w:type="paragraph" w:styleId="3">
    <w:name w:val="Body Text"/>
    <w:basedOn w:val="1"/>
    <w:next w:val="1"/>
    <w:qFormat/>
    <w:uiPriority w:val="0"/>
    <w:pPr>
      <w:spacing w:after="1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rPr>
  </w:style>
  <w:style w:type="paragraph" w:styleId="6">
    <w:name w:val="Body Text Indent 2"/>
    <w:basedOn w:val="1"/>
    <w:unhideWhenUsed/>
    <w:qFormat/>
    <w:uiPriority w:val="0"/>
    <w:pPr>
      <w:ind w:firstLine="540"/>
    </w:pPr>
    <w:rPr>
      <w:rFonts w:ascii="Calibri" w:hAnsi="Calibri"/>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rPr>
      <w:rFonts w:ascii="Calibri" w:hAnsi="Calibri" w:eastAsia="宋体" w:cs="Times New Roman"/>
    </w:rPr>
  </w:style>
  <w:style w:type="paragraph" w:styleId="10">
    <w:name w:val="Body Text Indent 3"/>
    <w:basedOn w:val="1"/>
    <w:qFormat/>
    <w:uiPriority w:val="0"/>
    <w:pPr>
      <w:ind w:firstLine="600" w:firstLineChars="200"/>
    </w:pPr>
    <w:rPr>
      <w:color w:val="FF0000"/>
      <w:sz w:val="30"/>
      <w:szCs w:val="20"/>
    </w:rPr>
  </w:style>
  <w:style w:type="paragraph" w:styleId="11">
    <w:name w:val="Body Text 2"/>
    <w:basedOn w:val="1"/>
    <w:qFormat/>
    <w:uiPriority w:val="0"/>
    <w:pPr>
      <w:spacing w:after="120" w:line="480" w:lineRule="auto"/>
    </w:p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3"/>
    <w:qFormat/>
    <w:uiPriority w:val="0"/>
    <w:pPr>
      <w:widowControl/>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表格正文内容"/>
    <w:basedOn w:val="1"/>
    <w:next w:val="1"/>
    <w:autoRedefine/>
    <w:qFormat/>
    <w:uiPriority w:val="0"/>
    <w:pPr>
      <w:widowControl/>
      <w:spacing w:line="360" w:lineRule="exact"/>
      <w:jc w:val="left"/>
    </w:pPr>
    <w:rPr>
      <w:rFonts w:ascii="方正楷体_GB2312" w:hAnsi="方正小标宋简体" w:eastAsia="方正仿宋_GB2312" w:cs="仿宋"/>
      <w:sz w:val="24"/>
      <w:szCs w:val="32"/>
    </w:rPr>
  </w:style>
  <w:style w:type="paragraph" w:customStyle="1" w:styleId="25">
    <w:name w:val="列出段落2"/>
    <w:basedOn w:val="1"/>
    <w:qFormat/>
    <w:uiPriority w:val="0"/>
    <w:pPr>
      <w:ind w:firstLine="420" w:firstLineChars="200"/>
    </w:pPr>
    <w:rPr>
      <w:rFonts w:ascii="Times New Roman" w:hAnsi="Times New Roman" w:eastAsia="宋体" w:cs="Times New Roman"/>
      <w:szCs w:val="21"/>
    </w:rPr>
  </w:style>
  <w:style w:type="paragraph" w:customStyle="1" w:styleId="26">
    <w:name w:val="列出段落1"/>
    <w:basedOn w:val="1"/>
    <w:qFormat/>
    <w:uiPriority w:val="34"/>
    <w:pPr>
      <w:suppressAutoHyphens/>
      <w:ind w:firstLine="420"/>
    </w:pPr>
    <w:rPr>
      <w:rFonts w:ascii="Times New Roman" w:hAnsi="Times New Roman" w:eastAsia="宋体" w:cs="Times New Roman"/>
      <w:kern w:val="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f237e484-7649-42df-8fbb-a2d97e59eb0b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9031bd08-7f09-424b-b9f5-aa3e92f3720f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a9548032-cda6-4da6-9ae6-dd4704ab05d8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996e8547-b24d-4e0d-9868-f6f8198f2d1b</errorID>
      <errorWord>；</errorWord>
      <group>L1_Word</group>
      <groupName>字词问题</groupName>
      <ability>L2_Typo</ability>
      <abilityName>字词错误</abilityName>
      <candidateList>
        <item>；在</item>
      </candidateList>
      <explain/>
      <paraID>593C0E9C</paraID>
      <start>54</start>
      <end>55</end>
      <status>unmodified</status>
      <modifiedWord/>
      <trackRevisions>false</trackRevisions>
    </reviewItem>
    <reviewItem>
      <errorID>bac14836-e558-41f4-9201-c14704051f2e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e70e3c25-28d0-4105-9027-d64baa36691d</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0f5b4d02-67f9-42b6-ab2e-e9e9afc5c08b</errorID>
      <errorWord>:</errorWord>
      <group>L1_Format</group>
      <groupName>格式问题</groupName>
      <ability>L2_HalfPunc_CN</ability>
      <abilityName>全半角问题</abilityName>
      <candidateList>
        <item>：</item>
      </candidateList>
      <explain>文本全半角错误。</explain>
      <paraID>28C0DCFE</paraID>
      <start>2</start>
      <end>3</end>
      <status>unmodified</status>
      <modifiedWord/>
      <trackRevisions>false</trackRevisions>
    </reviewItem>
    <reviewItem>
      <errorID>ac37d0ee-7f65-497c-9672-940c736b34af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554618DC</paraID>
      <start>0</start>
      <end>2</end>
      <status>unmodified</status>
      <modifiedWord/>
      <trackRevisions>false</trackRevisions>
    </reviewItem>
    <reviewItem>
      <errorID>5cfe2e65-0419-4dca-9597-6e8764b27b86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7D349A8B</paraID>
      <start>0</start>
      <end>2</end>
      <status>unmodified</status>
      <modifiedWord/>
      <trackRevisions>false</trackRevisions>
    </reviewItem>
    <reviewItem>
      <errorID>92c1f07b-6ed2-4106-a24b-f26d9624ce08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6619B28A</paraID>
      <start>0</start>
      <end>2</end>
      <status>unmodified</status>
      <modifiedWord/>
      <trackRevisions>false</trackRevisions>
    </reviewItem>
    <reviewItem>
      <errorID>895af112-a684-4c4d-9da0-09b42fe47129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5e13d4ec-3918-42c1-b305-034bd779dbd0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8deb7867-09ac-4027-9de7-3d60cac66f03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3785c0b1-f778-4a18-be6c-75f5a4a16529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328dcf89-1c0d-4b16-b0c3-4a8e4581a89a</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272e14e6-1b1b-4292-824b-a1a25a9726c5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37fe87-fbd8-4573-a017-aeba6b6af309}">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5147</Words>
  <Characters>5364</Characters>
  <Lines>133</Lines>
  <Paragraphs>161</Paragraphs>
  <TotalTime>3</TotalTime>
  <ScaleCrop>false</ScaleCrop>
  <LinksUpToDate>false</LinksUpToDate>
  <CharactersWithSpaces>5364</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2026-06-30T13:10:51Z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eyJoZGlkIjoiZTQ4MzhlZGU2YmZhMGFjMjVlNGJjM2ZlYTdmZDg2NTAiLCJ1c2VySWQiOiIyOTgyOTgyOTEifQ==</vt:lpwstr>
  </property>
  <property fmtid="{D5CDD505-2E9C-101B-9397-08002B2CF9AE}" pid="4" name="ICV">
    <vt:lpwstr>2BFD31D5F3FB4B709DBC969892577809_12</vt:lpwstr>
  </property>
</Properties>
</file>