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shd w:val="clear"/>
        <w:jc w:val="center"/>
        <w:rPr>
          <w:rFonts w:hint="eastAsia" w:ascii="方正兰亭黑简体" w:hAnsi="方正兰亭黑简体" w:eastAsia="方正兰亭黑简体" w:cs="方正兰亭黑简体"/>
          <w:b/>
          <w:bCs/>
          <w:color w:val="auto"/>
          <w:sz w:val="28"/>
          <w:szCs w:val="36"/>
          <w:highlight w:val="none"/>
        </w:rPr>
      </w:pPr>
    </w:p>
    <w:p w14:paraId="006AC946">
      <w:pPr>
        <w:shd w:val="clear"/>
        <w:jc w:val="center"/>
        <w:rPr>
          <w:rFonts w:hint="eastAsia" w:ascii="方正兰亭黑简体" w:hAnsi="方正兰亭黑简体" w:eastAsia="方正兰亭黑简体" w:cs="方正兰亭黑简体"/>
          <w:b/>
          <w:bCs/>
          <w:color w:val="auto"/>
          <w:sz w:val="28"/>
          <w:szCs w:val="36"/>
          <w:highlight w:val="none"/>
        </w:rPr>
      </w:pPr>
    </w:p>
    <w:p w14:paraId="1BB83921">
      <w:pPr>
        <w:shd w:val="clear"/>
        <w:jc w:val="center"/>
        <w:rPr>
          <w:rFonts w:hint="eastAsia" w:ascii="方正兰亭黑简体" w:hAnsi="方正兰亭黑简体" w:eastAsia="方正兰亭黑简体" w:cs="方正兰亭黑简体"/>
          <w:b/>
          <w:bCs/>
          <w:color w:val="auto"/>
          <w:sz w:val="28"/>
          <w:szCs w:val="36"/>
          <w:highlight w:val="none"/>
        </w:rPr>
      </w:pPr>
    </w:p>
    <w:p w14:paraId="05747166">
      <w:pPr>
        <w:shd w:val="clea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非航运背景的研究生上船科考航运实习实践项目</w:t>
      </w:r>
    </w:p>
    <w:p w14:paraId="5F2EFCD4">
      <w:pPr>
        <w:shd w:val="clea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shd w:val="clear"/>
        <w:jc w:val="center"/>
        <w:rPr>
          <w:rFonts w:hint="eastAsia" w:ascii="方正兰亭黑简体" w:hAnsi="方正兰亭黑简体" w:eastAsia="方正兰亭黑简体" w:cs="方正兰亭黑简体"/>
          <w:b/>
          <w:bCs/>
          <w:color w:val="auto"/>
          <w:sz w:val="28"/>
          <w:szCs w:val="28"/>
          <w:highlight w:val="none"/>
        </w:rPr>
      </w:pPr>
    </w:p>
    <w:p w14:paraId="0CA5543B">
      <w:pPr>
        <w:shd w:val="clear"/>
        <w:jc w:val="center"/>
        <w:rPr>
          <w:rFonts w:hint="eastAsia" w:ascii="方正兰亭黑简体" w:hAnsi="方正兰亭黑简体" w:eastAsia="方正兰亭黑简体" w:cs="方正兰亭黑简体"/>
          <w:b/>
          <w:bCs/>
          <w:color w:val="auto"/>
          <w:sz w:val="28"/>
          <w:szCs w:val="28"/>
          <w:highlight w:val="none"/>
        </w:rPr>
      </w:pPr>
    </w:p>
    <w:p w14:paraId="3D9D00D3">
      <w:pPr>
        <w:shd w:val="clea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HFBX2026015</w:t>
      </w:r>
    </w:p>
    <w:p w14:paraId="4B356AA1">
      <w:pPr>
        <w:shd w:val="clear"/>
        <w:jc w:val="center"/>
        <w:rPr>
          <w:rFonts w:hint="eastAsia" w:ascii="方正兰亭黑简体" w:hAnsi="方正兰亭黑简体" w:eastAsia="方正兰亭黑简体" w:cs="方正兰亭黑简体"/>
          <w:b/>
          <w:bCs/>
          <w:color w:val="auto"/>
          <w:sz w:val="24"/>
          <w:szCs w:val="32"/>
          <w:highlight w:val="none"/>
        </w:rPr>
      </w:pPr>
    </w:p>
    <w:p w14:paraId="5B48835F">
      <w:pPr>
        <w:shd w:val="clear"/>
        <w:jc w:val="center"/>
        <w:rPr>
          <w:rFonts w:hint="eastAsia" w:ascii="方正兰亭黑简体" w:hAnsi="方正兰亭黑简体" w:eastAsia="方正兰亭黑简体" w:cs="方正兰亭黑简体"/>
          <w:b/>
          <w:bCs/>
          <w:color w:val="auto"/>
          <w:sz w:val="24"/>
          <w:szCs w:val="32"/>
          <w:highlight w:val="none"/>
        </w:rPr>
      </w:pPr>
    </w:p>
    <w:p w14:paraId="07E4A809">
      <w:pPr>
        <w:shd w:val="clear"/>
        <w:jc w:val="center"/>
        <w:rPr>
          <w:rFonts w:hint="eastAsia" w:ascii="方正兰亭黑简体" w:hAnsi="方正兰亭黑简体" w:eastAsia="方正兰亭黑简体" w:cs="方正兰亭黑简体"/>
          <w:b/>
          <w:bCs/>
          <w:color w:val="auto"/>
          <w:sz w:val="24"/>
          <w:szCs w:val="32"/>
          <w:highlight w:val="none"/>
        </w:rPr>
      </w:pPr>
    </w:p>
    <w:p w14:paraId="6A0F108C">
      <w:pPr>
        <w:shd w:val="clear"/>
        <w:jc w:val="center"/>
        <w:rPr>
          <w:rFonts w:hint="eastAsia" w:ascii="方正兰亭黑简体" w:hAnsi="方正兰亭黑简体" w:eastAsia="方正兰亭黑简体" w:cs="方正兰亭黑简体"/>
          <w:b/>
          <w:bCs/>
          <w:color w:val="auto"/>
          <w:sz w:val="24"/>
          <w:szCs w:val="32"/>
          <w:highlight w:val="none"/>
        </w:rPr>
      </w:pPr>
    </w:p>
    <w:p w14:paraId="5EFABC4D">
      <w:pPr>
        <w:shd w:val="clear"/>
        <w:jc w:val="center"/>
        <w:rPr>
          <w:rFonts w:hint="eastAsia" w:ascii="方正兰亭黑简体" w:hAnsi="方正兰亭黑简体" w:eastAsia="方正兰亭黑简体" w:cs="方正兰亭黑简体"/>
          <w:b/>
          <w:bCs/>
          <w:color w:val="auto"/>
          <w:sz w:val="24"/>
          <w:szCs w:val="32"/>
          <w:highlight w:val="none"/>
        </w:rPr>
      </w:pPr>
    </w:p>
    <w:p w14:paraId="5416AFF6">
      <w:pPr>
        <w:shd w:val="clear"/>
        <w:jc w:val="center"/>
        <w:rPr>
          <w:rFonts w:hint="eastAsia" w:ascii="方正兰亭黑简体" w:hAnsi="方正兰亭黑简体" w:eastAsia="方正兰亭黑简体" w:cs="方正兰亭黑简体"/>
          <w:b/>
          <w:bCs/>
          <w:color w:val="auto"/>
          <w:sz w:val="24"/>
          <w:szCs w:val="32"/>
          <w:highlight w:val="none"/>
        </w:rPr>
      </w:pPr>
    </w:p>
    <w:p w14:paraId="05694FFB">
      <w:pPr>
        <w:shd w:val="clear"/>
        <w:jc w:val="center"/>
        <w:rPr>
          <w:rFonts w:hint="eastAsia" w:ascii="方正兰亭黑简体" w:hAnsi="方正兰亭黑简体" w:eastAsia="方正兰亭黑简体" w:cs="方正兰亭黑简体"/>
          <w:b/>
          <w:bCs/>
          <w:color w:val="auto"/>
          <w:sz w:val="24"/>
          <w:szCs w:val="32"/>
          <w:highlight w:val="none"/>
        </w:rPr>
      </w:pPr>
    </w:p>
    <w:p w14:paraId="342DFAF8">
      <w:pPr>
        <w:shd w:val="clea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shd w:val="clea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四</w:t>
      </w:r>
      <w:r>
        <w:rPr>
          <w:rFonts w:hint="eastAsia" w:ascii="方正兰亭黑简体" w:hAnsi="方正兰亭黑简体" w:eastAsia="方正兰亭黑简体" w:cs="方正兰亭黑简体"/>
          <w:b/>
          <w:bCs/>
          <w:color w:val="auto"/>
          <w:sz w:val="24"/>
          <w:szCs w:val="32"/>
          <w:highlight w:val="none"/>
        </w:rPr>
        <w:t>月</w:t>
      </w:r>
    </w:p>
    <w:p w14:paraId="56D8363F">
      <w:pPr>
        <w:shd w:val="clea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shd w:val="clea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shd w:val="clea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w:t>
      </w:r>
      <w:bookmarkStart w:id="6" w:name="_GoBack"/>
      <w:bookmarkEnd w:id="6"/>
      <w:r>
        <w:rPr>
          <w:rFonts w:hint="eastAsia" w:ascii="方正兰亭黑简体" w:hAnsi="方正兰亭黑简体" w:eastAsia="方正兰亭黑简体" w:cs="方正兰亭黑简体"/>
          <w:color w:val="auto"/>
          <w:sz w:val="22"/>
          <w:szCs w:val="28"/>
          <w:highlight w:val="none"/>
        </w:rPr>
        <w:t>行综合评议，择优选购。为确保本次比选采购项目采购工作的顺利开展，请各报价单位按照下述要求提供报价单等相关资料。具体要求及相关注意事项如下：</w:t>
      </w:r>
    </w:p>
    <w:p w14:paraId="0E2D2351">
      <w:pPr>
        <w:shd w:val="clea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HFBX2026015</w:t>
      </w:r>
      <w:r>
        <w:rPr>
          <w:rFonts w:hint="eastAsia" w:ascii="方正兰亭黑简体" w:hAnsi="方正兰亭黑简体" w:eastAsia="方正兰亭黑简体" w:cs="方正兰亭黑简体"/>
          <w:color w:val="auto"/>
          <w:sz w:val="22"/>
          <w:szCs w:val="28"/>
          <w:highlight w:val="none"/>
        </w:rPr>
        <w:t>；</w:t>
      </w:r>
    </w:p>
    <w:p w14:paraId="373D4631">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非航运背景的研究生上船科考航运实习实践项目</w:t>
      </w:r>
      <w:r>
        <w:rPr>
          <w:rFonts w:hint="eastAsia" w:ascii="方正兰亭黑简体" w:hAnsi="方正兰亭黑简体" w:eastAsia="方正兰亭黑简体" w:cs="方正兰亭黑简体"/>
          <w:color w:val="auto"/>
          <w:sz w:val="22"/>
          <w:szCs w:val="28"/>
          <w:highlight w:val="none"/>
        </w:rPr>
        <w:t>服务</w:t>
      </w:r>
      <w:r>
        <w:rPr>
          <w:rFonts w:hint="eastAsia" w:ascii="方正兰亭黑简体" w:hAnsi="方正兰亭黑简体" w:eastAsia="方正兰亭黑简体" w:cs="方正兰亭黑简体"/>
          <w:color w:val="auto"/>
          <w:sz w:val="22"/>
          <w:szCs w:val="28"/>
          <w:highlight w:val="none"/>
        </w:rPr>
        <w:t>；</w:t>
      </w:r>
    </w:p>
    <w:p w14:paraId="44BA8929">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人民币29.8万元；</w:t>
      </w:r>
    </w:p>
    <w:p w14:paraId="290FE171">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rPr>
        <w:t>本项目</w:t>
      </w:r>
      <w:r>
        <w:rPr>
          <w:rFonts w:hint="eastAsia" w:ascii="方正兰亭黑简体" w:hAnsi="方正兰亭黑简体" w:eastAsia="方正兰亭黑简体" w:cs="方正兰亭黑简体"/>
          <w:color w:val="auto"/>
          <w:sz w:val="22"/>
          <w:szCs w:val="28"/>
          <w:highlight w:val="none"/>
          <w:lang w:val="en-US" w:eastAsia="zh-CN"/>
        </w:rPr>
        <w:t>须</w:t>
      </w:r>
      <w:r>
        <w:rPr>
          <w:rFonts w:hint="eastAsia" w:ascii="方正兰亭黑简体" w:hAnsi="方正兰亭黑简体" w:eastAsia="方正兰亭黑简体" w:cs="方正兰亭黑简体"/>
          <w:color w:val="auto"/>
          <w:sz w:val="22"/>
          <w:szCs w:val="28"/>
          <w:highlight w:val="none"/>
        </w:rPr>
        <w:t>为</w:t>
      </w:r>
      <w:r>
        <w:rPr>
          <w:rFonts w:hint="eastAsia" w:ascii="方正兰亭黑简体" w:hAnsi="方正兰亭黑简体" w:eastAsia="方正兰亭黑简体" w:cs="方正兰亭黑简体"/>
          <w:color w:val="auto"/>
          <w:sz w:val="22"/>
          <w:szCs w:val="28"/>
          <w:highlight w:val="none"/>
          <w:lang w:val="en-US" w:eastAsia="zh-CN"/>
        </w:rPr>
        <w:t>40</w:t>
      </w:r>
      <w:r>
        <w:rPr>
          <w:rFonts w:hint="eastAsia" w:ascii="方正兰亭黑简体" w:hAnsi="方正兰亭黑简体" w:eastAsia="方正兰亭黑简体" w:cs="方正兰亭黑简体"/>
          <w:color w:val="auto"/>
          <w:sz w:val="22"/>
          <w:szCs w:val="28"/>
          <w:highlight w:val="none"/>
        </w:rPr>
        <w:t>名左右研究生提供产教融合专业实践业务培训、码头和船舶参观考察以及出海实训等，主要包含：航运业务培训8场、航海和轮机模拟器等科考以及</w:t>
      </w: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次船舶出海实训和船舶运行品质、智能船舶、海上交通事故调查知识讲座等。</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417640F6">
      <w:pPr>
        <w:shd w:val="clea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服务地点：中国山东省青岛市；</w:t>
      </w:r>
    </w:p>
    <w:p w14:paraId="4AB1F44E">
      <w:pPr>
        <w:shd w:val="clea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服务期限：活动预计安排在2026年6月-8月，为期10天；</w:t>
      </w:r>
    </w:p>
    <w:p w14:paraId="61487CF9">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付款方式：双方签订合同后</w:t>
      </w:r>
      <w:r>
        <w:rPr>
          <w:rFonts w:hint="eastAsia" w:ascii="方正兰亭黑简体" w:hAnsi="方正兰亭黑简体" w:eastAsia="方正兰亭黑简体" w:cs="方正兰亭黑简体"/>
          <w:color w:val="auto"/>
          <w:sz w:val="22"/>
          <w:szCs w:val="28"/>
          <w:highlight w:val="none"/>
          <w:lang w:val="en-US" w:eastAsia="zh-CN"/>
        </w:rPr>
        <w:t>一周内</w:t>
      </w:r>
      <w:r>
        <w:rPr>
          <w:rFonts w:hint="eastAsia" w:ascii="方正兰亭黑简体" w:hAnsi="方正兰亭黑简体" w:eastAsia="方正兰亭黑简体" w:cs="方正兰亭黑简体"/>
          <w:color w:val="auto"/>
          <w:sz w:val="22"/>
          <w:szCs w:val="28"/>
          <w:highlight w:val="none"/>
        </w:rPr>
        <w:t>，甲方</w:t>
      </w:r>
      <w:r>
        <w:rPr>
          <w:rFonts w:hint="eastAsia" w:ascii="方正兰亭黑简体" w:hAnsi="方正兰亭黑简体" w:eastAsia="方正兰亭黑简体" w:cs="方正兰亭黑简体"/>
          <w:color w:val="auto"/>
          <w:sz w:val="22"/>
          <w:szCs w:val="28"/>
          <w:highlight w:val="none"/>
          <w:lang w:val="en-US" w:eastAsia="zh-CN"/>
        </w:rPr>
        <w:t>根据实际人数向乙方支付全款。</w:t>
      </w:r>
    </w:p>
    <w:p w14:paraId="34EF3CE4">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二、报价人的资格要求</w:t>
      </w:r>
    </w:p>
    <w:p w14:paraId="58FFC7E6">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4243CEE">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shd w:val="clea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shd w:val="clea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shd w:val="clea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shd w:val="clea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shd w:val="clea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4</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13</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一</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shd w:val="clea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尹</w:t>
      </w:r>
      <w:r>
        <w:rPr>
          <w:rFonts w:hint="eastAsia" w:ascii="方正兰亭黑简体" w:hAnsi="方正兰亭黑简体" w:eastAsia="方正兰亭黑简体" w:cs="方正兰亭黑简体"/>
          <w:color w:val="auto"/>
          <w:sz w:val="22"/>
          <w:szCs w:val="28"/>
          <w:highlight w:val="none"/>
        </w:rPr>
        <w:t>老师021-38284583</w:t>
      </w:r>
    </w:p>
    <w:p w14:paraId="0248245C">
      <w:pPr>
        <w:shd w:val="clea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shd w:val="clea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07D2AA44">
      <w:pPr>
        <w:shd w:val="clear"/>
        <w:spacing w:line="360" w:lineRule="auto"/>
        <w:rPr>
          <w:rFonts w:hint="default" w:ascii="Times New Roman" w:hAnsi="Times New Roman" w:eastAsia="方正兰亭黑简体" w:cs="Times New Roman"/>
          <w:b/>
          <w:bCs/>
          <w:color w:val="auto"/>
          <w:sz w:val="22"/>
          <w:szCs w:val="22"/>
          <w:highlight w:val="none"/>
          <w:lang w:val="en-US"/>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服务概况</w:t>
      </w:r>
    </w:p>
    <w:p w14:paraId="0116829F">
      <w:pPr>
        <w:shd w:val="clear"/>
        <w:spacing w:line="360" w:lineRule="auto"/>
        <w:ind w:firstLine="440" w:firstLineChars="200"/>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zh-CN"/>
        </w:rPr>
        <w:t>根据青岛国际航运中心建设目标与上海海事大学 “航运+”一流研究生人才培养要求，为青岛国际航运中心建设引育高端航运人才，同时开拓上海海事大学非航运背景的研究生航运学科领域视野，提高研究生的学科前瞻性和学术影响力，增加赴青参与实践的机会，计划选派</w:t>
      </w:r>
      <w:r>
        <w:rPr>
          <w:rFonts w:hint="eastAsia" w:ascii="微软雅黑" w:hAnsi="微软雅黑" w:eastAsia="微软雅黑" w:cs="微软雅黑"/>
          <w:color w:val="auto"/>
          <w:sz w:val="22"/>
          <w:szCs w:val="22"/>
          <w:highlight w:val="none"/>
          <w:lang w:val="en-US" w:eastAsia="zh-CN"/>
        </w:rPr>
        <w:t>40</w:t>
      </w:r>
      <w:r>
        <w:rPr>
          <w:rFonts w:hint="eastAsia" w:ascii="微软雅黑" w:hAnsi="微软雅黑" w:eastAsia="微软雅黑" w:cs="微软雅黑"/>
          <w:color w:val="auto"/>
          <w:sz w:val="22"/>
          <w:szCs w:val="22"/>
          <w:highlight w:val="none"/>
          <w:lang w:val="zh-CN"/>
        </w:rPr>
        <w:t>名左右研究生参加上船科考航运实习实践，培养高素质航海人才和复合型航运管理人才。</w:t>
      </w:r>
    </w:p>
    <w:p w14:paraId="332C9151">
      <w:pPr>
        <w:shd w:val="clear"/>
        <w:rPr>
          <w:rFonts w:hint="eastAsia" w:ascii="Times New Roman" w:hAnsi="Times New Roman" w:eastAsia="方正兰亭黑简体" w:cs="Times New Roman"/>
          <w:b/>
          <w:bCs/>
          <w:color w:val="auto"/>
          <w:sz w:val="22"/>
          <w:szCs w:val="22"/>
          <w:highlight w:val="none"/>
        </w:rPr>
      </w:pPr>
    </w:p>
    <w:p w14:paraId="39E2A589">
      <w:pPr>
        <w:shd w:val="clear"/>
        <w:rPr>
          <w:rFonts w:hint="eastAsia" w:ascii="Times New Roman" w:hAnsi="Times New Roman" w:eastAsia="方正兰亭黑简体" w:cs="Times New Roman"/>
          <w:b/>
          <w:bCs/>
          <w:color w:val="auto"/>
          <w:sz w:val="22"/>
          <w:szCs w:val="22"/>
          <w:highlight w:val="none"/>
          <w:lang w:eastAsia="zh-CN"/>
        </w:rPr>
      </w:pPr>
      <w:r>
        <w:rPr>
          <w:rFonts w:hint="eastAsia" w:ascii="Times New Roman" w:hAnsi="Times New Roman" w:eastAsia="方正兰亭黑简体" w:cs="Times New Roman"/>
          <w:b/>
          <w:bCs/>
          <w:color w:val="auto"/>
          <w:sz w:val="22"/>
          <w:szCs w:val="22"/>
          <w:highlight w:val="none"/>
          <w:lang w:val="en-US" w:eastAsia="zh-CN"/>
        </w:rPr>
        <w:t>二</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服务要求</w:t>
      </w:r>
    </w:p>
    <w:p w14:paraId="12338487">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en-US" w:eastAsia="zh-CN"/>
        </w:rPr>
        <w:t>1、</w:t>
      </w:r>
      <w:r>
        <w:rPr>
          <w:rFonts w:hint="eastAsia" w:ascii="微软雅黑" w:hAnsi="微软雅黑" w:eastAsia="微软雅黑" w:cs="微软雅黑"/>
          <w:color w:val="auto"/>
          <w:sz w:val="22"/>
          <w:szCs w:val="22"/>
          <w:highlight w:val="none"/>
          <w:lang w:val="zh-CN"/>
        </w:rPr>
        <w:t>需要在航运课程培训、海上船舶实习实践等组织管理</w:t>
      </w:r>
      <w:r>
        <w:rPr>
          <w:rFonts w:hint="eastAsia" w:ascii="微软雅黑" w:hAnsi="微软雅黑" w:eastAsia="微软雅黑" w:cs="微软雅黑"/>
          <w:color w:val="auto"/>
          <w:sz w:val="22"/>
          <w:szCs w:val="22"/>
          <w:highlight w:val="none"/>
          <w:lang w:val="en-US" w:eastAsia="zh-CN"/>
        </w:rPr>
        <w:t>方面</w:t>
      </w:r>
      <w:r>
        <w:rPr>
          <w:rFonts w:hint="eastAsia" w:ascii="微软雅黑" w:hAnsi="微软雅黑" w:eastAsia="微软雅黑" w:cs="微软雅黑"/>
          <w:color w:val="auto"/>
          <w:sz w:val="22"/>
          <w:szCs w:val="22"/>
          <w:highlight w:val="none"/>
          <w:lang w:val="zh-CN"/>
        </w:rPr>
        <w:t>有至少5年运营管理经验，对业务培训课程潜在的学生群体的特征、分布情况、专业背景知识等情况进行调研。依据用户调研结果，构建课程、实训和上船实习等资源设计方案。</w:t>
      </w:r>
    </w:p>
    <w:p w14:paraId="158B3987">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en-US" w:eastAsia="zh-CN"/>
        </w:rPr>
        <w:t>2、</w:t>
      </w:r>
      <w:r>
        <w:rPr>
          <w:rFonts w:hint="eastAsia" w:ascii="微软雅黑" w:hAnsi="微软雅黑" w:eastAsia="微软雅黑" w:cs="微软雅黑"/>
          <w:color w:val="auto"/>
          <w:sz w:val="22"/>
          <w:szCs w:val="22"/>
          <w:highlight w:val="none"/>
          <w:lang w:val="zh-CN"/>
        </w:rPr>
        <w:t>与授课专家、管理人员研讨航运业务知识培训、船上实践实习和海事案例讲座等内容整体设计，包括港口码头参观、船舶模拟器实训等活动。</w:t>
      </w:r>
    </w:p>
    <w:p w14:paraId="6895135D">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en-US" w:eastAsia="zh-CN"/>
        </w:rPr>
        <w:t>3、</w:t>
      </w:r>
      <w:r>
        <w:rPr>
          <w:rFonts w:hint="eastAsia" w:ascii="微软雅黑" w:hAnsi="微软雅黑" w:eastAsia="微软雅黑" w:cs="微软雅黑"/>
          <w:color w:val="auto"/>
          <w:sz w:val="22"/>
          <w:szCs w:val="22"/>
          <w:highlight w:val="none"/>
          <w:lang w:val="zh-CN"/>
        </w:rPr>
        <w:t>要为学生在课程培训、船上实践等活动期间，提供食宿、交通等优质服务。</w:t>
      </w:r>
    </w:p>
    <w:p w14:paraId="0E787646">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zh-CN"/>
        </w:rPr>
        <w:t>（1）住宿条件要求干净整洁，达到星级标准。餐饮标准要求：清洁卫生，荤素搭配合理，营养有保障。</w:t>
      </w:r>
    </w:p>
    <w:p w14:paraId="5383E343">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zh-CN"/>
        </w:rPr>
        <w:t>（2）所提供的交通工具，必须是安全舒适，车况达到良好标准。</w:t>
      </w:r>
    </w:p>
    <w:p w14:paraId="0623AA25">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en-US" w:eastAsia="zh-CN"/>
        </w:rPr>
        <w:t>4、</w:t>
      </w:r>
      <w:r>
        <w:rPr>
          <w:rFonts w:hint="eastAsia" w:ascii="微软雅黑" w:hAnsi="微软雅黑" w:eastAsia="微软雅黑" w:cs="微软雅黑"/>
          <w:color w:val="auto"/>
          <w:sz w:val="22"/>
          <w:szCs w:val="22"/>
          <w:highlight w:val="none"/>
          <w:lang w:val="zh-CN"/>
        </w:rPr>
        <w:t>学生课程培训、海上船舶实习实践等配备1-2名专职管理人员负责。任务及要求如下：</w:t>
      </w:r>
    </w:p>
    <w:p w14:paraId="5A38C7EF">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zh-CN"/>
        </w:rPr>
        <w:t>（1）对学生进行分组管理，每天进行早、晚点名。并进行学生每天体温排查。</w:t>
      </w:r>
    </w:p>
    <w:p w14:paraId="0CFFEBFE">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zh-CN"/>
        </w:rPr>
        <w:t>（2）落实每天的课程培训、实训等内容，发现冲突及时调整安排。</w:t>
      </w:r>
    </w:p>
    <w:p w14:paraId="3D81B5C0">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en-US" w:eastAsia="zh-CN"/>
        </w:rPr>
        <w:t>5、</w:t>
      </w:r>
      <w:r>
        <w:rPr>
          <w:rFonts w:hint="eastAsia" w:ascii="微软雅黑" w:hAnsi="微软雅黑" w:eastAsia="微软雅黑" w:cs="微软雅黑"/>
          <w:color w:val="auto"/>
          <w:sz w:val="22"/>
          <w:szCs w:val="22"/>
          <w:highlight w:val="none"/>
          <w:lang w:val="zh-CN"/>
        </w:rPr>
        <w:t>要求航运业务培训达到8场以上，聘请航运领域知名专家或高级航运管理人员进行航运业务授课及思政教育。</w:t>
      </w:r>
      <w:r>
        <w:rPr>
          <w:rFonts w:hint="eastAsia" w:ascii="微软雅黑" w:hAnsi="微软雅黑" w:eastAsia="微软雅黑" w:cs="微软雅黑"/>
          <w:color w:val="auto"/>
          <w:sz w:val="22"/>
          <w:szCs w:val="22"/>
          <w:highlight w:val="none"/>
          <w:lang w:val="en-US" w:eastAsia="zh-CN"/>
        </w:rPr>
        <w:t>授课内容包括：</w:t>
      </w:r>
      <w:r>
        <w:rPr>
          <w:rFonts w:hint="eastAsia" w:ascii="微软雅黑" w:hAnsi="微软雅黑" w:eastAsia="微软雅黑" w:cs="微软雅黑"/>
          <w:color w:val="auto"/>
          <w:sz w:val="22"/>
          <w:szCs w:val="22"/>
          <w:highlight w:val="none"/>
          <w:lang w:val="zh-CN"/>
        </w:rPr>
        <w:t>期租合同相关条款及期租光租等租船模式之间的区别和注意事项；船舶监造和管理的重要性（各种船型特别是散货船、油化船船舶管理及监造业务）；海员职业生涯及发展规划（建设海洋强国战略和中国船员队伍发展之间的关联）；航行思政（党建在船舶营运过程中的地位，如何处理好国内外船员工会之间的关系）；采购平台的建设与成本优势（大数据时代一站式服务的优越性）；船管、财务、船员、办公、采购软件系统（各种软件系统在操作规范和提高工作效率方面发挥的强有力作用）；地区港航发展态势（如何将所学知识转化为生产力更好</w:t>
      </w:r>
      <w:r>
        <w:rPr>
          <w:rFonts w:hint="eastAsia" w:ascii="微软雅黑" w:hAnsi="微软雅黑" w:eastAsia="微软雅黑" w:cs="微软雅黑"/>
          <w:color w:val="auto"/>
          <w:sz w:val="22"/>
          <w:szCs w:val="22"/>
          <w:highlight w:val="none"/>
          <w:lang w:val="en-US" w:eastAsia="zh-CN"/>
        </w:rPr>
        <w:t>地</w:t>
      </w:r>
      <w:r>
        <w:rPr>
          <w:rFonts w:hint="eastAsia" w:ascii="微软雅黑" w:hAnsi="微软雅黑" w:eastAsia="微软雅黑" w:cs="微软雅黑"/>
          <w:color w:val="auto"/>
          <w:sz w:val="22"/>
          <w:szCs w:val="22"/>
          <w:highlight w:val="none"/>
          <w:lang w:val="zh-CN"/>
        </w:rPr>
        <w:t>服务于地方发展和国家战略）等。</w:t>
      </w:r>
    </w:p>
    <w:p w14:paraId="26AC6615">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en-US" w:eastAsia="zh-CN"/>
        </w:rPr>
        <w:t>6、</w:t>
      </w:r>
      <w:r>
        <w:rPr>
          <w:rFonts w:hint="eastAsia" w:ascii="微软雅黑" w:hAnsi="微软雅黑" w:eastAsia="微软雅黑" w:cs="微软雅黑"/>
          <w:color w:val="auto"/>
          <w:sz w:val="22"/>
          <w:szCs w:val="22"/>
          <w:highlight w:val="none"/>
          <w:lang w:val="zh-CN"/>
        </w:rPr>
        <w:t>组织学生航运港口特色码头、船舶进行实地参观和考察。</w:t>
      </w:r>
    </w:p>
    <w:p w14:paraId="6D95CBE5">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en-US" w:eastAsia="zh-CN"/>
        </w:rPr>
        <w:t>7、</w:t>
      </w:r>
      <w:r>
        <w:rPr>
          <w:rFonts w:hint="eastAsia" w:ascii="微软雅黑" w:hAnsi="微软雅黑" w:eastAsia="微软雅黑" w:cs="微软雅黑"/>
          <w:color w:val="auto"/>
          <w:sz w:val="22"/>
          <w:szCs w:val="22"/>
          <w:highlight w:val="none"/>
          <w:lang w:val="zh-CN"/>
        </w:rPr>
        <w:t>组织船舶航海和轮机模拟器实践、船艺实训室实践、船舶管理体系（ISM）实训等。</w:t>
      </w:r>
    </w:p>
    <w:p w14:paraId="5F136847">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en-US" w:eastAsia="zh-CN"/>
        </w:rPr>
        <w:t>8、</w:t>
      </w:r>
      <w:r>
        <w:rPr>
          <w:rFonts w:hint="eastAsia" w:ascii="微软雅黑" w:hAnsi="微软雅黑" w:eastAsia="微软雅黑" w:cs="微软雅黑"/>
          <w:color w:val="auto"/>
          <w:sz w:val="22"/>
          <w:szCs w:val="22"/>
          <w:highlight w:val="none"/>
          <w:lang w:val="zh-CN"/>
        </w:rPr>
        <w:t>为学生提供至少三种不同类型的船舶进行出海实训（包括但不限于实习船、高速客船、帆船等），每次出海实践活动时间不少于半天，其中实习船每次能容纳学生实习人数不少于40人。</w:t>
      </w:r>
    </w:p>
    <w:p w14:paraId="716EA248">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en-US" w:eastAsia="zh-CN"/>
        </w:rPr>
        <w:t>9、</w:t>
      </w:r>
      <w:r>
        <w:rPr>
          <w:rFonts w:hint="eastAsia" w:ascii="微软雅黑" w:hAnsi="微软雅黑" w:eastAsia="微软雅黑" w:cs="微软雅黑"/>
          <w:color w:val="auto"/>
          <w:sz w:val="22"/>
          <w:szCs w:val="22"/>
          <w:highlight w:val="none"/>
          <w:lang w:val="zh-CN"/>
        </w:rPr>
        <w:t>聘请海事局和船级社专家进行船舶运行品质、智能船舶、海上交通事故调查知识等内容讲座。</w:t>
      </w:r>
    </w:p>
    <w:p w14:paraId="60A76D37">
      <w:pPr>
        <w:shd w:val="clear"/>
        <w:spacing w:line="360" w:lineRule="auto"/>
        <w:rPr>
          <w:rFonts w:hint="default" w:ascii="微软雅黑" w:hAnsi="微软雅黑" w:eastAsia="微软雅黑" w:cs="微软雅黑"/>
          <w:color w:val="auto"/>
          <w:sz w:val="22"/>
          <w:szCs w:val="22"/>
          <w:highlight w:val="none"/>
          <w:lang w:val="en-US" w:eastAsia="zh-CN"/>
        </w:rPr>
      </w:pPr>
      <w:r>
        <w:rPr>
          <w:rFonts w:hint="eastAsia" w:ascii="微软雅黑" w:hAnsi="微软雅黑" w:eastAsia="微软雅黑" w:cs="微软雅黑"/>
          <w:color w:val="auto"/>
          <w:sz w:val="22"/>
          <w:szCs w:val="22"/>
          <w:highlight w:val="none"/>
          <w:lang w:val="en-US" w:eastAsia="zh-CN"/>
        </w:rPr>
        <w:t>10、在服务结束后提供</w:t>
      </w:r>
      <w:r>
        <w:rPr>
          <w:rFonts w:hint="eastAsia" w:ascii="微软雅黑" w:hAnsi="微软雅黑" w:eastAsia="微软雅黑" w:cs="微软雅黑"/>
          <w:color w:val="auto"/>
          <w:sz w:val="22"/>
          <w:szCs w:val="22"/>
          <w:highlight w:val="none"/>
          <w:lang w:val="zh-CN"/>
        </w:rPr>
        <w:t>结项报告。</w:t>
      </w:r>
    </w:p>
    <w:p w14:paraId="14FB7543">
      <w:pPr>
        <w:shd w:val="clear"/>
        <w:spacing w:line="360" w:lineRule="auto"/>
        <w:rPr>
          <w:rFonts w:hint="eastAsia" w:ascii="微软雅黑" w:hAnsi="微软雅黑" w:eastAsia="微软雅黑" w:cs="微软雅黑"/>
          <w:color w:val="auto"/>
          <w:sz w:val="22"/>
          <w:szCs w:val="22"/>
          <w:highlight w:val="none"/>
        </w:rPr>
      </w:pPr>
    </w:p>
    <w:p w14:paraId="4A893233">
      <w:pPr>
        <w:shd w:val="clear"/>
        <w:rPr>
          <w:rFonts w:ascii="Times New Roman" w:hAnsi="Times New Roman" w:eastAsia="方正兰亭黑简体" w:cs="Times New Roman"/>
          <w:b/>
          <w:bCs/>
          <w:color w:val="auto"/>
          <w:sz w:val="22"/>
          <w:szCs w:val="22"/>
          <w:highlight w:val="none"/>
        </w:rPr>
      </w:pPr>
      <w:r>
        <w:rPr>
          <w:rFonts w:hint="eastAsia" w:ascii="Times New Roman" w:hAnsi="Times New Roman" w:eastAsia="方正兰亭黑简体" w:cs="Times New Roman"/>
          <w:b/>
          <w:bCs/>
          <w:color w:val="auto"/>
          <w:sz w:val="22"/>
          <w:szCs w:val="22"/>
          <w:highlight w:val="none"/>
          <w:lang w:val="en-US" w:eastAsia="zh-CN"/>
        </w:rPr>
        <w:t>三</w:t>
      </w:r>
      <w:r>
        <w:rPr>
          <w:rFonts w:hint="eastAsia" w:ascii="Times New Roman" w:hAnsi="Times New Roman" w:eastAsia="方正兰亭黑简体" w:cs="Times New Roman"/>
          <w:b/>
          <w:bCs/>
          <w:color w:val="auto"/>
          <w:sz w:val="22"/>
          <w:szCs w:val="22"/>
          <w:highlight w:val="none"/>
        </w:rPr>
        <w:t>、验收标准</w:t>
      </w:r>
    </w:p>
    <w:p w14:paraId="0C57ADD7">
      <w:pPr>
        <w:shd w:val="clear"/>
        <w:spacing w:line="360" w:lineRule="auto"/>
        <w:rPr>
          <w:rFonts w:hint="eastAsia" w:ascii="微软雅黑" w:hAnsi="微软雅黑" w:eastAsia="微软雅黑" w:cs="微软雅黑"/>
          <w:color w:val="auto"/>
          <w:sz w:val="22"/>
          <w:szCs w:val="22"/>
          <w:highlight w:val="none"/>
          <w:lang w:val="zh-CN"/>
        </w:rPr>
      </w:pPr>
      <w:r>
        <w:rPr>
          <w:rFonts w:hint="eastAsia" w:ascii="微软雅黑" w:hAnsi="微软雅黑" w:eastAsia="微软雅黑" w:cs="微软雅黑"/>
          <w:color w:val="auto"/>
          <w:sz w:val="22"/>
          <w:szCs w:val="22"/>
          <w:highlight w:val="none"/>
          <w:lang w:val="zh-CN"/>
        </w:rPr>
        <w:t>1、项目完成后，乙方应负责设计学生实习实践活动运行方案和结项报告；学生对培训、实践整体评估满意度为优</w:t>
      </w:r>
      <w:r>
        <w:rPr>
          <w:rFonts w:hint="eastAsia" w:ascii="微软雅黑" w:hAnsi="微软雅黑" w:eastAsia="微软雅黑" w:cs="微软雅黑"/>
          <w:color w:val="auto"/>
          <w:sz w:val="22"/>
          <w:szCs w:val="22"/>
          <w:highlight w:val="none"/>
          <w:lang w:val="zh-CN" w:eastAsia="zh-CN"/>
        </w:rPr>
        <w:t>。</w:t>
      </w:r>
    </w:p>
    <w:p w14:paraId="1E08D01B">
      <w:pPr>
        <w:shd w:val="clear"/>
        <w:rPr>
          <w:rFonts w:hint="eastAsia" w:ascii="方正兰亭黑简体" w:hAnsi="方正兰亭黑简体" w:eastAsia="方正兰亭黑简体" w:cs="方正兰亭黑简体"/>
          <w:b/>
          <w:bCs/>
          <w:color w:val="auto"/>
          <w:sz w:val="24"/>
          <w:szCs w:val="32"/>
          <w:highlight w:val="none"/>
          <w:lang w:val="en-US" w:eastAsia="zh-CN"/>
        </w:rPr>
      </w:pPr>
    </w:p>
    <w:p w14:paraId="1B256155">
      <w:pPr>
        <w:shd w:val="clea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shd w:val="clea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shd w:val="clea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shd w:val="clea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550" w:hRule="atLeast"/>
          <w:jc w:val="center"/>
        </w:trPr>
        <w:tc>
          <w:tcPr>
            <w:tcW w:w="330" w:type="pct"/>
            <w:vAlign w:val="center"/>
          </w:tcPr>
          <w:p w14:paraId="0E8E4E82">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4</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4C942918">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针对第二章中的采购需求：不满足技术条款的，每项扣3分；扣完为止。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635" w:type="pct"/>
            <w:vAlign w:val="center"/>
          </w:tcPr>
          <w:p w14:paraId="6393C2D9">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优秀（21～30分）：方案整体质量高，方案合理可行性强，响应措施及时高效，项目进度安排紧凑合理。</w:t>
            </w:r>
          </w:p>
          <w:p w14:paraId="36A6F9CB">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良好（11～20分）：方案整体质量较好，响应措施尚可，方案个别细节有待进一步完善。</w:t>
            </w:r>
          </w:p>
          <w:p w14:paraId="3EC9A561">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shd w:val="clear"/>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shd w:val="clea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shd w:val="clea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shd w:val="clea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shd w:val="clea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shd w:val="clea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shd w:val="clea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hd w:val="clea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hd w:val="clea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HFBX2026015</w:t>
      </w:r>
      <w:r>
        <w:rPr>
          <w:rFonts w:hint="eastAsia" w:ascii="黑体" w:hAnsi="华文楷体" w:eastAsia="黑体"/>
          <w:b/>
          <w:color w:val="auto"/>
          <w:sz w:val="36"/>
          <w:szCs w:val="36"/>
          <w:highlight w:val="none"/>
        </w:rPr>
        <w:t xml:space="preserve">                     </w:t>
      </w:r>
    </w:p>
    <w:p w14:paraId="09EAC316">
      <w:pPr>
        <w:shd w:val="clea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hd w:val="clea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hd w:val="clea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hd w:val="clea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hd w:val="clear"/>
        <w:spacing w:line="440" w:lineRule="exact"/>
        <w:rPr>
          <w:rFonts w:hint="eastAsia" w:ascii="黑体" w:hAnsi="华文楷体" w:eastAsia="黑体"/>
          <w:b/>
          <w:color w:val="auto"/>
          <w:sz w:val="24"/>
          <w:highlight w:val="none"/>
        </w:rPr>
      </w:pPr>
    </w:p>
    <w:tbl>
      <w:tblPr>
        <w:tblStyle w:val="14"/>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2"/>
        <w:gridCol w:w="3725"/>
        <w:gridCol w:w="3512"/>
        <w:gridCol w:w="1922"/>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shd w:val="clea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1905" w:type="pct"/>
            <w:tcBorders>
              <w:top w:val="single" w:color="auto" w:sz="12" w:space="0"/>
              <w:bottom w:val="double" w:color="auto" w:sz="4" w:space="0"/>
            </w:tcBorders>
            <w:vAlign w:val="center"/>
          </w:tcPr>
          <w:p w14:paraId="1041179F">
            <w:pPr>
              <w:shd w:val="clea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797" w:type="pct"/>
            <w:tcBorders>
              <w:top w:val="single" w:color="auto" w:sz="12" w:space="0"/>
              <w:bottom w:val="double" w:color="auto" w:sz="4" w:space="0"/>
              <w:right w:val="single" w:color="auto" w:sz="4" w:space="0"/>
            </w:tcBorders>
            <w:vAlign w:val="center"/>
          </w:tcPr>
          <w:p w14:paraId="2C33D9D9">
            <w:pPr>
              <w:shd w:val="clea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项目报价（元）</w:t>
            </w:r>
          </w:p>
        </w:tc>
        <w:tc>
          <w:tcPr>
            <w:tcW w:w="983" w:type="pct"/>
            <w:tcBorders>
              <w:top w:val="single" w:color="auto" w:sz="12" w:space="0"/>
              <w:left w:val="single" w:color="auto" w:sz="4" w:space="0"/>
              <w:bottom w:val="double" w:color="auto" w:sz="4" w:space="0"/>
              <w:right w:val="single" w:color="auto" w:sz="12" w:space="0"/>
            </w:tcBorders>
            <w:vAlign w:val="center"/>
          </w:tcPr>
          <w:p w14:paraId="5C391E51">
            <w:pPr>
              <w:shd w:val="clea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备注</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shd w:val="clea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1905" w:type="pct"/>
            <w:tcBorders>
              <w:top w:val="double" w:color="auto" w:sz="4" w:space="0"/>
              <w:bottom w:val="double" w:color="auto" w:sz="4" w:space="0"/>
            </w:tcBorders>
            <w:vAlign w:val="center"/>
          </w:tcPr>
          <w:p w14:paraId="4E78542C">
            <w:pPr>
              <w:shd w:val="clea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非航运背景的研究生上船科考航运实习实践项目</w:t>
            </w:r>
          </w:p>
        </w:tc>
        <w:tc>
          <w:tcPr>
            <w:tcW w:w="1797" w:type="pct"/>
            <w:tcBorders>
              <w:top w:val="double" w:color="auto" w:sz="4" w:space="0"/>
              <w:bottom w:val="double" w:color="auto" w:sz="4" w:space="0"/>
              <w:right w:val="single" w:color="auto" w:sz="4" w:space="0"/>
            </w:tcBorders>
            <w:vAlign w:val="center"/>
          </w:tcPr>
          <w:p w14:paraId="7941EDF4">
            <w:pPr>
              <w:shd w:val="clear"/>
              <w:tabs>
                <w:tab w:val="left" w:pos="7020"/>
              </w:tabs>
              <w:jc w:val="center"/>
              <w:rPr>
                <w:color w:val="auto"/>
                <w:highlight w:val="none"/>
              </w:rPr>
            </w:pPr>
          </w:p>
        </w:tc>
        <w:tc>
          <w:tcPr>
            <w:tcW w:w="983" w:type="pct"/>
            <w:tcBorders>
              <w:top w:val="double" w:color="auto" w:sz="4" w:space="0"/>
              <w:left w:val="single" w:color="auto" w:sz="4" w:space="0"/>
              <w:bottom w:val="double" w:color="auto" w:sz="4" w:space="0"/>
              <w:right w:val="single" w:color="auto" w:sz="12" w:space="0"/>
            </w:tcBorders>
            <w:vAlign w:val="center"/>
          </w:tcPr>
          <w:p w14:paraId="71529EE7">
            <w:pPr>
              <w:shd w:val="clear"/>
              <w:tabs>
                <w:tab w:val="left" w:pos="7020"/>
              </w:tabs>
              <w:jc w:val="center"/>
              <w:rPr>
                <w:color w:val="auto"/>
                <w:highlight w:val="none"/>
              </w:rPr>
            </w:pP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219" w:type="pct"/>
            <w:gridSpan w:val="2"/>
            <w:tcBorders>
              <w:top w:val="double" w:color="auto" w:sz="4" w:space="0"/>
              <w:left w:val="single" w:color="auto" w:sz="12" w:space="0"/>
              <w:bottom w:val="single" w:color="auto" w:sz="12" w:space="0"/>
              <w:right w:val="single" w:color="auto" w:sz="4" w:space="0"/>
            </w:tcBorders>
            <w:vAlign w:val="center"/>
          </w:tcPr>
          <w:p w14:paraId="6322DB60">
            <w:pPr>
              <w:shd w:val="clea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780" w:type="pct"/>
            <w:gridSpan w:val="2"/>
            <w:tcBorders>
              <w:top w:val="double" w:color="auto" w:sz="4" w:space="0"/>
              <w:left w:val="single" w:color="auto" w:sz="4" w:space="0"/>
              <w:bottom w:val="single" w:color="auto" w:sz="12" w:space="0"/>
              <w:right w:val="single" w:color="auto" w:sz="12" w:space="0"/>
            </w:tcBorders>
            <w:vAlign w:val="center"/>
          </w:tcPr>
          <w:p w14:paraId="4B46D8FA">
            <w:pPr>
              <w:shd w:val="clea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0408D135">
      <w:pPr>
        <w:shd w:val="clear"/>
        <w:spacing w:line="440" w:lineRule="exact"/>
        <w:rPr>
          <w:rFonts w:hint="eastAsia" w:ascii="黑体" w:hAnsi="华文楷体" w:eastAsia="黑体"/>
          <w:color w:val="auto"/>
          <w:sz w:val="24"/>
          <w:highlight w:val="none"/>
        </w:rPr>
      </w:pPr>
    </w:p>
    <w:p w14:paraId="614EA236">
      <w:pPr>
        <w:shd w:val="clea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hd w:val="clear"/>
        <w:spacing w:line="440" w:lineRule="exact"/>
        <w:rPr>
          <w:rFonts w:hint="eastAsia" w:ascii="黑体" w:hAnsi="华文楷体" w:eastAsia="黑体"/>
          <w:color w:val="auto"/>
          <w:sz w:val="24"/>
          <w:highlight w:val="none"/>
        </w:rPr>
      </w:pPr>
    </w:p>
    <w:p w14:paraId="642407A4">
      <w:pPr>
        <w:shd w:val="clea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shd w:val="clea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shd w:val="clea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shd w:val="clea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shd w:val="clea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hd w:val="clea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hd w:val="clea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hd w:val="clea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hd w:val="clea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hd w:val="clea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hd w:val="clea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hd w:val="clea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hd w:val="clea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hd w:val="clea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hd w:val="clea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hd w:val="clea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hd w:val="clea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hd w:val="clea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hd w:val="clea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hd w:val="clear"/>
        <w:spacing w:after="157" w:afterLines="50"/>
        <w:rPr>
          <w:rFonts w:hint="eastAsia" w:ascii="仿宋" w:hAnsi="仿宋" w:eastAsia="仿宋" w:cs="宋体"/>
          <w:color w:val="auto"/>
          <w:sz w:val="24"/>
          <w:highlight w:val="none"/>
          <w:lang w:val="zh-CN"/>
        </w:rPr>
      </w:pPr>
    </w:p>
    <w:p w14:paraId="6DFC7771">
      <w:pPr>
        <w:shd w:val="clea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5"/>
        <w:shd w:val="clear"/>
        <w:rPr>
          <w:rFonts w:hint="eastAsia" w:ascii="方正兰亭黑简体" w:hAnsi="方正兰亭黑简体" w:eastAsia="方正兰亭黑简体" w:cs="方正兰亭黑简体"/>
          <w:color w:val="auto"/>
          <w:sz w:val="22"/>
          <w:szCs w:val="28"/>
          <w:highlight w:val="none"/>
        </w:rPr>
      </w:pPr>
    </w:p>
    <w:p w14:paraId="6AAADDA4">
      <w:pPr>
        <w:pStyle w:val="5"/>
        <w:shd w:val="clear"/>
        <w:rPr>
          <w:rFonts w:hint="eastAsia" w:ascii="方正兰亭黑简体" w:hAnsi="方正兰亭黑简体" w:eastAsia="方正兰亭黑简体" w:cs="方正兰亭黑简体"/>
          <w:color w:val="auto"/>
          <w:sz w:val="22"/>
          <w:szCs w:val="28"/>
          <w:highlight w:val="none"/>
        </w:rPr>
      </w:pPr>
    </w:p>
    <w:p w14:paraId="3805D66A">
      <w:pPr>
        <w:shd w:val="clea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shd w:val="clea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shd w:val="clear"/>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shd w:val="clear"/>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shd w:val="clear"/>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shd w:val="clear"/>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shd w:val="clear"/>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shd w:val="clear"/>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shd w:val="clear"/>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574B320-7CF6-45B0-A24A-B3FA50054A3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80B170E1-443E-4095-A5F4-6E0808CD9875}"/>
  </w:font>
  <w:font w:name="方正兰亭黑简体">
    <w:panose1 w:val="02000000000000000000"/>
    <w:charset w:val="86"/>
    <w:family w:val="auto"/>
    <w:pitch w:val="default"/>
    <w:sig w:usb0="A00002BF" w:usb1="184F6CFA" w:usb2="00000012" w:usb3="00000000" w:csb0="00040001" w:csb1="00000000"/>
    <w:embedRegular r:id="rId3" w:fontKey="{A1686944-9138-4B27-8D19-CECDD6101B91}"/>
  </w:font>
  <w:font w:name="微软雅黑">
    <w:panose1 w:val="020B0503020204020204"/>
    <w:charset w:val="86"/>
    <w:family w:val="swiss"/>
    <w:pitch w:val="default"/>
    <w:sig w:usb0="80000287" w:usb1="2ACF3C50" w:usb2="00000016" w:usb3="00000000" w:csb0="0004001F" w:csb1="00000000"/>
    <w:embedRegular r:id="rId4" w:fontKey="{E77C76B6-67CD-4814-BB3E-4E1E19DD7E1B}"/>
  </w:font>
  <w:font w:name="华文楷体">
    <w:panose1 w:val="02010600040101010101"/>
    <w:charset w:val="86"/>
    <w:family w:val="auto"/>
    <w:pitch w:val="default"/>
    <w:sig w:usb0="A00002BF" w:usb1="78CF7CFB" w:usb2="00000016" w:usb3="00000000" w:csb0="6006009F" w:csb1="DFD70000"/>
    <w:embedRegular r:id="rId5" w:fontKey="{49B0C598-F989-4355-9C81-634E0F1ABFD1}"/>
  </w:font>
  <w:font w:name="方正仿宋_GB2312">
    <w:panose1 w:val="02000000000000000000"/>
    <w:charset w:val="86"/>
    <w:family w:val="auto"/>
    <w:pitch w:val="default"/>
    <w:sig w:usb0="A00002BF" w:usb1="184F6CFA" w:usb2="00000012" w:usb3="00000000" w:csb0="00040001" w:csb1="00000000"/>
    <w:embedRegular r:id="rId6" w:fontKey="{1AAA7A2F-4A90-4766-B4DB-6D48F006029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8B545A5"/>
    <w:rsid w:val="092F2754"/>
    <w:rsid w:val="13353790"/>
    <w:rsid w:val="157E6317"/>
    <w:rsid w:val="19F06820"/>
    <w:rsid w:val="1E596D71"/>
    <w:rsid w:val="24050543"/>
    <w:rsid w:val="269F2B16"/>
    <w:rsid w:val="2B2318AC"/>
    <w:rsid w:val="2FB07FD7"/>
    <w:rsid w:val="331671BF"/>
    <w:rsid w:val="33B3033B"/>
    <w:rsid w:val="35906085"/>
    <w:rsid w:val="3A9852E0"/>
    <w:rsid w:val="3D6469F5"/>
    <w:rsid w:val="3FCC680A"/>
    <w:rsid w:val="3FDF48A5"/>
    <w:rsid w:val="40115E5B"/>
    <w:rsid w:val="40134FEB"/>
    <w:rsid w:val="41007DAA"/>
    <w:rsid w:val="438704B0"/>
    <w:rsid w:val="480A63EB"/>
    <w:rsid w:val="487158D1"/>
    <w:rsid w:val="488E3B06"/>
    <w:rsid w:val="48F25244"/>
    <w:rsid w:val="4CCA439B"/>
    <w:rsid w:val="4D0D4ED5"/>
    <w:rsid w:val="4EFD134C"/>
    <w:rsid w:val="543D6D6A"/>
    <w:rsid w:val="58C4549A"/>
    <w:rsid w:val="5AEA704B"/>
    <w:rsid w:val="5C376D46"/>
    <w:rsid w:val="5DF2219B"/>
    <w:rsid w:val="5E8720EC"/>
    <w:rsid w:val="5EE9209B"/>
    <w:rsid w:val="5F44384A"/>
    <w:rsid w:val="60BF2A71"/>
    <w:rsid w:val="63061E73"/>
    <w:rsid w:val="63F161B6"/>
    <w:rsid w:val="66E533C4"/>
    <w:rsid w:val="681A51E0"/>
    <w:rsid w:val="695E3370"/>
    <w:rsid w:val="699D5EE7"/>
    <w:rsid w:val="6B99520C"/>
    <w:rsid w:val="7CFA5264"/>
    <w:rsid w:val="7DC20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楷体_GB2312" w:hAnsi="方正小标宋简体" w:eastAsia="仿宋_GB2312" w:cs="仿宋"/>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9ae841a4-f2bf-43f8-8463-186c3f40f492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4AB1F44E</paraID>
      <start>19</start>
      <end>20</end>
      <status>unmodified</status>
      <modifiedWord/>
      <trackRevisions>false</trackRevisions>
    </reviewItem>
    <reviewItem>
      <errorID>d0052804-c522-40b9-b063-13ad1b1650c3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0b7e97d7-dd99-4454-911d-c37f963a131b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6db36047-8df9-4e32-84e7-ad200feaa85a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29e90364-2def-4a93-b99a-9834ff1a632b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12338487</paraID>
      <start>0</start>
      <end>2</end>
      <status>unmodified</status>
      <modifiedWord/>
      <trackRevisions>false</trackRevisions>
    </reviewItem>
    <reviewItem>
      <errorID>07360434-af5e-4bb3-a218-6ee039824d1b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158B3987</paraID>
      <start>0</start>
      <end>2</end>
      <status>unmodified</status>
      <modifiedWord/>
      <trackRevisions>false</trackRevisions>
    </reviewItem>
    <reviewItem>
      <errorID>77899bee-ec92-4438-b70a-74f89d204424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6895135D</paraID>
      <start>0</start>
      <end>2</end>
      <status>unmodified</status>
      <modifiedWord/>
      <trackRevisions>false</trackRevisions>
    </reviewItem>
    <reviewItem>
      <errorID>91d23dbe-8c8d-4f70-82c8-989c28aaf4e1</errorID>
      <errorWord>必须是</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5383E343</paraID>
      <start>12</start>
      <end>15</end>
      <status>unmodified</status>
      <modifiedWord/>
      <trackRevisions>false</trackRevisions>
    </reviewItem>
    <reviewItem>
      <errorID>59b803d5-2cb0-4ee3-8b25-9c9b93045a43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623AA25</paraID>
      <start>0</start>
      <end>2</end>
      <status>unmodified</status>
      <modifiedWord/>
      <trackRevisions>false</trackRevisions>
    </reviewItem>
    <reviewItem>
      <errorID>31d4f6f9-b9f9-4793-8793-6306f5e83e3a</errorID>
      <errorWord>学生每天</errorWord>
      <group>L1_Grammar</group>
      <groupName>语法问题</groupName>
      <ability>L2_Order</ability>
      <abilityName>语序不当</abilityName>
      <candidateList>
        <item>每天学生</item>
      </candidateList>
      <explain>句子可能没有遵循时空、逻辑顺序，或者介词、关联词等位置不当。</explain>
      <paraID>5A38C7EF</paraID>
      <start>26</start>
      <end>30</end>
      <status>unmodified</status>
      <modifiedWord/>
      <trackRevisions>false</trackRevisions>
    </reviewItem>
    <reviewItem>
      <errorID>6bdc8a48-1963-4039-ad1b-a69ad4da0398</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3D81B5C0</paraID>
      <start>0</start>
      <end>2</end>
      <status>unmodified</status>
      <modifiedWord/>
      <trackRevisions>false</trackRevisions>
    </reviewItem>
    <reviewItem>
      <errorID>77d81ffe-a7eb-45ae-857f-fb93b65d6427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26AC6615</paraID>
      <start>0</start>
      <end>2</end>
      <status>unmodified</status>
      <modifiedWord/>
      <trackRevisions>false</trackRevisions>
    </reviewItem>
    <reviewItem>
      <errorID>ba281cd7-79d8-4aee-982a-4f37e5c8bf0c</errorID>
      <errorWord>参观和考察</errorWord>
      <group>L1_Grammar</group>
      <groupName>语法问题</groupName>
      <ability>L2_Order</ability>
      <abilityName>语序不当</abilityName>
      <candidateList>
        <item>考察和参观</item>
      </candidateList>
      <explain>句子可能没有遵循时空、逻辑顺序，或者介词、关联词等位置不当。</explain>
      <paraID>26AC6615</paraID>
      <start>21</start>
      <end>26</end>
      <status>unmodified</status>
      <modifiedWord/>
      <trackRevisions>false</trackRevisions>
    </reviewItem>
    <reviewItem>
      <errorID>be3303c5-6b5f-403c-801b-749ce89f5f5d</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6D95CBE5</paraID>
      <start>0</start>
      <end>2</end>
      <status>unmodified</status>
      <modifiedWord/>
      <trackRevisions>false</trackRevisions>
    </reviewItem>
    <reviewItem>
      <errorID>12c285d3-7d9c-48ce-911f-d7837fa3893f</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5F136847</paraID>
      <start>0</start>
      <end>2</end>
      <status>unmodified</status>
      <modifiedWord/>
      <trackRevisions>false</trackRevisions>
    </reviewItem>
    <reviewItem>
      <errorID>2c416be3-ca65-44ea-bbd3-095deeef51d1</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716EA248</paraID>
      <start>0</start>
      <end>2</end>
      <status>unmodified</status>
      <modifiedWord/>
      <trackRevisions>false</trackRevisions>
    </reviewItem>
    <reviewItem>
      <errorID>0af731a1-07ac-4709-9882-57cf2075543c</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60A76D37</paraID>
      <start>0</start>
      <end>3</end>
      <status>unmodified</status>
      <modifiedWord/>
      <trackRevisions>false</trackRevisions>
    </reviewItem>
    <reviewItem>
      <errorID>3383ac84-6a80-41d6-bdd1-564c034d7783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C57ADD7</paraID>
      <start>0</start>
      <end>2</end>
      <status>unmodified</status>
      <modifiedWord/>
      <trackRevisions>false</trackRevisions>
    </reviewItem>
    <reviewItem>
      <errorID>9a848cc9-7b66-440d-98d0-39a10ab60765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605445e2-b33c-483d-ab2d-6a1069425127</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22828894-a13c-4496-9352-3e6dd81e67bc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a3505673-59a9-489c-bdd0-3f47c804aa03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a47c4778-e166-4350-ad6c-8c474ccefb97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eae9d465-58f8-49e3-b919-e1a65a5d9317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389e47af-e7db-4ebe-aa31-7d14cecaa07e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6eb26816-81b9-47d2-a3f1-f422eb7a0ede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386b44-2920-4883-a00a-189a0f89077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2888</Words>
  <Characters>3066</Characters>
  <Lines>133</Lines>
  <Paragraphs>161</Paragraphs>
  <TotalTime>1</TotalTime>
  <ScaleCrop>false</ScaleCrop>
  <LinksUpToDate>false</LinksUpToDate>
  <CharactersWithSpaces>3262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2026-04-09T05:56:07Z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