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食堂原材料采供仓储管理系统开发项目</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HFBX2026037</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五</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HFBX2026037</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食堂原材料采供仓储管理系统开发项目</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21</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val="en-US" w:eastAsia="zh-CN"/>
        </w:rPr>
        <w:t>本项目</w:t>
      </w:r>
      <w:r>
        <w:rPr>
          <w:rFonts w:hint="eastAsia" w:ascii="方正兰亭黑简体" w:hAnsi="方正兰亭黑简体" w:eastAsia="方正兰亭黑简体" w:cs="方正兰亭黑简体"/>
          <w:color w:val="auto"/>
          <w:sz w:val="22"/>
          <w:szCs w:val="28"/>
          <w:highlight w:val="none"/>
          <w:lang w:val="en-US" w:eastAsia="zh-CN"/>
        </w:rPr>
        <w:t>需委托一家合格供应商为学校开发一套新的采供仓储管理系统。</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280C0FF5">
      <w:pPr>
        <w:pStyle w:val="19"/>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服务期限：自合同签订之日起60天内完成系统开发工作。</w:t>
      </w:r>
    </w:p>
    <w:p w14:paraId="500DF29A">
      <w:pPr>
        <w:pStyle w:val="19"/>
        <w:tabs>
          <w:tab w:val="left" w:pos="0"/>
        </w:tabs>
        <w:spacing w:line="360" w:lineRule="auto"/>
        <w:ind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付款方式：合同正式生效后20个工作日内，支付合同总价的</w:t>
      </w: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0％；验收通过后20个工作日内，支付合同总价的</w:t>
      </w:r>
      <w:r>
        <w:rPr>
          <w:rFonts w:hint="eastAsia" w:ascii="方正兰亭黑简体" w:hAnsi="方正兰亭黑简体" w:eastAsia="方正兰亭黑简体" w:cs="方正兰亭黑简体"/>
          <w:color w:val="auto"/>
          <w:sz w:val="22"/>
          <w:szCs w:val="28"/>
          <w:highlight w:val="none"/>
          <w:lang w:val="en-US" w:eastAsia="zh-CN"/>
        </w:rPr>
        <w:t>7</w:t>
      </w:r>
      <w:r>
        <w:rPr>
          <w:rFonts w:hint="eastAsia" w:ascii="方正兰亭黑简体" w:hAnsi="方正兰亭黑简体" w:eastAsia="方正兰亭黑简体" w:cs="方正兰亭黑简体"/>
          <w:color w:val="auto"/>
          <w:sz w:val="22"/>
          <w:szCs w:val="28"/>
          <w:highlight w:val="none"/>
        </w:rPr>
        <w:t>0％。</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1"/>
      <w:bookmarkStart w:id="4" w:name="OLE_LINK2"/>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22</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五</w:t>
      </w:r>
      <w:r>
        <w:rPr>
          <w:rFonts w:hint="eastAsia" w:ascii="方正兰亭黑简体" w:hAnsi="方正兰亭黑简体" w:eastAsia="方正兰亭黑简体" w:cs="方正兰亭黑简体"/>
          <w:color w:val="auto"/>
          <w:sz w:val="22"/>
          <w:szCs w:val="28"/>
          <w:highlight w:val="none"/>
        </w:rPr>
        <w:t>）</w:t>
      </w:r>
      <w:bookmarkEnd w:id="3"/>
      <w:bookmarkEnd w:id="4"/>
      <w:bookmarkStart w:id="6" w:name="_GoBack"/>
      <w:bookmarkEnd w:id="6"/>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罗</w:t>
      </w:r>
      <w:r>
        <w:rPr>
          <w:rFonts w:hint="eastAsia" w:ascii="方正兰亭黑简体" w:hAnsi="方正兰亭黑简体" w:eastAsia="方正兰亭黑简体" w:cs="方正兰亭黑简体"/>
          <w:color w:val="auto"/>
          <w:sz w:val="22"/>
          <w:szCs w:val="28"/>
          <w:highlight w:val="none"/>
        </w:rPr>
        <w:t>老师</w:t>
      </w:r>
      <w:r>
        <w:rPr>
          <w:rFonts w:hint="eastAsia" w:ascii="方正兰亭黑简体" w:hAnsi="方正兰亭黑简体" w:eastAsia="方正兰亭黑简体" w:cs="方正兰亭黑简体"/>
          <w:color w:val="auto"/>
          <w:sz w:val="22"/>
          <w:szCs w:val="28"/>
          <w:highlight w:val="none"/>
          <w:lang w:val="en-US" w:eastAsia="zh-CN"/>
        </w:rPr>
        <w:t>021-38283198</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39E2A589">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项目概况</w:t>
      </w:r>
    </w:p>
    <w:p w14:paraId="00A4517B">
      <w:pPr>
        <w:spacing w:line="360" w:lineRule="auto"/>
        <w:ind w:left="0" w:leftChars="0" w:firstLine="440" w:firstLineChars="200"/>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近年来，我校的食品安全管理工作在制度体系建设、标准规范细化等方面持续改进和优化。而食堂的菜品原材料采供，作为食品安全管理中的重要一环，学校一贯予以高度重视。学校目前使用的原材料采供系统已使用10余年，未提供供应商端支持，且日常使用过程中已严重卡顿，系统架构较陈旧，不能满足日常工作的需要。为进一步提升采供环节的工作效率和严谨性，学校委托开发一套新的采供仓储管理系统。</w:t>
      </w:r>
    </w:p>
    <w:p w14:paraId="14F7295A">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u w:val="none"/>
        </w:rPr>
      </w:pPr>
    </w:p>
    <w:p w14:paraId="2564B485">
      <w:pPr>
        <w:widowControl/>
        <w:shd w:val="clear" w:color="auto" w:fill="FFFFFF"/>
        <w:spacing w:line="360" w:lineRule="auto"/>
        <w:ind w:left="0" w:leftChars="0" w:firstLine="0" w:firstLineChars="0"/>
        <w:jc w:val="left"/>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二、服务具体要求</w:t>
      </w:r>
    </w:p>
    <w:p w14:paraId="351D33E2">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lang w:val="en-US" w:eastAsia="zh-CN"/>
        </w:rPr>
        <w:t>一</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供应商管理</w:t>
      </w:r>
    </w:p>
    <w:p w14:paraId="0A27F12F">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供应商注册：供应商可线上注册，提交资质文件（如营业执照），经学校审核后方可使用系统。特殊供应商</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lang w:val="en-US" w:eastAsia="zh-CN"/>
        </w:rPr>
        <w:t>如学校自建的生产线</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lang w:val="en-US" w:eastAsia="zh-CN"/>
        </w:rPr>
        <w:t>需设置为</w:t>
      </w:r>
      <w:r>
        <w:rPr>
          <w:rFonts w:hint="default" w:ascii="Times New Roman" w:hAnsi="Times New Roman" w:eastAsia="方正兰亭黑简体" w:cs="Times New Roman"/>
          <w:color w:val="auto"/>
          <w:sz w:val="22"/>
          <w:szCs w:val="22"/>
          <w:highlight w:val="none"/>
        </w:rPr>
        <w:t>特殊类型。</w:t>
      </w:r>
    </w:p>
    <w:p w14:paraId="2DF31F3D">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供应商停用：学校或供应商可申请停用。停用后账户冻结，历史数据保留。</w:t>
      </w:r>
    </w:p>
    <w:p w14:paraId="5F1F3639">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lang w:val="en-US" w:eastAsia="zh-CN"/>
        </w:rPr>
        <w:t>二</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采供仓储管理</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lang w:val="en-US" w:eastAsia="zh-CN"/>
        </w:rPr>
        <w:t>核心产品</w:t>
      </w:r>
      <w:r>
        <w:rPr>
          <w:rFonts w:hint="eastAsia" w:ascii="Times New Roman" w:hAnsi="Times New Roman" w:eastAsia="方正兰亭黑简体" w:cs="Times New Roman"/>
          <w:color w:val="auto"/>
          <w:sz w:val="22"/>
          <w:szCs w:val="22"/>
          <w:highlight w:val="none"/>
          <w:lang w:val="en-US" w:eastAsia="zh-CN"/>
        </w:rPr>
        <w:t>）</w:t>
      </w:r>
    </w:p>
    <w:p w14:paraId="7948B5D3">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仓库管理：可创建、设置仓库，支持库存盘点、预警、单据自动转换（送货单转入库单）及实时库存查询。支持设置仓</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配关系。</w:t>
      </w:r>
    </w:p>
    <w:p w14:paraId="5893EE19">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2</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物品管理：由供应商统一录入物料信息（编码、名称、规格等），经学校审核后生效。物品可设置补贴、备货等属性。</w:t>
      </w:r>
    </w:p>
    <w:p w14:paraId="4D2CB3D8">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3</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供应分配：灵活建立食堂、供应商、物料之间的供应关系，支持批量分配与调整。</w:t>
      </w:r>
    </w:p>
    <w:p w14:paraId="4863F6B7">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4</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食材申购：食堂提交申购单，系统自动根据库存情况生成配送单（库存充足）或采购订单（库存不足）。支持设置申购条件。</w:t>
      </w:r>
    </w:p>
    <w:p w14:paraId="641A32ED">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5</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自采申请：食堂自采需线上申请并上传票据，流程留痕。系统统计自采比例，超限预警，月末单独报表。</w:t>
      </w:r>
    </w:p>
    <w:p w14:paraId="458F71D5">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6</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订单与送货：供应商接收订单后可创建送货单，填写配送信息并上传“索票索证”资料。送货单可打印带二维码，便于验收。</w:t>
      </w:r>
    </w:p>
    <w:p w14:paraId="22B86609">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7</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到货验收：</w:t>
      </w:r>
      <w:r>
        <w:rPr>
          <w:rFonts w:hint="default" w:ascii="Times New Roman" w:hAnsi="Times New Roman" w:eastAsia="方正兰亭黑简体" w:cs="Times New Roman"/>
          <w:color w:val="auto"/>
          <w:sz w:val="22"/>
          <w:szCs w:val="22"/>
          <w:highlight w:val="none"/>
          <w:lang w:val="en-US" w:eastAsia="zh-CN"/>
        </w:rPr>
        <w:t>需支持二维码</w:t>
      </w:r>
      <w:r>
        <w:rPr>
          <w:rFonts w:hint="default" w:ascii="Times New Roman" w:hAnsi="Times New Roman" w:eastAsia="方正兰亭黑简体" w:cs="Times New Roman"/>
          <w:color w:val="auto"/>
          <w:sz w:val="22"/>
          <w:szCs w:val="22"/>
          <w:highlight w:val="none"/>
        </w:rPr>
        <w:t>扫码验收。</w:t>
      </w:r>
      <w:r>
        <w:rPr>
          <w:rFonts w:hint="default" w:ascii="Times New Roman" w:hAnsi="Times New Roman" w:eastAsia="方正兰亭黑简体" w:cs="Times New Roman"/>
          <w:color w:val="auto"/>
          <w:sz w:val="22"/>
          <w:szCs w:val="22"/>
          <w:highlight w:val="none"/>
          <w:lang w:val="en-US" w:eastAsia="zh-CN"/>
        </w:rPr>
        <w:t>验收</w:t>
      </w:r>
      <w:r>
        <w:rPr>
          <w:rFonts w:hint="default" w:ascii="Times New Roman" w:hAnsi="Times New Roman" w:eastAsia="方正兰亭黑简体" w:cs="Times New Roman"/>
          <w:color w:val="auto"/>
          <w:sz w:val="22"/>
          <w:szCs w:val="22"/>
          <w:highlight w:val="none"/>
        </w:rPr>
        <w:t>人员</w:t>
      </w:r>
      <w:r>
        <w:rPr>
          <w:rFonts w:hint="default" w:ascii="Times New Roman" w:hAnsi="Times New Roman" w:eastAsia="方正兰亭黑简体" w:cs="Times New Roman"/>
          <w:color w:val="auto"/>
          <w:sz w:val="22"/>
          <w:szCs w:val="22"/>
          <w:highlight w:val="none"/>
          <w:lang w:val="en-US" w:eastAsia="zh-CN"/>
        </w:rPr>
        <w:t>可通过送货单上的二维码获取送货信息，</w:t>
      </w:r>
      <w:r>
        <w:rPr>
          <w:rFonts w:hint="default" w:ascii="Times New Roman" w:hAnsi="Times New Roman" w:eastAsia="方正兰亭黑简体" w:cs="Times New Roman"/>
          <w:color w:val="auto"/>
          <w:sz w:val="22"/>
          <w:szCs w:val="22"/>
          <w:highlight w:val="none"/>
        </w:rPr>
        <w:t>核对</w:t>
      </w:r>
      <w:r>
        <w:rPr>
          <w:rFonts w:hint="default" w:ascii="Times New Roman" w:hAnsi="Times New Roman" w:eastAsia="方正兰亭黑简体" w:cs="Times New Roman"/>
          <w:color w:val="auto"/>
          <w:sz w:val="22"/>
          <w:szCs w:val="22"/>
          <w:highlight w:val="none"/>
          <w:lang w:val="en-US" w:eastAsia="zh-CN"/>
        </w:rPr>
        <w:t>货品</w:t>
      </w:r>
      <w:r>
        <w:rPr>
          <w:rFonts w:hint="default" w:ascii="Times New Roman" w:hAnsi="Times New Roman" w:eastAsia="方正兰亭黑简体" w:cs="Times New Roman"/>
          <w:color w:val="auto"/>
          <w:sz w:val="22"/>
          <w:szCs w:val="22"/>
          <w:highlight w:val="none"/>
        </w:rPr>
        <w:t>数量，</w:t>
      </w:r>
      <w:r>
        <w:rPr>
          <w:rFonts w:hint="default" w:ascii="Times New Roman" w:hAnsi="Times New Roman" w:eastAsia="方正兰亭黑简体" w:cs="Times New Roman"/>
          <w:color w:val="auto"/>
          <w:sz w:val="22"/>
          <w:szCs w:val="22"/>
          <w:highlight w:val="none"/>
          <w:lang w:val="en-US" w:eastAsia="zh-CN"/>
        </w:rPr>
        <w:t>若</w:t>
      </w:r>
      <w:r>
        <w:rPr>
          <w:rFonts w:hint="default" w:ascii="Times New Roman" w:hAnsi="Times New Roman" w:eastAsia="方正兰亭黑简体" w:cs="Times New Roman"/>
          <w:color w:val="auto"/>
          <w:sz w:val="22"/>
          <w:szCs w:val="22"/>
          <w:highlight w:val="none"/>
        </w:rPr>
        <w:t>数量</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lang w:val="en-US" w:eastAsia="zh-CN"/>
        </w:rPr>
        <w:t>质量</w:t>
      </w:r>
      <w:r>
        <w:rPr>
          <w:rFonts w:hint="default" w:ascii="Times New Roman" w:hAnsi="Times New Roman" w:eastAsia="方正兰亭黑简体" w:cs="Times New Roman"/>
          <w:color w:val="auto"/>
          <w:sz w:val="22"/>
          <w:szCs w:val="22"/>
          <w:highlight w:val="none"/>
        </w:rPr>
        <w:t>不符</w:t>
      </w:r>
      <w:r>
        <w:rPr>
          <w:rFonts w:hint="default" w:ascii="Times New Roman" w:hAnsi="Times New Roman" w:eastAsia="方正兰亭黑简体" w:cs="Times New Roman"/>
          <w:color w:val="auto"/>
          <w:sz w:val="22"/>
          <w:szCs w:val="22"/>
          <w:highlight w:val="none"/>
          <w:lang w:val="en-US" w:eastAsia="zh-CN"/>
        </w:rPr>
        <w:t>可</w:t>
      </w:r>
      <w:r>
        <w:rPr>
          <w:rFonts w:hint="default" w:ascii="Times New Roman" w:hAnsi="Times New Roman" w:eastAsia="方正兰亭黑简体" w:cs="Times New Roman"/>
          <w:color w:val="auto"/>
          <w:sz w:val="22"/>
          <w:szCs w:val="22"/>
          <w:highlight w:val="none"/>
        </w:rPr>
        <w:t>填写说明。</w:t>
      </w:r>
    </w:p>
    <w:p w14:paraId="0D1959F3">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8</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价格调整：支持对物料进行批量调价（按数值或百分比），或标记为补贴物品。调整需经审批流程。</w:t>
      </w:r>
    </w:p>
    <w:p w14:paraId="680DFB07">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9</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结算：对已签收订单按周期发起结算。供应商上传发票，经多级审批后付款。供应商也可主动申请结算。</w:t>
      </w:r>
    </w:p>
    <w:p w14:paraId="423CE8FA">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10</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溯源数据：系统支持按照上海市食品溯源管理系统模板生成并上传溯源数据。</w:t>
      </w:r>
    </w:p>
    <w:p w14:paraId="64D6108E">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lang w:eastAsia="zh-CN"/>
        </w:rPr>
      </w:pPr>
      <w:r>
        <w:rPr>
          <w:rFonts w:hint="default" w:ascii="Times New Roman" w:hAnsi="Times New Roman" w:eastAsia="方正兰亭黑简体" w:cs="Times New Roman"/>
          <w:color w:val="auto"/>
          <w:sz w:val="22"/>
          <w:szCs w:val="22"/>
          <w:highlight w:val="none"/>
          <w:lang w:val="en-US" w:eastAsia="zh-CN"/>
        </w:rPr>
        <w:t>11</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统计分析：系统支持按物料、食堂、供应商等多维度生成统计报表，并可导出打印。</w:t>
      </w:r>
    </w:p>
    <w:p w14:paraId="397A69F7">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lang w:val="en-US" w:eastAsia="zh-CN"/>
        </w:rPr>
        <w:t>三</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lang w:val="en-US" w:eastAsia="zh-CN"/>
        </w:rPr>
        <w:t>供应商端</w:t>
      </w:r>
    </w:p>
    <w:p w14:paraId="4423590D">
      <w:pPr>
        <w:widowControl/>
        <w:shd w:val="clear" w:color="auto" w:fill="FFFFFF"/>
        <w:spacing w:line="360" w:lineRule="auto"/>
        <w:ind w:left="0" w:leftChars="0" w:firstLine="440" w:firstLineChars="200"/>
        <w:jc w:val="left"/>
        <w:rPr>
          <w:rFonts w:hint="default" w:ascii="Times New Roman" w:hAnsi="Times New Roman" w:eastAsia="方正兰亭黑简体" w:cs="Times New Roman"/>
          <w:color w:val="auto"/>
          <w:sz w:val="22"/>
          <w:szCs w:val="22"/>
          <w:highlight w:val="none"/>
          <w:lang w:eastAsia="zh-CN"/>
        </w:rPr>
      </w:pPr>
      <w:r>
        <w:rPr>
          <w:rFonts w:hint="default" w:ascii="Times New Roman" w:hAnsi="Times New Roman" w:eastAsia="方正兰亭黑简体" w:cs="Times New Roman"/>
          <w:color w:val="auto"/>
          <w:sz w:val="22"/>
          <w:szCs w:val="22"/>
          <w:highlight w:val="none"/>
          <w:lang w:eastAsia="zh-CN"/>
        </w:rPr>
        <w:t>需提供供应商端，供应商可自行在系统注册，须填写必要信息后提交学校审核。审核通过后，供应商</w:t>
      </w:r>
      <w:r>
        <w:rPr>
          <w:rFonts w:hint="default" w:ascii="Times New Roman" w:hAnsi="Times New Roman" w:eastAsia="方正兰亭黑简体" w:cs="Times New Roman"/>
          <w:color w:val="auto"/>
          <w:sz w:val="22"/>
          <w:szCs w:val="22"/>
          <w:highlight w:val="none"/>
          <w:lang w:val="en-US" w:eastAsia="zh-CN"/>
        </w:rPr>
        <w:t>方</w:t>
      </w:r>
      <w:r>
        <w:rPr>
          <w:rFonts w:hint="default" w:ascii="Times New Roman" w:hAnsi="Times New Roman" w:eastAsia="方正兰亭黑简体" w:cs="Times New Roman"/>
          <w:color w:val="auto"/>
          <w:sz w:val="22"/>
          <w:szCs w:val="22"/>
          <w:highlight w:val="none"/>
          <w:lang w:eastAsia="zh-CN"/>
        </w:rPr>
        <w:t>可登录系统，根据学校开通的权限进行业务的操作和办理。</w:t>
      </w:r>
    </w:p>
    <w:p w14:paraId="0F2DD419">
      <w:pPr>
        <w:widowControl/>
        <w:numPr>
          <w:ilvl w:val="0"/>
          <w:numId w:val="0"/>
        </w:numPr>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（四）验收设备</w:t>
      </w:r>
    </w:p>
    <w:p w14:paraId="73F17C0A">
      <w:pPr>
        <w:widowControl/>
        <w:shd w:val="clear" w:color="auto" w:fill="FFFFFF"/>
        <w:spacing w:line="360" w:lineRule="auto"/>
        <w:ind w:left="0" w:leftChars="0" w:firstLine="440" w:firstLineChars="200"/>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数量：4个；品类：二维码无线扫码枪；解码类型：二维、一维、复合码</w:t>
      </w:r>
    </w:p>
    <w:p w14:paraId="5D311D18">
      <w:pPr>
        <w:widowControl/>
        <w:shd w:val="clear" w:color="auto" w:fill="FFFFFF"/>
        <w:spacing w:line="360" w:lineRule="auto"/>
        <w:ind w:left="0" w:leftChars="0" w:firstLine="440" w:firstLineChars="200"/>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无线传输距离：不低于40M；无线传输类型：蓝牙/2.4Ghz</w:t>
      </w:r>
    </w:p>
    <w:p w14:paraId="2AA61DA5">
      <w:pPr>
        <w:widowControl/>
        <w:shd w:val="clear" w:color="auto" w:fill="FFFFFF"/>
        <w:spacing w:line="360" w:lineRule="auto"/>
        <w:ind w:left="0" w:leftChars="0" w:firstLine="440" w:firstLineChars="200"/>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光源：影像/红光；分辨率：不低于640*480；内存容量：不低于1MB</w:t>
      </w:r>
    </w:p>
    <w:p w14:paraId="3225B94A">
      <w:pPr>
        <w:widowControl/>
        <w:shd w:val="clear" w:color="auto" w:fill="FFFFFF"/>
        <w:spacing w:line="360" w:lineRule="auto"/>
        <w:ind w:left="0" w:leftChars="0" w:firstLine="440" w:firstLineChars="200"/>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扫描介质：纸质/屏幕/薄膜；电池容量：不低于1500mAh</w:t>
      </w:r>
    </w:p>
    <w:p w14:paraId="743AA58E">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lang w:val="en-US" w:eastAsia="zh-CN"/>
        </w:rPr>
        <w:t>五</w:t>
      </w:r>
      <w:r>
        <w:rPr>
          <w:rFonts w:hint="default" w:ascii="Times New Roman" w:hAnsi="Times New Roman" w:eastAsia="方正兰亭黑简体" w:cs="Times New Roman"/>
          <w:color w:val="auto"/>
          <w:sz w:val="22"/>
          <w:szCs w:val="22"/>
          <w:highlight w:val="none"/>
          <w:lang w:eastAsia="zh-CN"/>
        </w:rPr>
        <w:t>）</w:t>
      </w:r>
      <w:r>
        <w:rPr>
          <w:rFonts w:hint="eastAsia" w:ascii="Times New Roman" w:hAnsi="Times New Roman" w:eastAsia="方正兰亭黑简体" w:cs="Times New Roman"/>
          <w:color w:val="auto"/>
          <w:sz w:val="22"/>
          <w:szCs w:val="22"/>
          <w:highlight w:val="none"/>
          <w:lang w:val="en-US" w:eastAsia="zh-CN"/>
        </w:rPr>
        <w:t>补充</w:t>
      </w:r>
      <w:r>
        <w:rPr>
          <w:rFonts w:hint="default" w:ascii="Times New Roman" w:hAnsi="Times New Roman" w:eastAsia="方正兰亭黑简体" w:cs="Times New Roman"/>
          <w:color w:val="auto"/>
          <w:sz w:val="22"/>
          <w:szCs w:val="22"/>
          <w:highlight w:val="none"/>
        </w:rPr>
        <w:t>要求</w:t>
      </w:r>
    </w:p>
    <w:p w14:paraId="709BEFF9">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1</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按需接入学校统一身份认证体系；</w:t>
      </w:r>
    </w:p>
    <w:p w14:paraId="50805FF3">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lang w:eastAsia="zh-CN"/>
        </w:rPr>
      </w:pPr>
      <w:r>
        <w:rPr>
          <w:rFonts w:hint="default" w:ascii="Times New Roman" w:hAnsi="Times New Roman" w:eastAsia="方正兰亭黑简体" w:cs="Times New Roman"/>
          <w:color w:val="auto"/>
          <w:sz w:val="22"/>
          <w:szCs w:val="22"/>
          <w:highlight w:val="none"/>
          <w:lang w:val="en-US" w:eastAsia="zh-CN"/>
        </w:rPr>
        <w:t>2</w:t>
      </w:r>
      <w:r>
        <w:rPr>
          <w:rFonts w:hint="eastAsia"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原则上应符合学校信创改造技术要求</w:t>
      </w:r>
      <w:r>
        <w:rPr>
          <w:rFonts w:hint="default" w:ascii="Times New Roman" w:hAnsi="Times New Roman" w:eastAsia="方正兰亭黑简体" w:cs="Times New Roman"/>
          <w:color w:val="auto"/>
          <w:sz w:val="22"/>
          <w:szCs w:val="22"/>
          <w:highlight w:val="none"/>
          <w:lang w:eastAsia="zh-CN"/>
        </w:rPr>
        <w:t>；</w:t>
      </w:r>
    </w:p>
    <w:p w14:paraId="704D2B10">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3</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应遵循的相关国家标准、行业标准、地方标准等标准、规范</w:t>
      </w:r>
    </w:p>
    <w:p w14:paraId="6E06AEE6">
      <w:pPr>
        <w:widowControl/>
        <w:shd w:val="clear" w:color="auto" w:fill="FFFFFF"/>
        <w:spacing w:line="360" w:lineRule="auto"/>
        <w:jc w:val="left"/>
        <w:rPr>
          <w:rFonts w:hint="eastAsia" w:ascii="Times New Roman" w:hAnsi="Times New Roman" w:eastAsia="方正兰亭黑简体" w:cs="Times New Roman"/>
          <w:color w:val="auto"/>
          <w:kern w:val="0"/>
          <w:sz w:val="22"/>
          <w:szCs w:val="22"/>
          <w:highlight w:val="none"/>
          <w:lang w:eastAsia="zh-CN"/>
        </w:rPr>
      </w:pPr>
      <w:r>
        <w:rPr>
          <w:rFonts w:hint="default" w:ascii="Times New Roman" w:hAnsi="Times New Roman" w:eastAsia="方正兰亭黑简体" w:cs="Times New Roman"/>
          <w:color w:val="auto"/>
          <w:sz w:val="22"/>
          <w:szCs w:val="22"/>
          <w:highlight w:val="none"/>
          <w:u w:val="single"/>
        </w:rPr>
        <w:t>遵循学校信息化建设管理规范</w:t>
      </w:r>
    </w:p>
    <w:p w14:paraId="6D8A7906">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val="en-US" w:eastAsia="zh-CN"/>
        </w:rPr>
        <w:t>4</w:t>
      </w:r>
      <w:r>
        <w:rPr>
          <w:rFonts w:hint="eastAsia"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后续运营维护、升级更新、备品备件等要求</w:t>
      </w:r>
    </w:p>
    <w:p w14:paraId="356C3AF2">
      <w:pPr>
        <w:widowControl/>
        <w:shd w:val="clear" w:color="auto" w:fill="FFFFFF"/>
        <w:spacing w:line="360" w:lineRule="auto"/>
        <w:ind w:left="0" w:leftChars="0" w:firstLine="0" w:firstLineChars="0"/>
        <w:jc w:val="left"/>
        <w:rPr>
          <w:rFonts w:hint="eastAsia" w:ascii="Times New Roman" w:hAnsi="Times New Roman" w:eastAsia="方正兰亭黑简体" w:cs="Times New Roman"/>
          <w:color w:val="auto"/>
          <w:sz w:val="22"/>
          <w:szCs w:val="22"/>
          <w:highlight w:val="none"/>
          <w:u w:val="single"/>
          <w:lang w:eastAsia="zh-CN"/>
        </w:rPr>
      </w:pPr>
      <w:r>
        <w:rPr>
          <w:rFonts w:hint="default" w:ascii="Times New Roman" w:hAnsi="Times New Roman" w:eastAsia="方正兰亭黑简体" w:cs="Times New Roman"/>
          <w:color w:val="auto"/>
          <w:sz w:val="22"/>
          <w:szCs w:val="22"/>
          <w:highlight w:val="none"/>
          <w:u w:val="single"/>
        </w:rPr>
        <w:t>提供1年免费质保，提供：系统升级、功能修改、BUG修复、技术支持服务</w:t>
      </w:r>
    </w:p>
    <w:p w14:paraId="72E33785">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5</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各项指标要求</w:t>
      </w:r>
    </w:p>
    <w:tbl>
      <w:tblPr>
        <w:tblStyle w:val="14"/>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1226"/>
        <w:gridCol w:w="854"/>
        <w:gridCol w:w="6046"/>
        <w:gridCol w:w="1136"/>
      </w:tblGrid>
      <w:tr w14:paraId="61FE8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43" w:type="pct"/>
            <w:vAlign w:val="center"/>
          </w:tcPr>
          <w:p w14:paraId="51C42F7A">
            <w:pPr>
              <w:spacing w:line="24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序号</w:t>
            </w:r>
          </w:p>
        </w:tc>
        <w:tc>
          <w:tcPr>
            <w:tcW w:w="616" w:type="pct"/>
            <w:vAlign w:val="center"/>
          </w:tcPr>
          <w:p w14:paraId="523BDE39">
            <w:pPr>
              <w:widowControl/>
              <w:spacing w:line="24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指标名称</w:t>
            </w:r>
          </w:p>
        </w:tc>
        <w:tc>
          <w:tcPr>
            <w:tcW w:w="429" w:type="pct"/>
            <w:vAlign w:val="center"/>
          </w:tcPr>
          <w:p w14:paraId="16E86100">
            <w:pPr>
              <w:widowControl/>
              <w:spacing w:line="24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是否核心指标</w:t>
            </w:r>
          </w:p>
        </w:tc>
        <w:tc>
          <w:tcPr>
            <w:tcW w:w="3039" w:type="pct"/>
            <w:vAlign w:val="center"/>
          </w:tcPr>
          <w:p w14:paraId="2C64A1FA">
            <w:pPr>
              <w:widowControl/>
              <w:spacing w:line="24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指标要求</w:t>
            </w:r>
          </w:p>
        </w:tc>
        <w:tc>
          <w:tcPr>
            <w:tcW w:w="571" w:type="pct"/>
            <w:vAlign w:val="center"/>
          </w:tcPr>
          <w:p w14:paraId="4C055152">
            <w:pPr>
              <w:widowControl/>
              <w:spacing w:line="24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是否需要</w:t>
            </w:r>
          </w:p>
          <w:p w14:paraId="0B11E6BB">
            <w:pPr>
              <w:widowControl/>
              <w:spacing w:line="24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证明材料</w:t>
            </w:r>
          </w:p>
        </w:tc>
      </w:tr>
      <w:tr w14:paraId="4214F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43" w:type="pct"/>
            <w:vAlign w:val="center"/>
          </w:tcPr>
          <w:p w14:paraId="662EF14C">
            <w:pPr>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w:t>
            </w:r>
          </w:p>
        </w:tc>
        <w:tc>
          <w:tcPr>
            <w:tcW w:w="616" w:type="pct"/>
            <w:vAlign w:val="center"/>
          </w:tcPr>
          <w:p w14:paraId="175FBD26">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FIFO 库存原则</w:t>
            </w:r>
          </w:p>
        </w:tc>
        <w:tc>
          <w:tcPr>
            <w:tcW w:w="429" w:type="pct"/>
            <w:vAlign w:val="center"/>
          </w:tcPr>
          <w:p w14:paraId="15FEAAEE">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3039" w:type="pct"/>
            <w:vAlign w:val="center"/>
          </w:tcPr>
          <w:p w14:paraId="47064175">
            <w:pPr>
              <w:widowControl/>
              <w:spacing w:line="240" w:lineRule="auto"/>
              <w:jc w:val="left"/>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严格按照食品先入先出的原则（FIFO）进行库存管理，保障食品的新鲜度和质量。物品需提供详细批次号进行出库入库</w:t>
            </w:r>
          </w:p>
        </w:tc>
        <w:tc>
          <w:tcPr>
            <w:tcW w:w="571" w:type="pct"/>
            <w:vAlign w:val="center"/>
          </w:tcPr>
          <w:p w14:paraId="2D05E101">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2C871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43" w:type="pct"/>
            <w:vAlign w:val="center"/>
          </w:tcPr>
          <w:p w14:paraId="4468A834">
            <w:pPr>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2</w:t>
            </w:r>
          </w:p>
        </w:tc>
        <w:tc>
          <w:tcPr>
            <w:tcW w:w="616" w:type="pct"/>
            <w:vAlign w:val="center"/>
          </w:tcPr>
          <w:p w14:paraId="6335814C">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供应分配</w:t>
            </w:r>
          </w:p>
        </w:tc>
        <w:tc>
          <w:tcPr>
            <w:tcW w:w="429" w:type="pct"/>
            <w:vAlign w:val="center"/>
          </w:tcPr>
          <w:p w14:paraId="18A4845F">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3039" w:type="pct"/>
            <w:vAlign w:val="center"/>
          </w:tcPr>
          <w:p w14:paraId="2EA8AE4D">
            <w:pPr>
              <w:widowControl/>
              <w:spacing w:line="240" w:lineRule="auto"/>
              <w:jc w:val="left"/>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支持按食堂、供应商、物品等多种维度，进行食堂与供应商的绑定关系设置；方便灵活调整供应策略，并可随时修改更新绑定关系，以适应不同的供应需求变化；支持由各食堂、部门申购单转换生成对应的领料单</w:t>
            </w:r>
          </w:p>
        </w:tc>
        <w:tc>
          <w:tcPr>
            <w:tcW w:w="571" w:type="pct"/>
            <w:vAlign w:val="center"/>
          </w:tcPr>
          <w:p w14:paraId="0067E4EE">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4FAA9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43" w:type="pct"/>
            <w:vAlign w:val="center"/>
          </w:tcPr>
          <w:p w14:paraId="63F396AF">
            <w:pPr>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3</w:t>
            </w:r>
          </w:p>
        </w:tc>
        <w:tc>
          <w:tcPr>
            <w:tcW w:w="616" w:type="pct"/>
            <w:vAlign w:val="center"/>
          </w:tcPr>
          <w:p w14:paraId="2B826619">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自动派单</w:t>
            </w:r>
          </w:p>
        </w:tc>
        <w:tc>
          <w:tcPr>
            <w:tcW w:w="429" w:type="pct"/>
            <w:vAlign w:val="center"/>
          </w:tcPr>
          <w:p w14:paraId="11134B17">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3039" w:type="pct"/>
            <w:vAlign w:val="center"/>
          </w:tcPr>
          <w:p w14:paraId="4791CDFA">
            <w:pPr>
              <w:widowControl/>
              <w:spacing w:line="240" w:lineRule="auto"/>
              <w:jc w:val="left"/>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系统可根据食堂和原材料自动派单给对应的仓库、供应商；系统可设置优先仓库配送</w:t>
            </w:r>
          </w:p>
        </w:tc>
        <w:tc>
          <w:tcPr>
            <w:tcW w:w="571" w:type="pct"/>
            <w:vAlign w:val="center"/>
          </w:tcPr>
          <w:p w14:paraId="72E4528A">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54945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43" w:type="pct"/>
            <w:vAlign w:val="center"/>
          </w:tcPr>
          <w:p w14:paraId="460FC8BD">
            <w:pPr>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4</w:t>
            </w:r>
          </w:p>
        </w:tc>
        <w:tc>
          <w:tcPr>
            <w:tcW w:w="616" w:type="pct"/>
            <w:vAlign w:val="center"/>
          </w:tcPr>
          <w:p w14:paraId="1B12A8DF">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调价管理</w:t>
            </w:r>
          </w:p>
        </w:tc>
        <w:tc>
          <w:tcPr>
            <w:tcW w:w="429" w:type="pct"/>
            <w:vAlign w:val="center"/>
          </w:tcPr>
          <w:p w14:paraId="56EF1392">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3039" w:type="pct"/>
            <w:vAlign w:val="center"/>
          </w:tcPr>
          <w:p w14:paraId="3E8EC984">
            <w:pPr>
              <w:widowControl/>
              <w:spacing w:line="240" w:lineRule="auto"/>
              <w:jc w:val="left"/>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对所有物品的销售单价进行管理，支持按类别或物品进行价格调整设置，可选择固定金额或按比例调价，价格调整支持按品类调整和按单个产品调整双重叠加，满足不同的价格调整需求</w:t>
            </w:r>
          </w:p>
        </w:tc>
        <w:tc>
          <w:tcPr>
            <w:tcW w:w="571" w:type="pct"/>
            <w:vAlign w:val="center"/>
          </w:tcPr>
          <w:p w14:paraId="6A8BC303">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521AE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43" w:type="pct"/>
            <w:vAlign w:val="center"/>
          </w:tcPr>
          <w:p w14:paraId="148C3516">
            <w:pPr>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5</w:t>
            </w:r>
          </w:p>
        </w:tc>
        <w:tc>
          <w:tcPr>
            <w:tcW w:w="616" w:type="pct"/>
            <w:vAlign w:val="center"/>
          </w:tcPr>
          <w:p w14:paraId="44570F03">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验收操作</w:t>
            </w:r>
          </w:p>
        </w:tc>
        <w:tc>
          <w:tcPr>
            <w:tcW w:w="429" w:type="pct"/>
            <w:vAlign w:val="center"/>
          </w:tcPr>
          <w:p w14:paraId="3A518A34">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3039" w:type="pct"/>
            <w:vAlign w:val="center"/>
          </w:tcPr>
          <w:p w14:paraId="11388B0B">
            <w:pPr>
              <w:widowControl/>
              <w:spacing w:line="240" w:lineRule="auto"/>
              <w:jc w:val="left"/>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支持分批操作，满足食材分批送达的验收需求，确保验收的准确性；支持送货单转换生成入库单；支持移动端扫码验收的功能</w:t>
            </w:r>
          </w:p>
        </w:tc>
        <w:tc>
          <w:tcPr>
            <w:tcW w:w="571" w:type="pct"/>
            <w:vAlign w:val="center"/>
          </w:tcPr>
          <w:p w14:paraId="198B531C">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350BC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43" w:type="pct"/>
            <w:vAlign w:val="center"/>
          </w:tcPr>
          <w:p w14:paraId="52C2443C">
            <w:pPr>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6</w:t>
            </w:r>
          </w:p>
        </w:tc>
        <w:tc>
          <w:tcPr>
            <w:tcW w:w="616" w:type="pct"/>
            <w:vAlign w:val="center"/>
          </w:tcPr>
          <w:p w14:paraId="35FFFC96">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供应商注册</w:t>
            </w:r>
          </w:p>
        </w:tc>
        <w:tc>
          <w:tcPr>
            <w:tcW w:w="429" w:type="pct"/>
            <w:vAlign w:val="center"/>
          </w:tcPr>
          <w:p w14:paraId="6AE26542">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3039" w:type="pct"/>
            <w:vAlign w:val="center"/>
          </w:tcPr>
          <w:p w14:paraId="797C419B">
            <w:pPr>
              <w:widowControl/>
              <w:spacing w:line="240" w:lineRule="auto"/>
              <w:jc w:val="left"/>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需提供供应商端，供应商可自行在系统注册，须填写相关必要信息后提交学校进行审核。审核通过后，供应商可登陆系统，根据学校开通的权限进行业务的操作和办理。系统支持学校邀请注册，注册时须得到系统的邀请码方可注册，不得随意注册。供应商根据类别的不同，需要上传修改自己的信息和证照</w:t>
            </w:r>
          </w:p>
        </w:tc>
        <w:tc>
          <w:tcPr>
            <w:tcW w:w="571" w:type="pct"/>
            <w:vAlign w:val="center"/>
          </w:tcPr>
          <w:p w14:paraId="68DFE3EF">
            <w:pPr>
              <w:widowControl/>
              <w:spacing w:line="24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bl>
    <w:p w14:paraId="67506606">
      <w:pPr>
        <w:widowControl/>
        <w:shd w:val="clear" w:color="auto" w:fill="FFFFFF"/>
        <w:spacing w:line="360" w:lineRule="auto"/>
        <w:ind w:left="0" w:leftChars="0" w:firstLine="0" w:firstLineChars="0"/>
        <w:jc w:val="left"/>
        <w:rPr>
          <w:rFonts w:hint="eastAsia" w:ascii="Times New Roman" w:hAnsi="Times New Roman" w:eastAsia="方正兰亭黑简体" w:cs="Times New Roman"/>
          <w:b/>
          <w:bCs/>
          <w:color w:val="auto"/>
          <w:sz w:val="22"/>
          <w:szCs w:val="22"/>
          <w:highlight w:val="none"/>
          <w:lang w:val="en-US" w:eastAsia="zh-CN"/>
        </w:rPr>
      </w:pPr>
    </w:p>
    <w:p w14:paraId="0B309400">
      <w:pPr>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三、其他要求</w:t>
      </w:r>
    </w:p>
    <w:p w14:paraId="76625914">
      <w:pPr>
        <w:numPr>
          <w:ilvl w:val="0"/>
          <w:numId w:val="0"/>
        </w:numPr>
        <w:rPr>
          <w:rFonts w:hint="eastAsia" w:ascii="微软雅黑" w:hAnsi="微软雅黑" w:eastAsia="微软雅黑" w:cs="微软雅黑"/>
          <w:color w:val="auto"/>
          <w:kern w:val="2"/>
          <w:sz w:val="22"/>
          <w:szCs w:val="22"/>
          <w:highlight w:val="none"/>
          <w:lang w:val="en-US" w:eastAsia="zh-CN" w:bidi="ar-SA"/>
        </w:rPr>
      </w:pPr>
      <w:r>
        <w:rPr>
          <w:rFonts w:hint="eastAsia" w:ascii="微软雅黑" w:hAnsi="微软雅黑" w:eastAsia="微软雅黑" w:cs="微软雅黑"/>
          <w:color w:val="auto"/>
          <w:kern w:val="2"/>
          <w:sz w:val="22"/>
          <w:szCs w:val="22"/>
          <w:highlight w:val="none"/>
          <w:lang w:val="en-US" w:eastAsia="zh-CN" w:bidi="ar-SA"/>
        </w:rPr>
        <w:t>1、售后服务标准：</w:t>
      </w:r>
    </w:p>
    <w:p w14:paraId="3CF694C7">
      <w:pPr>
        <w:numPr>
          <w:ilvl w:val="0"/>
          <w:numId w:val="0"/>
        </w:numPr>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en-US" w:eastAsia="zh-CN" w:bidi="ar-SA"/>
        </w:rPr>
        <w:t>1）供</w:t>
      </w:r>
      <w:r>
        <w:rPr>
          <w:rFonts w:hint="eastAsia" w:ascii="微软雅黑" w:hAnsi="微软雅黑" w:eastAsia="微软雅黑" w:cs="微软雅黑"/>
          <w:color w:val="auto"/>
          <w:kern w:val="2"/>
          <w:sz w:val="22"/>
          <w:szCs w:val="22"/>
          <w:highlight w:val="none"/>
          <w:lang w:val="zh-CN" w:eastAsia="zh-CN" w:bidi="ar-SA"/>
        </w:rPr>
        <w:t>应商支持7*24小时技术咨询；</w:t>
      </w:r>
    </w:p>
    <w:p w14:paraId="7639B1A6">
      <w:pPr>
        <w:numPr>
          <w:ilvl w:val="0"/>
          <w:numId w:val="0"/>
        </w:numPr>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zh-CN" w:eastAsia="zh-CN" w:bidi="ar-SA"/>
        </w:rPr>
        <w:t>2</w:t>
      </w:r>
      <w:r>
        <w:rPr>
          <w:rFonts w:hint="eastAsia" w:ascii="微软雅黑" w:hAnsi="微软雅黑" w:eastAsia="微软雅黑" w:cs="微软雅黑"/>
          <w:color w:val="auto"/>
          <w:kern w:val="2"/>
          <w:sz w:val="22"/>
          <w:szCs w:val="22"/>
          <w:highlight w:val="none"/>
          <w:lang w:val="en-US" w:eastAsia="zh-CN" w:bidi="ar-SA"/>
        </w:rPr>
        <w:t>）</w:t>
      </w:r>
      <w:r>
        <w:rPr>
          <w:rFonts w:hint="eastAsia" w:ascii="微软雅黑" w:hAnsi="微软雅黑" w:eastAsia="微软雅黑" w:cs="微软雅黑"/>
          <w:color w:val="auto"/>
          <w:kern w:val="2"/>
          <w:sz w:val="22"/>
          <w:szCs w:val="22"/>
          <w:highlight w:val="none"/>
          <w:lang w:val="zh-CN" w:eastAsia="zh-CN" w:bidi="ar-SA"/>
        </w:rPr>
        <w:t>供应商需在接到采购单位通知后派遣</w:t>
      </w:r>
      <w:r>
        <w:rPr>
          <w:rFonts w:hint="eastAsia" w:ascii="微软雅黑" w:hAnsi="微软雅黑" w:eastAsia="微软雅黑" w:cs="微软雅黑"/>
          <w:color w:val="auto"/>
          <w:kern w:val="2"/>
          <w:sz w:val="22"/>
          <w:szCs w:val="22"/>
          <w:highlight w:val="none"/>
          <w:lang w:val="en-US" w:eastAsia="zh-CN" w:bidi="ar-SA"/>
        </w:rPr>
        <w:t>服务</w:t>
      </w:r>
      <w:r>
        <w:rPr>
          <w:rFonts w:hint="eastAsia" w:ascii="微软雅黑" w:hAnsi="微软雅黑" w:eastAsia="微软雅黑" w:cs="微软雅黑"/>
          <w:color w:val="auto"/>
          <w:kern w:val="2"/>
          <w:sz w:val="22"/>
          <w:szCs w:val="22"/>
          <w:highlight w:val="none"/>
          <w:lang w:val="zh-CN" w:eastAsia="zh-CN" w:bidi="ar-SA"/>
        </w:rPr>
        <w:t>人员到校解决，</w:t>
      </w:r>
      <w:r>
        <w:rPr>
          <w:rFonts w:hint="eastAsia" w:ascii="微软雅黑" w:hAnsi="微软雅黑" w:eastAsia="微软雅黑" w:cs="微软雅黑"/>
          <w:color w:val="auto"/>
          <w:kern w:val="2"/>
          <w:sz w:val="22"/>
          <w:szCs w:val="22"/>
          <w:highlight w:val="none"/>
          <w:lang w:val="en-US" w:eastAsia="zh-CN" w:bidi="ar-SA"/>
        </w:rPr>
        <w:t>确保2小时内到校，24小时内排除故障；</w:t>
      </w:r>
    </w:p>
    <w:p w14:paraId="6FDCE5B0">
      <w:pPr>
        <w:numPr>
          <w:ilvl w:val="0"/>
          <w:numId w:val="0"/>
        </w:numPr>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zh-CN" w:eastAsia="zh-CN" w:bidi="ar-SA"/>
        </w:rPr>
        <w:t>3</w:t>
      </w:r>
      <w:r>
        <w:rPr>
          <w:rFonts w:hint="eastAsia" w:ascii="微软雅黑" w:hAnsi="微软雅黑" w:eastAsia="微软雅黑" w:cs="微软雅黑"/>
          <w:color w:val="auto"/>
          <w:kern w:val="2"/>
          <w:sz w:val="22"/>
          <w:szCs w:val="22"/>
          <w:highlight w:val="none"/>
          <w:lang w:val="en-US" w:eastAsia="zh-CN" w:bidi="ar-SA"/>
        </w:rPr>
        <w:t>）</w:t>
      </w:r>
      <w:r>
        <w:rPr>
          <w:rFonts w:hint="eastAsia" w:ascii="微软雅黑" w:hAnsi="微软雅黑" w:eastAsia="微软雅黑" w:cs="微软雅黑"/>
          <w:color w:val="auto"/>
          <w:kern w:val="2"/>
          <w:sz w:val="22"/>
          <w:szCs w:val="22"/>
          <w:highlight w:val="none"/>
          <w:lang w:val="zh-CN" w:eastAsia="zh-CN" w:bidi="ar-SA"/>
        </w:rPr>
        <w:t>具备本地服务团队；</w:t>
      </w:r>
    </w:p>
    <w:p w14:paraId="0435A933">
      <w:pPr>
        <w:numPr>
          <w:ilvl w:val="0"/>
          <w:numId w:val="0"/>
        </w:numPr>
        <w:rPr>
          <w:rFonts w:hint="default" w:ascii="微软雅黑" w:hAnsi="微软雅黑" w:eastAsia="微软雅黑" w:cs="微软雅黑"/>
          <w:color w:val="auto"/>
          <w:kern w:val="2"/>
          <w:sz w:val="22"/>
          <w:szCs w:val="22"/>
          <w:highlight w:val="none"/>
          <w:lang w:val="en-US" w:eastAsia="zh-CN" w:bidi="ar-SA"/>
        </w:rPr>
      </w:pPr>
      <w:r>
        <w:rPr>
          <w:rFonts w:hint="eastAsia" w:ascii="微软雅黑" w:hAnsi="微软雅黑" w:eastAsia="微软雅黑" w:cs="微软雅黑"/>
          <w:color w:val="auto"/>
          <w:kern w:val="2"/>
          <w:sz w:val="22"/>
          <w:szCs w:val="22"/>
          <w:highlight w:val="none"/>
          <w:lang w:val="en-US" w:eastAsia="zh-CN" w:bidi="ar-SA"/>
        </w:rPr>
        <w:t>2、履约验收：</w:t>
      </w:r>
    </w:p>
    <w:p w14:paraId="565D1327">
      <w:pPr>
        <w:numPr>
          <w:ilvl w:val="0"/>
          <w:numId w:val="0"/>
        </w:numPr>
        <w:ind w:firstLine="440" w:firstLineChars="200"/>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zh-CN" w:eastAsia="zh-CN" w:bidi="ar-SA"/>
        </w:rPr>
        <w:t>供应商应按服务要求指派专业技术人员完成各项服务，保证系统正常运行，并提供验收文档，验收文档包括合同、使用说明书等材料。标准如下：</w:t>
      </w:r>
    </w:p>
    <w:p w14:paraId="35523B9C">
      <w:pPr>
        <w:numPr>
          <w:ilvl w:val="0"/>
          <w:numId w:val="0"/>
        </w:numPr>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zh-CN" w:eastAsia="zh-CN" w:bidi="ar-SA"/>
        </w:rPr>
        <w:t>1</w:t>
      </w:r>
      <w:r>
        <w:rPr>
          <w:rFonts w:hint="eastAsia" w:ascii="微软雅黑" w:hAnsi="微软雅黑" w:eastAsia="微软雅黑" w:cs="微软雅黑"/>
          <w:color w:val="auto"/>
          <w:kern w:val="2"/>
          <w:sz w:val="22"/>
          <w:szCs w:val="22"/>
          <w:highlight w:val="none"/>
          <w:lang w:val="en-US" w:eastAsia="zh-CN" w:bidi="ar-SA"/>
        </w:rPr>
        <w:t>）</w:t>
      </w:r>
      <w:r>
        <w:rPr>
          <w:rFonts w:hint="eastAsia" w:ascii="微软雅黑" w:hAnsi="微软雅黑" w:eastAsia="微软雅黑" w:cs="微软雅黑"/>
          <w:color w:val="auto"/>
          <w:kern w:val="2"/>
          <w:sz w:val="22"/>
          <w:szCs w:val="22"/>
          <w:highlight w:val="none"/>
          <w:lang w:val="zh-CN" w:eastAsia="zh-CN" w:bidi="ar-SA"/>
        </w:rPr>
        <w:t>供应商应指派具有丰富项目技术经验的专人担任项目实施负责人对项目实施负责，保障项目的实施进度和质量。</w:t>
      </w:r>
    </w:p>
    <w:p w14:paraId="3639024B">
      <w:pPr>
        <w:numPr>
          <w:ilvl w:val="0"/>
          <w:numId w:val="0"/>
        </w:numPr>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zh-CN" w:eastAsia="zh-CN" w:bidi="ar-SA"/>
        </w:rPr>
        <w:t>2</w:t>
      </w:r>
      <w:r>
        <w:rPr>
          <w:rFonts w:hint="eastAsia" w:ascii="微软雅黑" w:hAnsi="微软雅黑" w:eastAsia="微软雅黑" w:cs="微软雅黑"/>
          <w:color w:val="auto"/>
          <w:kern w:val="2"/>
          <w:sz w:val="22"/>
          <w:szCs w:val="22"/>
          <w:highlight w:val="none"/>
          <w:lang w:val="en-US" w:eastAsia="zh-CN" w:bidi="ar-SA"/>
        </w:rPr>
        <w:t>）</w:t>
      </w:r>
      <w:r>
        <w:rPr>
          <w:rFonts w:hint="eastAsia" w:ascii="微软雅黑" w:hAnsi="微软雅黑" w:eastAsia="微软雅黑" w:cs="微软雅黑"/>
          <w:color w:val="auto"/>
          <w:kern w:val="2"/>
          <w:sz w:val="22"/>
          <w:szCs w:val="22"/>
          <w:highlight w:val="none"/>
          <w:lang w:val="zh-CN" w:eastAsia="zh-CN" w:bidi="ar-SA"/>
        </w:rPr>
        <w:t>供应商提供系统软件部署、调试、免费培训等服务，确保软件正常运行，各产品功能指标达到技术要求，能完全满足采购方的需求。</w:t>
      </w:r>
    </w:p>
    <w:p w14:paraId="36EDD946">
      <w:pPr>
        <w:numPr>
          <w:ilvl w:val="0"/>
          <w:numId w:val="0"/>
        </w:numPr>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zh-CN" w:eastAsia="zh-CN" w:bidi="ar-SA"/>
        </w:rPr>
        <w:t>3</w:t>
      </w:r>
      <w:r>
        <w:rPr>
          <w:rFonts w:hint="eastAsia" w:ascii="微软雅黑" w:hAnsi="微软雅黑" w:eastAsia="微软雅黑" w:cs="微软雅黑"/>
          <w:color w:val="auto"/>
          <w:kern w:val="2"/>
          <w:sz w:val="22"/>
          <w:szCs w:val="22"/>
          <w:highlight w:val="none"/>
          <w:lang w:val="en-US" w:eastAsia="zh-CN" w:bidi="ar-SA"/>
        </w:rPr>
        <w:t>）</w:t>
      </w:r>
      <w:r>
        <w:rPr>
          <w:rFonts w:hint="eastAsia" w:ascii="微软雅黑" w:hAnsi="微软雅黑" w:eastAsia="微软雅黑" w:cs="微软雅黑"/>
          <w:color w:val="auto"/>
          <w:kern w:val="2"/>
          <w:sz w:val="22"/>
          <w:szCs w:val="22"/>
          <w:highlight w:val="none"/>
          <w:lang w:val="zh-CN" w:eastAsia="zh-CN" w:bidi="ar-SA"/>
        </w:rPr>
        <w:t>验收文档包括：</w:t>
      </w:r>
    </w:p>
    <w:p w14:paraId="599BF11F">
      <w:pPr>
        <w:numPr>
          <w:ilvl w:val="0"/>
          <w:numId w:val="0"/>
        </w:numPr>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en-US" w:eastAsia="zh-CN" w:bidi="ar-SA"/>
        </w:rPr>
        <w:t>a</w:t>
      </w:r>
      <w:r>
        <w:rPr>
          <w:rFonts w:hint="eastAsia" w:ascii="微软雅黑" w:hAnsi="微软雅黑" w:eastAsia="微软雅黑" w:cs="微软雅黑"/>
          <w:color w:val="auto"/>
          <w:kern w:val="2"/>
          <w:sz w:val="22"/>
          <w:szCs w:val="22"/>
          <w:highlight w:val="none"/>
          <w:lang w:val="zh-CN" w:eastAsia="zh-CN" w:bidi="ar-SA"/>
        </w:rPr>
        <w:t>）软件安装手册、使用手册等资料</w:t>
      </w:r>
    </w:p>
    <w:p w14:paraId="2D641E42">
      <w:pPr>
        <w:numPr>
          <w:ilvl w:val="0"/>
          <w:numId w:val="0"/>
        </w:numPr>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en-US" w:eastAsia="zh-CN" w:bidi="ar-SA"/>
        </w:rPr>
        <w:t>b</w:t>
      </w:r>
      <w:r>
        <w:rPr>
          <w:rFonts w:hint="eastAsia" w:ascii="微软雅黑" w:hAnsi="微软雅黑" w:eastAsia="微软雅黑" w:cs="微软雅黑"/>
          <w:color w:val="auto"/>
          <w:kern w:val="2"/>
          <w:sz w:val="22"/>
          <w:szCs w:val="22"/>
          <w:highlight w:val="none"/>
          <w:lang w:val="zh-CN" w:eastAsia="zh-CN" w:bidi="ar-SA"/>
        </w:rPr>
        <w:t>）培训资料；</w:t>
      </w:r>
    </w:p>
    <w:p w14:paraId="6FA435AA">
      <w:pPr>
        <w:numPr>
          <w:ilvl w:val="0"/>
          <w:numId w:val="0"/>
        </w:numPr>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en-US" w:eastAsia="zh-CN" w:bidi="ar-SA"/>
        </w:rPr>
        <w:t>c</w:t>
      </w:r>
      <w:r>
        <w:rPr>
          <w:rFonts w:hint="eastAsia" w:ascii="微软雅黑" w:hAnsi="微软雅黑" w:eastAsia="微软雅黑" w:cs="微软雅黑"/>
          <w:color w:val="auto"/>
          <w:kern w:val="2"/>
          <w:sz w:val="22"/>
          <w:szCs w:val="22"/>
          <w:highlight w:val="none"/>
          <w:lang w:val="zh-CN" w:eastAsia="zh-CN" w:bidi="ar-SA"/>
        </w:rPr>
        <w:t>）验收报告、培训完成确认文件等。</w:t>
      </w:r>
    </w:p>
    <w:p w14:paraId="1CAD1FF4">
      <w:pPr>
        <w:numPr>
          <w:ilvl w:val="0"/>
          <w:numId w:val="0"/>
        </w:numPr>
        <w:rPr>
          <w:rFonts w:hint="eastAsia" w:ascii="微软雅黑" w:hAnsi="微软雅黑" w:eastAsia="微软雅黑" w:cs="微软雅黑"/>
          <w:color w:val="auto"/>
          <w:kern w:val="2"/>
          <w:sz w:val="22"/>
          <w:szCs w:val="22"/>
          <w:highlight w:val="none"/>
          <w:lang w:val="zh-CN" w:eastAsia="zh-CN" w:bidi="ar-SA"/>
        </w:rPr>
      </w:pPr>
      <w:r>
        <w:rPr>
          <w:rFonts w:hint="eastAsia" w:ascii="微软雅黑" w:hAnsi="微软雅黑" w:eastAsia="微软雅黑" w:cs="微软雅黑"/>
          <w:color w:val="auto"/>
          <w:kern w:val="2"/>
          <w:sz w:val="22"/>
          <w:szCs w:val="22"/>
          <w:highlight w:val="none"/>
          <w:lang w:val="zh-CN" w:eastAsia="zh-CN" w:bidi="ar-SA"/>
        </w:rPr>
        <w:t>项目完成后，供应商提供相应的验收文档，学校按相关规定组织验收。</w:t>
      </w:r>
    </w:p>
    <w:p w14:paraId="16CEC435">
      <w:pPr>
        <w:numPr>
          <w:ilvl w:val="0"/>
          <w:numId w:val="0"/>
        </w:numPr>
        <w:rPr>
          <w:rFonts w:hint="eastAsia" w:ascii="微软雅黑" w:hAnsi="微软雅黑" w:eastAsia="微软雅黑" w:cs="微软雅黑"/>
          <w:color w:val="auto"/>
          <w:kern w:val="2"/>
          <w:sz w:val="22"/>
          <w:szCs w:val="22"/>
          <w:highlight w:val="none"/>
          <w:lang w:val="zh-CN" w:eastAsia="zh-CN" w:bidi="ar-SA"/>
        </w:rPr>
      </w:pPr>
    </w:p>
    <w:p w14:paraId="270F5DF7">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6"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27"/>
        <w:gridCol w:w="719"/>
        <w:gridCol w:w="7232"/>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8" w:type="pct"/>
            <w:vAlign w:val="center"/>
          </w:tcPr>
          <w:p w14:paraId="04667E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2" w:type="pct"/>
            <w:vAlign w:val="center"/>
          </w:tcPr>
          <w:p w14:paraId="6B1AA947">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8" w:type="pct"/>
            <w:vAlign w:val="center"/>
          </w:tcPr>
          <w:p w14:paraId="78DCF4D6">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8" w:type="pct"/>
            <w:vAlign w:val="center"/>
          </w:tcPr>
          <w:p w14:paraId="6E043E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2" w:type="pct"/>
            <w:vAlign w:val="center"/>
          </w:tcPr>
          <w:p w14:paraId="2F6FAA4D">
            <w:pPr>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3638" w:type="pct"/>
            <w:vAlign w:val="center"/>
          </w:tcPr>
          <w:p w14:paraId="69E5170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0分。其他报价单位的报价得分计算公式如下：报价得分＝</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8" w:type="pct"/>
            <w:vAlign w:val="center"/>
          </w:tcPr>
          <w:p w14:paraId="7AF339F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2" w:type="pct"/>
            <w:vAlign w:val="center"/>
          </w:tcPr>
          <w:p w14:paraId="3557659E">
            <w:pPr>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9</w:t>
            </w:r>
          </w:p>
        </w:tc>
        <w:tc>
          <w:tcPr>
            <w:tcW w:w="3638" w:type="pct"/>
            <w:vAlign w:val="center"/>
          </w:tcPr>
          <w:p w14:paraId="74E23610">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月1日起至今）</w:t>
            </w:r>
            <w:r>
              <w:rPr>
                <w:rFonts w:hint="eastAsia" w:ascii="方正兰亭黑简体" w:hAnsi="方正兰亭黑简体" w:eastAsia="方正兰亭黑简体" w:cs="方正兰亭黑简体"/>
                <w:color w:val="auto"/>
                <w:sz w:val="20"/>
                <w:szCs w:val="20"/>
                <w:highlight w:val="none"/>
                <w:lang w:val="en-US" w:eastAsia="zh-CN"/>
              </w:rPr>
              <w:t>类似高校相关</w:t>
            </w:r>
            <w:r>
              <w:rPr>
                <w:rFonts w:hint="eastAsia" w:ascii="方正兰亭黑简体" w:hAnsi="方正兰亭黑简体" w:eastAsia="方正兰亭黑简体" w:cs="方正兰亭黑简体"/>
                <w:color w:val="auto"/>
                <w:sz w:val="20"/>
                <w:szCs w:val="20"/>
                <w:highlight w:val="none"/>
              </w:rPr>
              <w:t>业绩案例。（每提供1个得</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分；最高得</w:t>
            </w:r>
            <w:r>
              <w:rPr>
                <w:rFonts w:hint="eastAsia" w:ascii="方正兰亭黑简体" w:hAnsi="方正兰亭黑简体" w:eastAsia="方正兰亭黑简体" w:cs="方正兰亭黑简体"/>
                <w:color w:val="auto"/>
                <w:sz w:val="20"/>
                <w:szCs w:val="20"/>
                <w:highlight w:val="none"/>
                <w:lang w:val="en-US" w:eastAsia="zh-CN"/>
              </w:rPr>
              <w:t>9</w:t>
            </w:r>
            <w:r>
              <w:rPr>
                <w:rFonts w:hint="eastAsia" w:ascii="方正兰亭黑简体" w:hAnsi="方正兰亭黑简体" w:eastAsia="方正兰亭黑简体" w:cs="方正兰亭黑简体"/>
                <w:color w:val="auto"/>
                <w:sz w:val="20"/>
                <w:szCs w:val="20"/>
                <w:highlight w:val="none"/>
              </w:rPr>
              <w:t>分）注：需提供相关业绩的合同复印件，否则将不予认可。</w:t>
            </w:r>
          </w:p>
        </w:tc>
      </w:tr>
      <w:tr w14:paraId="0609E35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681B9EBA">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668" w:type="pct"/>
            <w:vAlign w:val="center"/>
          </w:tcPr>
          <w:p w14:paraId="32F06AE9">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认证情况响应</w:t>
            </w:r>
          </w:p>
          <w:p w14:paraId="05B94BDB">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（客观分）</w:t>
            </w:r>
          </w:p>
        </w:tc>
        <w:tc>
          <w:tcPr>
            <w:tcW w:w="362" w:type="pct"/>
            <w:shd w:val="clear" w:color="auto" w:fill="auto"/>
            <w:vAlign w:val="center"/>
          </w:tcPr>
          <w:p w14:paraId="61B814A0">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3638" w:type="pct"/>
            <w:vAlign w:val="center"/>
          </w:tcPr>
          <w:p w14:paraId="66BBF055">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提供有效的ISO9001质量体系认证证书得2分；未提供的得0分。</w:t>
            </w:r>
          </w:p>
        </w:tc>
      </w:tr>
      <w:tr w14:paraId="66FF6B5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460CF96">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668" w:type="pct"/>
            <w:vAlign w:val="center"/>
          </w:tcPr>
          <w:p w14:paraId="079B261D">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软件著作权证书响应</w:t>
            </w:r>
          </w:p>
          <w:p w14:paraId="03554C81">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（客观分）</w:t>
            </w:r>
          </w:p>
        </w:tc>
        <w:tc>
          <w:tcPr>
            <w:tcW w:w="362" w:type="pct"/>
            <w:shd w:val="clear" w:color="auto" w:fill="auto"/>
            <w:vAlign w:val="center"/>
          </w:tcPr>
          <w:p w14:paraId="392B12BD">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3638" w:type="pct"/>
            <w:vAlign w:val="center"/>
          </w:tcPr>
          <w:p w14:paraId="0238E2BD">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提供与本项目相关的软件著作权证书（复印件加盖公章）的得2分；未提供或证书与项目无关的得0分。</w:t>
            </w:r>
          </w:p>
        </w:tc>
      </w:tr>
      <w:tr w14:paraId="39AA564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277EFC2">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668" w:type="pct"/>
            <w:vAlign w:val="center"/>
          </w:tcPr>
          <w:p w14:paraId="61926A05">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质保期和供货期响应</w:t>
            </w:r>
          </w:p>
          <w:p w14:paraId="7308F20B">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（客观分）</w:t>
            </w:r>
          </w:p>
        </w:tc>
        <w:tc>
          <w:tcPr>
            <w:tcW w:w="362" w:type="pct"/>
            <w:shd w:val="clear" w:color="auto" w:fill="auto"/>
            <w:vAlign w:val="center"/>
          </w:tcPr>
          <w:p w14:paraId="38345C75">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3638" w:type="pct"/>
            <w:vAlign w:val="center"/>
          </w:tcPr>
          <w:p w14:paraId="3423CE35">
            <w:pPr>
              <w:jc w:val="left"/>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提供1年质保服务，并且供货期不超过60天，提供承诺函得2分；未提供承诺函得0分。</w:t>
            </w:r>
          </w:p>
        </w:tc>
      </w:tr>
      <w:tr w14:paraId="4E10D46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57ECDE57">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6</w:t>
            </w:r>
          </w:p>
        </w:tc>
        <w:tc>
          <w:tcPr>
            <w:tcW w:w="668" w:type="pct"/>
            <w:vAlign w:val="center"/>
          </w:tcPr>
          <w:p w14:paraId="2FACD013">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技术方案响应</w:t>
            </w:r>
          </w:p>
          <w:p w14:paraId="71C6C662">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（主观分）</w:t>
            </w:r>
          </w:p>
        </w:tc>
        <w:tc>
          <w:tcPr>
            <w:tcW w:w="362" w:type="pct"/>
            <w:shd w:val="clear" w:color="auto" w:fill="auto"/>
            <w:vAlign w:val="center"/>
          </w:tcPr>
          <w:p w14:paraId="39379C00">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16</w:t>
            </w:r>
          </w:p>
        </w:tc>
        <w:tc>
          <w:tcPr>
            <w:tcW w:w="3638" w:type="pct"/>
            <w:vAlign w:val="center"/>
          </w:tcPr>
          <w:p w14:paraId="7F8108C9">
            <w:pPr>
              <w:jc w:val="left"/>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1.供应商需要提供“采购内容”各项的功能介绍资料，包括但不限于：供应商管理、采供仓储管理、供应商端、验收设备；</w:t>
            </w:r>
            <w:r>
              <w:rPr>
                <w:rFonts w:hint="eastAsia" w:ascii="方正兰亭黑简体" w:hAnsi="方正兰亭黑简体" w:eastAsia="方正兰亭黑简体" w:cs="方正兰亭黑简体"/>
                <w:color w:val="auto"/>
                <w:sz w:val="20"/>
                <w:szCs w:val="20"/>
                <w:highlight w:val="none"/>
                <w:lang w:val="en-US" w:eastAsia="zh-CN"/>
              </w:rPr>
              <w:br w:type="textWrapping"/>
            </w:r>
            <w:r>
              <w:rPr>
                <w:rFonts w:hint="eastAsia" w:ascii="方正兰亭黑简体" w:hAnsi="方正兰亭黑简体" w:eastAsia="方正兰亭黑简体" w:cs="方正兰亭黑简体"/>
                <w:color w:val="auto"/>
                <w:sz w:val="20"/>
                <w:szCs w:val="20"/>
                <w:highlight w:val="none"/>
                <w:lang w:val="en-US" w:eastAsia="zh-CN"/>
              </w:rPr>
              <w:t>2.针对以上4项内容，技术方案内容完整、详尽，完全满足要求的得16分，每有一项内容缺失或与本项目无关的扣4分；每有一项内容与采购内容符合性欠佳的或有较少缺陷的扣2分</w:t>
            </w:r>
          </w:p>
        </w:tc>
      </w:tr>
      <w:tr w14:paraId="42D586C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62289349">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7</w:t>
            </w:r>
          </w:p>
        </w:tc>
        <w:tc>
          <w:tcPr>
            <w:tcW w:w="668" w:type="pct"/>
            <w:vAlign w:val="center"/>
          </w:tcPr>
          <w:p w14:paraId="452AE2CA">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核心指标响应</w:t>
            </w:r>
          </w:p>
          <w:p w14:paraId="16B0FCED">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（主观分）</w:t>
            </w:r>
          </w:p>
        </w:tc>
        <w:tc>
          <w:tcPr>
            <w:tcW w:w="362" w:type="pct"/>
            <w:shd w:val="clear" w:color="auto" w:fill="auto"/>
            <w:vAlign w:val="center"/>
          </w:tcPr>
          <w:p w14:paraId="6CC5FE95">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24</w:t>
            </w:r>
          </w:p>
        </w:tc>
        <w:tc>
          <w:tcPr>
            <w:tcW w:w="3638" w:type="pct"/>
            <w:vAlign w:val="center"/>
          </w:tcPr>
          <w:p w14:paraId="21547CF8">
            <w:pPr>
              <w:jc w:val="left"/>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1.供应商需要提供“核心指标”的操作界面截图和文字说明作为佐证资料；</w:t>
            </w:r>
          </w:p>
          <w:p w14:paraId="01C8B623">
            <w:pPr>
              <w:jc w:val="left"/>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提供的截图清晰且文字说明详细、逻辑清晰，每个单项最高得4分；提供的截图不清晰、文字说明逻辑不清晰，每个最高得2分；未提供截图、直接复制需求说明文字作为响应材料的，视为没有实质性响应，将被判定为无效响应，得0分。</w:t>
            </w:r>
          </w:p>
        </w:tc>
      </w:tr>
      <w:tr w14:paraId="1B69E1F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350600F4">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8</w:t>
            </w:r>
          </w:p>
        </w:tc>
        <w:tc>
          <w:tcPr>
            <w:tcW w:w="668" w:type="pct"/>
            <w:shd w:val="clear" w:color="auto" w:fill="auto"/>
            <w:vAlign w:val="center"/>
          </w:tcPr>
          <w:p w14:paraId="7D89FE7D">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功能演示响应</w:t>
            </w:r>
          </w:p>
          <w:p w14:paraId="77123D22">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（主观分）</w:t>
            </w:r>
          </w:p>
        </w:tc>
        <w:tc>
          <w:tcPr>
            <w:tcW w:w="362" w:type="pct"/>
            <w:shd w:val="clear" w:color="auto" w:fill="auto"/>
            <w:vAlign w:val="center"/>
          </w:tcPr>
          <w:p w14:paraId="052A4E7D">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24</w:t>
            </w:r>
          </w:p>
        </w:tc>
        <w:tc>
          <w:tcPr>
            <w:tcW w:w="3638" w:type="pct"/>
            <w:shd w:val="clear" w:color="auto" w:fill="auto"/>
            <w:vAlign w:val="center"/>
          </w:tcPr>
          <w:p w14:paraId="72C9A612">
            <w:pPr>
              <w:jc w:val="left"/>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1.响应供应商需对功能需求中的“核心指标”项目录制演示视频，投标响应单位自行准备硬件设备、软件、网络环境等，演示视频格式为*.MP4或*.AVI，每个供应商的产品演示时间不超过30分钟</w:t>
            </w:r>
            <w:r>
              <w:rPr>
                <w:rFonts w:hint="eastAsia" w:ascii="方正兰亭黑简体" w:hAnsi="方正兰亭黑简体" w:eastAsia="方正兰亭黑简体" w:cs="方正兰亭黑简体"/>
                <w:color w:val="auto"/>
                <w:sz w:val="20"/>
                <w:szCs w:val="20"/>
                <w:highlight w:val="none"/>
                <w:lang w:val="en-US" w:eastAsia="zh-CN"/>
              </w:rPr>
              <w:br w:type="textWrapping"/>
            </w:r>
            <w:r>
              <w:rPr>
                <w:rFonts w:hint="eastAsia" w:ascii="方正兰亭黑简体" w:hAnsi="方正兰亭黑简体" w:eastAsia="方正兰亭黑简体" w:cs="方正兰亭黑简体"/>
                <w:color w:val="auto"/>
                <w:sz w:val="20"/>
                <w:szCs w:val="20"/>
                <w:highlight w:val="none"/>
                <w:lang w:val="en-US" w:eastAsia="zh-CN"/>
              </w:rPr>
              <w:t>2.提供“核心指标”的演示视频画面清晰，操作说明步骤详细、逻辑关系清晰，每个最高得4分；演示视频画面不清晰，操作说明逻辑关系不清晰，每个最高得2分；未提供演示视频，得0分。</w:t>
            </w:r>
          </w:p>
        </w:tc>
      </w:tr>
      <w:tr w14:paraId="4ADF6D5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281DCCF3">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9</w:t>
            </w:r>
          </w:p>
        </w:tc>
        <w:tc>
          <w:tcPr>
            <w:tcW w:w="668" w:type="pct"/>
            <w:shd w:val="clear" w:color="auto" w:fill="auto"/>
            <w:vAlign w:val="center"/>
          </w:tcPr>
          <w:p w14:paraId="024F8A94">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服务标准响应</w:t>
            </w:r>
          </w:p>
          <w:p w14:paraId="3079702D">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（主观分）</w:t>
            </w:r>
          </w:p>
        </w:tc>
        <w:tc>
          <w:tcPr>
            <w:tcW w:w="362" w:type="pct"/>
            <w:shd w:val="clear" w:color="auto" w:fill="auto"/>
            <w:vAlign w:val="center"/>
          </w:tcPr>
          <w:p w14:paraId="664897A1">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8</w:t>
            </w:r>
          </w:p>
        </w:tc>
        <w:tc>
          <w:tcPr>
            <w:tcW w:w="3638" w:type="pct"/>
            <w:shd w:val="clear" w:color="auto" w:fill="auto"/>
            <w:vAlign w:val="center"/>
          </w:tcPr>
          <w:p w14:paraId="161E998D">
            <w:pPr>
              <w:jc w:val="left"/>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提供服务承诺函，内容需包含且不限于：</w:t>
            </w:r>
            <w:r>
              <w:rPr>
                <w:rFonts w:hint="eastAsia" w:ascii="方正兰亭黑简体" w:hAnsi="方正兰亭黑简体" w:eastAsia="方正兰亭黑简体" w:cs="方正兰亭黑简体"/>
                <w:color w:val="auto"/>
                <w:sz w:val="20"/>
                <w:szCs w:val="20"/>
                <w:highlight w:val="none"/>
                <w:lang w:val="en-US" w:eastAsia="zh-CN"/>
              </w:rPr>
              <w:br w:type="textWrapping"/>
            </w:r>
            <w:r>
              <w:rPr>
                <w:rFonts w:hint="eastAsia" w:ascii="方正兰亭黑简体" w:hAnsi="方正兰亭黑简体" w:eastAsia="方正兰亭黑简体" w:cs="方正兰亭黑简体"/>
                <w:color w:val="auto"/>
                <w:sz w:val="20"/>
                <w:szCs w:val="20"/>
                <w:highlight w:val="none"/>
                <w:lang w:val="en-US" w:eastAsia="zh-CN"/>
              </w:rPr>
              <w:t>1.供应商支持7*24小时技术咨询，得1分；</w:t>
            </w:r>
            <w:r>
              <w:rPr>
                <w:rFonts w:hint="eastAsia" w:ascii="方正兰亭黑简体" w:hAnsi="方正兰亭黑简体" w:eastAsia="方正兰亭黑简体" w:cs="方正兰亭黑简体"/>
                <w:color w:val="auto"/>
                <w:sz w:val="20"/>
                <w:szCs w:val="20"/>
                <w:highlight w:val="none"/>
                <w:lang w:val="en-US" w:eastAsia="zh-CN"/>
              </w:rPr>
              <w:br w:type="textWrapping"/>
            </w:r>
            <w:r>
              <w:rPr>
                <w:rFonts w:hint="eastAsia" w:ascii="方正兰亭黑简体" w:hAnsi="方正兰亭黑简体" w:eastAsia="方正兰亭黑简体" w:cs="方正兰亭黑简体"/>
                <w:color w:val="auto"/>
                <w:sz w:val="20"/>
                <w:szCs w:val="20"/>
                <w:highlight w:val="none"/>
                <w:lang w:val="en-US" w:eastAsia="zh-CN"/>
              </w:rPr>
              <w:t>2.供应商需在接到采购单位通知后派遣服务人员到校解决，确保2小时内到校，24小时内排除故障（证明文件需提供经营单位有效期内的房屋所有权证或场地租赁合同，以及经营单位地址至学校各校区的导航时间截图）；提供响应资料且通过审核得4分；未提供响应资料或未通过审核得0分；</w:t>
            </w:r>
            <w:r>
              <w:rPr>
                <w:rFonts w:hint="eastAsia" w:ascii="方正兰亭黑简体" w:hAnsi="方正兰亭黑简体" w:eastAsia="方正兰亭黑简体" w:cs="方正兰亭黑简体"/>
                <w:color w:val="auto"/>
                <w:sz w:val="20"/>
                <w:szCs w:val="20"/>
                <w:highlight w:val="none"/>
                <w:lang w:val="en-US" w:eastAsia="zh-CN"/>
              </w:rPr>
              <w:br w:type="textWrapping"/>
            </w:r>
            <w:r>
              <w:rPr>
                <w:rFonts w:hint="eastAsia" w:ascii="方正兰亭黑简体" w:hAnsi="方正兰亭黑简体" w:eastAsia="方正兰亭黑简体" w:cs="方正兰亭黑简体"/>
                <w:color w:val="auto"/>
                <w:sz w:val="20"/>
                <w:szCs w:val="20"/>
                <w:highlight w:val="none"/>
                <w:lang w:val="en-US" w:eastAsia="zh-CN"/>
              </w:rPr>
              <w:t>3.具备本地服务团队，提供3人及以上团队成员社保缴纳证明资料等有效文件；提供响应资料且通过审核得3分；未提供响应资料或未通过审核得0分；</w:t>
            </w:r>
          </w:p>
        </w:tc>
      </w:tr>
      <w:tr w14:paraId="7F8693B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1225526">
            <w:pPr>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668" w:type="pct"/>
            <w:shd w:val="clear" w:color="auto" w:fill="auto"/>
            <w:vAlign w:val="center"/>
          </w:tcPr>
          <w:p w14:paraId="37A45CEB">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信息安全管理响应</w:t>
            </w:r>
          </w:p>
          <w:p w14:paraId="0BD934B0">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（客观分）</w:t>
            </w:r>
          </w:p>
        </w:tc>
        <w:tc>
          <w:tcPr>
            <w:tcW w:w="362" w:type="pct"/>
            <w:shd w:val="clear" w:color="auto" w:fill="auto"/>
            <w:vAlign w:val="center"/>
          </w:tcPr>
          <w:p w14:paraId="5741A07C">
            <w:pPr>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3638" w:type="pct"/>
            <w:shd w:val="clear" w:color="auto" w:fill="auto"/>
            <w:vAlign w:val="center"/>
          </w:tcPr>
          <w:p w14:paraId="71AF0D97">
            <w:pPr>
              <w:jc w:val="left"/>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1.供应商需严格参照网络安全等级保护二级标准完成安全配置、策略加固、权限管控等合规工作，供应商需承诺配合、完成校方组织的相关测试、整改工作，直至系统完全符合学校的信息安全要求；</w:t>
            </w:r>
            <w:r>
              <w:rPr>
                <w:rFonts w:hint="eastAsia" w:ascii="方正兰亭黑简体" w:hAnsi="方正兰亭黑简体" w:eastAsia="方正兰亭黑简体" w:cs="方正兰亭黑简体"/>
                <w:color w:val="auto"/>
                <w:sz w:val="20"/>
                <w:szCs w:val="20"/>
                <w:highlight w:val="none"/>
                <w:lang w:val="en-US" w:eastAsia="zh-CN"/>
              </w:rPr>
              <w:br w:type="textWrapping"/>
            </w:r>
            <w:r>
              <w:rPr>
                <w:rFonts w:hint="eastAsia" w:ascii="方正兰亭黑简体" w:hAnsi="方正兰亭黑简体" w:eastAsia="方正兰亭黑简体" w:cs="方正兰亭黑简体"/>
                <w:color w:val="auto"/>
                <w:sz w:val="20"/>
                <w:szCs w:val="20"/>
                <w:highlight w:val="none"/>
                <w:lang w:val="en-US" w:eastAsia="zh-CN"/>
              </w:rPr>
              <w:t>2.供应商响应时需提供承诺书为佐证资料，得3分；未提供承诺书，得0分。</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HFBX2026037</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4"/>
        <w:tblW w:w="4997" w:type="pct"/>
        <w:jc w:val="center"/>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autofit"/>
        <w:tblCellMar>
          <w:top w:w="0" w:type="dxa"/>
          <w:left w:w="108" w:type="dxa"/>
          <w:bottom w:w="0" w:type="dxa"/>
          <w:right w:w="108" w:type="dxa"/>
        </w:tblCellMar>
      </w:tblPr>
      <w:tblGrid>
        <w:gridCol w:w="1682"/>
        <w:gridCol w:w="2287"/>
        <w:gridCol w:w="2144"/>
        <w:gridCol w:w="1019"/>
        <w:gridCol w:w="1363"/>
        <w:gridCol w:w="1455"/>
      </w:tblGrid>
      <w:tr w14:paraId="3F6977F6">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624" w:hRule="atLeast"/>
          <w:jc w:val="center"/>
        </w:trPr>
        <w:tc>
          <w:tcPr>
            <w:tcW w:w="845" w:type="pct"/>
            <w:tcBorders>
              <w:bottom w:val="single" w:color="auto" w:sz="4" w:space="0"/>
              <w:right w:val="single" w:color="auto" w:sz="4" w:space="0"/>
            </w:tcBorders>
            <w:shd w:val="clear" w:color="auto" w:fill="auto"/>
            <w:vAlign w:val="center"/>
          </w:tcPr>
          <w:p w14:paraId="77B7D8F3">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sz w:val="24"/>
                <w:szCs w:val="24"/>
                <w:highlight w:val="none"/>
              </w:rPr>
              <w:t>分类</w:t>
            </w:r>
          </w:p>
        </w:tc>
        <w:tc>
          <w:tcPr>
            <w:tcW w:w="1149" w:type="pct"/>
            <w:tcBorders>
              <w:left w:val="nil"/>
              <w:bottom w:val="single" w:color="auto" w:sz="4" w:space="0"/>
              <w:right w:val="single" w:color="auto" w:sz="4" w:space="0"/>
            </w:tcBorders>
            <w:shd w:val="clear" w:color="auto" w:fill="auto"/>
            <w:vAlign w:val="center"/>
          </w:tcPr>
          <w:p w14:paraId="630AE301">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sz w:val="24"/>
                <w:szCs w:val="24"/>
                <w:highlight w:val="none"/>
              </w:rPr>
              <w:t>软硬件名称</w:t>
            </w:r>
          </w:p>
        </w:tc>
        <w:tc>
          <w:tcPr>
            <w:tcW w:w="1077" w:type="pct"/>
            <w:tcBorders>
              <w:left w:val="nil"/>
              <w:bottom w:val="single" w:color="auto" w:sz="4" w:space="0"/>
              <w:right w:val="single" w:color="auto" w:sz="4" w:space="0"/>
            </w:tcBorders>
            <w:shd w:val="clear" w:color="auto" w:fill="auto"/>
            <w:vAlign w:val="center"/>
          </w:tcPr>
          <w:p w14:paraId="33B3799A">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sz w:val="24"/>
                <w:szCs w:val="24"/>
                <w:highlight w:val="none"/>
              </w:rPr>
              <w:t>功能简述</w:t>
            </w:r>
          </w:p>
        </w:tc>
        <w:tc>
          <w:tcPr>
            <w:tcW w:w="512" w:type="pct"/>
            <w:tcBorders>
              <w:left w:val="nil"/>
              <w:bottom w:val="single" w:color="auto" w:sz="4" w:space="0"/>
              <w:right w:val="single" w:color="auto" w:sz="4" w:space="0"/>
            </w:tcBorders>
            <w:shd w:val="clear" w:color="auto" w:fill="auto"/>
            <w:noWrap/>
            <w:vAlign w:val="center"/>
          </w:tcPr>
          <w:p w14:paraId="074CD36E">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sz w:val="24"/>
                <w:szCs w:val="24"/>
                <w:highlight w:val="none"/>
              </w:rPr>
              <w:t>数量</w:t>
            </w:r>
          </w:p>
        </w:tc>
        <w:tc>
          <w:tcPr>
            <w:tcW w:w="683" w:type="pct"/>
            <w:tcBorders>
              <w:left w:val="nil"/>
              <w:bottom w:val="single" w:color="auto" w:sz="4" w:space="0"/>
              <w:right w:val="single" w:color="auto" w:sz="4" w:space="0"/>
            </w:tcBorders>
            <w:shd w:val="clear" w:color="auto" w:fill="auto"/>
            <w:vAlign w:val="center"/>
          </w:tcPr>
          <w:p w14:paraId="2957C534">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sz w:val="24"/>
                <w:szCs w:val="24"/>
                <w:highlight w:val="none"/>
              </w:rPr>
              <w:t>单价</w:t>
            </w:r>
          </w:p>
        </w:tc>
        <w:tc>
          <w:tcPr>
            <w:tcW w:w="731" w:type="pct"/>
            <w:tcBorders>
              <w:left w:val="nil"/>
              <w:bottom w:val="single" w:color="auto" w:sz="4" w:space="0"/>
            </w:tcBorders>
            <w:shd w:val="clear" w:color="auto" w:fill="auto"/>
            <w:noWrap/>
            <w:vAlign w:val="center"/>
          </w:tcPr>
          <w:p w14:paraId="2735361B">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sz w:val="24"/>
                <w:szCs w:val="24"/>
                <w:highlight w:val="none"/>
              </w:rPr>
              <w:t>总价</w:t>
            </w:r>
          </w:p>
        </w:tc>
      </w:tr>
      <w:tr w14:paraId="5DEA249D">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624" w:hRule="atLeast"/>
          <w:jc w:val="center"/>
        </w:trPr>
        <w:tc>
          <w:tcPr>
            <w:tcW w:w="845" w:type="pct"/>
            <w:vMerge w:val="restart"/>
            <w:tcBorders>
              <w:top w:val="single" w:color="auto" w:sz="4" w:space="0"/>
              <w:right w:val="single" w:color="auto" w:sz="4" w:space="0"/>
            </w:tcBorders>
            <w:shd w:val="clear" w:color="auto" w:fill="auto"/>
            <w:vAlign w:val="center"/>
          </w:tcPr>
          <w:p w14:paraId="0E003FB8">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kern w:val="0"/>
                <w:sz w:val="24"/>
                <w:szCs w:val="24"/>
                <w:highlight w:val="none"/>
                <w:lang w:val="en-US" w:eastAsia="zh-CN"/>
              </w:rPr>
              <w:t>食堂原材料采供仓储管理系统</w:t>
            </w:r>
          </w:p>
        </w:tc>
        <w:tc>
          <w:tcPr>
            <w:tcW w:w="1149" w:type="pct"/>
            <w:tcBorders>
              <w:top w:val="single" w:color="auto" w:sz="4" w:space="0"/>
              <w:left w:val="nil"/>
              <w:bottom w:val="single" w:color="auto" w:sz="4" w:space="0"/>
              <w:right w:val="single" w:color="auto" w:sz="4" w:space="0"/>
            </w:tcBorders>
            <w:shd w:val="clear" w:color="auto" w:fill="auto"/>
            <w:vAlign w:val="center"/>
          </w:tcPr>
          <w:p w14:paraId="3A993994">
            <w:pPr>
              <w:widowControl/>
              <w:spacing w:line="240" w:lineRule="auto"/>
              <w:ind w:firstLine="0" w:firstLineChars="0"/>
              <w:jc w:val="center"/>
              <w:rPr>
                <w:rFonts w:hint="eastAsia" w:ascii="微软雅黑" w:hAnsi="微软雅黑" w:eastAsia="微软雅黑" w:cs="微软雅黑"/>
                <w:color w:val="auto"/>
                <w:kern w:val="0"/>
                <w:sz w:val="24"/>
                <w:szCs w:val="24"/>
                <w:highlight w:val="none"/>
                <w:lang w:val="en-US" w:eastAsia="zh-CN"/>
              </w:rPr>
            </w:pPr>
            <w:r>
              <w:rPr>
                <w:rFonts w:hint="eastAsia" w:ascii="微软雅黑" w:hAnsi="微软雅黑" w:eastAsia="微软雅黑" w:cs="微软雅黑"/>
                <w:color w:val="auto"/>
                <w:kern w:val="0"/>
                <w:sz w:val="24"/>
                <w:szCs w:val="24"/>
                <w:highlight w:val="none"/>
              </w:rPr>
              <w:t>供应商管理</w:t>
            </w:r>
          </w:p>
        </w:tc>
        <w:tc>
          <w:tcPr>
            <w:tcW w:w="1077" w:type="pct"/>
            <w:tcBorders>
              <w:top w:val="single" w:color="auto" w:sz="4" w:space="0"/>
              <w:left w:val="nil"/>
              <w:bottom w:val="single" w:color="auto" w:sz="4" w:space="0"/>
              <w:right w:val="single" w:color="auto" w:sz="4" w:space="0"/>
            </w:tcBorders>
            <w:shd w:val="clear" w:color="auto" w:fill="auto"/>
            <w:vAlign w:val="center"/>
          </w:tcPr>
          <w:p w14:paraId="2342C466">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c>
          <w:tcPr>
            <w:tcW w:w="512" w:type="pct"/>
            <w:tcBorders>
              <w:top w:val="single" w:color="auto" w:sz="4" w:space="0"/>
              <w:left w:val="nil"/>
              <w:bottom w:val="single" w:color="auto" w:sz="4" w:space="0"/>
              <w:right w:val="single" w:color="auto" w:sz="4" w:space="0"/>
            </w:tcBorders>
            <w:shd w:val="clear" w:color="auto" w:fill="auto"/>
            <w:noWrap/>
            <w:vAlign w:val="center"/>
          </w:tcPr>
          <w:p w14:paraId="53754A88">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kern w:val="0"/>
                <w:sz w:val="24"/>
                <w:szCs w:val="24"/>
                <w:highlight w:val="none"/>
              </w:rPr>
              <w:t>1</w:t>
            </w:r>
          </w:p>
        </w:tc>
        <w:tc>
          <w:tcPr>
            <w:tcW w:w="683" w:type="pct"/>
            <w:tcBorders>
              <w:top w:val="single" w:color="auto" w:sz="4" w:space="0"/>
              <w:left w:val="nil"/>
              <w:bottom w:val="single" w:color="auto" w:sz="4" w:space="0"/>
              <w:right w:val="single" w:color="auto" w:sz="4" w:space="0"/>
            </w:tcBorders>
            <w:shd w:val="clear" w:color="auto" w:fill="auto"/>
            <w:vAlign w:val="center"/>
          </w:tcPr>
          <w:p w14:paraId="55B91633">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c>
          <w:tcPr>
            <w:tcW w:w="731" w:type="pct"/>
            <w:tcBorders>
              <w:top w:val="single" w:color="auto" w:sz="4" w:space="0"/>
              <w:left w:val="nil"/>
              <w:bottom w:val="single" w:color="auto" w:sz="4" w:space="0"/>
            </w:tcBorders>
            <w:shd w:val="clear" w:color="auto" w:fill="auto"/>
            <w:noWrap/>
            <w:vAlign w:val="center"/>
          </w:tcPr>
          <w:p w14:paraId="389597B7">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r>
      <w:tr w14:paraId="06BFC71F">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624" w:hRule="atLeast"/>
          <w:jc w:val="center"/>
        </w:trPr>
        <w:tc>
          <w:tcPr>
            <w:tcW w:w="845" w:type="pct"/>
            <w:vMerge w:val="continue"/>
            <w:tcBorders>
              <w:right w:val="single" w:color="auto" w:sz="4" w:space="0"/>
            </w:tcBorders>
            <w:vAlign w:val="center"/>
          </w:tcPr>
          <w:p w14:paraId="7A8B92C4">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c>
          <w:tcPr>
            <w:tcW w:w="1149" w:type="pct"/>
            <w:tcBorders>
              <w:top w:val="single" w:color="auto" w:sz="4" w:space="0"/>
              <w:left w:val="nil"/>
              <w:bottom w:val="single" w:color="auto" w:sz="4" w:space="0"/>
              <w:right w:val="single" w:color="auto" w:sz="4" w:space="0"/>
            </w:tcBorders>
            <w:shd w:val="clear" w:color="auto" w:fill="auto"/>
            <w:vAlign w:val="center"/>
          </w:tcPr>
          <w:p w14:paraId="578A7372">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sz w:val="21"/>
                <w:szCs w:val="21"/>
                <w:highlight w:val="none"/>
              </w:rPr>
              <w:t>采供仓储管理</w:t>
            </w:r>
          </w:p>
        </w:tc>
        <w:tc>
          <w:tcPr>
            <w:tcW w:w="1077" w:type="pct"/>
            <w:tcBorders>
              <w:top w:val="single" w:color="auto" w:sz="4" w:space="0"/>
              <w:left w:val="nil"/>
              <w:bottom w:val="single" w:color="auto" w:sz="4" w:space="0"/>
              <w:right w:val="single" w:color="auto" w:sz="4" w:space="0"/>
            </w:tcBorders>
            <w:shd w:val="clear" w:color="auto" w:fill="auto"/>
            <w:vAlign w:val="center"/>
          </w:tcPr>
          <w:p w14:paraId="757BBB32">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c>
          <w:tcPr>
            <w:tcW w:w="512" w:type="pct"/>
            <w:tcBorders>
              <w:top w:val="single" w:color="auto" w:sz="4" w:space="0"/>
              <w:left w:val="nil"/>
              <w:bottom w:val="single" w:color="auto" w:sz="4" w:space="0"/>
              <w:right w:val="single" w:color="auto" w:sz="4" w:space="0"/>
            </w:tcBorders>
            <w:shd w:val="clear" w:color="auto" w:fill="auto"/>
            <w:noWrap/>
            <w:vAlign w:val="center"/>
          </w:tcPr>
          <w:p w14:paraId="26C964C0">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kern w:val="0"/>
                <w:sz w:val="24"/>
                <w:szCs w:val="24"/>
                <w:highlight w:val="none"/>
              </w:rPr>
              <w:t>1</w:t>
            </w:r>
          </w:p>
        </w:tc>
        <w:tc>
          <w:tcPr>
            <w:tcW w:w="683" w:type="pct"/>
            <w:tcBorders>
              <w:top w:val="single" w:color="auto" w:sz="4" w:space="0"/>
              <w:left w:val="nil"/>
              <w:bottom w:val="single" w:color="auto" w:sz="4" w:space="0"/>
              <w:right w:val="single" w:color="auto" w:sz="4" w:space="0"/>
            </w:tcBorders>
            <w:shd w:val="clear" w:color="auto" w:fill="auto"/>
            <w:vAlign w:val="center"/>
          </w:tcPr>
          <w:p w14:paraId="172AEFB2">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c>
          <w:tcPr>
            <w:tcW w:w="731" w:type="pct"/>
            <w:tcBorders>
              <w:top w:val="single" w:color="auto" w:sz="4" w:space="0"/>
              <w:left w:val="nil"/>
              <w:bottom w:val="single" w:color="auto" w:sz="4" w:space="0"/>
            </w:tcBorders>
            <w:shd w:val="clear" w:color="auto" w:fill="auto"/>
            <w:noWrap/>
            <w:vAlign w:val="center"/>
          </w:tcPr>
          <w:p w14:paraId="653A4040">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r>
      <w:tr w14:paraId="7DD064AE">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624" w:hRule="atLeast"/>
          <w:jc w:val="center"/>
        </w:trPr>
        <w:tc>
          <w:tcPr>
            <w:tcW w:w="845" w:type="pct"/>
            <w:vMerge w:val="continue"/>
            <w:tcBorders>
              <w:right w:val="single" w:color="auto" w:sz="4" w:space="0"/>
            </w:tcBorders>
            <w:vAlign w:val="center"/>
          </w:tcPr>
          <w:p w14:paraId="0646AB02">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c>
          <w:tcPr>
            <w:tcW w:w="1149" w:type="pct"/>
            <w:tcBorders>
              <w:top w:val="single" w:color="auto" w:sz="4" w:space="0"/>
              <w:left w:val="nil"/>
              <w:bottom w:val="single" w:color="auto" w:sz="4" w:space="0"/>
              <w:right w:val="single" w:color="auto" w:sz="4" w:space="0"/>
            </w:tcBorders>
            <w:shd w:val="clear" w:color="auto" w:fill="auto"/>
            <w:vAlign w:val="center"/>
          </w:tcPr>
          <w:p w14:paraId="601B2EC9">
            <w:pPr>
              <w:widowControl/>
              <w:spacing w:line="240" w:lineRule="auto"/>
              <w:ind w:firstLine="0" w:firstLineChars="0"/>
              <w:jc w:val="center"/>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sz w:val="21"/>
                <w:szCs w:val="21"/>
                <w:highlight w:val="none"/>
                <w:lang w:val="en-US" w:eastAsia="zh-CN"/>
              </w:rPr>
              <w:t>供应商</w:t>
            </w:r>
            <w:r>
              <w:rPr>
                <w:rFonts w:hint="eastAsia" w:ascii="微软雅黑" w:hAnsi="微软雅黑" w:eastAsia="微软雅黑" w:cs="微软雅黑"/>
                <w:color w:val="auto"/>
                <w:sz w:val="21"/>
                <w:szCs w:val="21"/>
                <w:highlight w:val="none"/>
              </w:rPr>
              <w:t>端</w:t>
            </w:r>
          </w:p>
        </w:tc>
        <w:tc>
          <w:tcPr>
            <w:tcW w:w="1077" w:type="pct"/>
            <w:tcBorders>
              <w:top w:val="single" w:color="auto" w:sz="4" w:space="0"/>
              <w:left w:val="nil"/>
              <w:bottom w:val="single" w:color="auto" w:sz="4" w:space="0"/>
              <w:right w:val="single" w:color="auto" w:sz="4" w:space="0"/>
            </w:tcBorders>
            <w:shd w:val="clear" w:color="auto" w:fill="auto"/>
            <w:vAlign w:val="center"/>
          </w:tcPr>
          <w:p w14:paraId="0DDEC4AB">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c>
          <w:tcPr>
            <w:tcW w:w="512" w:type="pct"/>
            <w:tcBorders>
              <w:top w:val="single" w:color="auto" w:sz="4" w:space="0"/>
              <w:left w:val="nil"/>
              <w:bottom w:val="single" w:color="auto" w:sz="4" w:space="0"/>
              <w:right w:val="single" w:color="auto" w:sz="4" w:space="0"/>
            </w:tcBorders>
            <w:shd w:val="clear" w:color="auto" w:fill="auto"/>
            <w:noWrap/>
            <w:vAlign w:val="center"/>
          </w:tcPr>
          <w:p w14:paraId="362B79F6">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kern w:val="0"/>
                <w:sz w:val="24"/>
                <w:szCs w:val="24"/>
                <w:highlight w:val="none"/>
              </w:rPr>
              <w:t>1</w:t>
            </w:r>
          </w:p>
        </w:tc>
        <w:tc>
          <w:tcPr>
            <w:tcW w:w="683" w:type="pct"/>
            <w:tcBorders>
              <w:top w:val="single" w:color="auto" w:sz="4" w:space="0"/>
              <w:left w:val="nil"/>
              <w:bottom w:val="single" w:color="auto" w:sz="4" w:space="0"/>
              <w:right w:val="single" w:color="auto" w:sz="4" w:space="0"/>
            </w:tcBorders>
            <w:shd w:val="clear" w:color="auto" w:fill="auto"/>
            <w:vAlign w:val="center"/>
          </w:tcPr>
          <w:p w14:paraId="3CF2A1CB">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c>
          <w:tcPr>
            <w:tcW w:w="731" w:type="pct"/>
            <w:tcBorders>
              <w:top w:val="single" w:color="auto" w:sz="4" w:space="0"/>
              <w:left w:val="nil"/>
              <w:bottom w:val="single" w:color="auto" w:sz="4" w:space="0"/>
            </w:tcBorders>
            <w:shd w:val="clear" w:color="auto" w:fill="auto"/>
            <w:noWrap/>
            <w:vAlign w:val="center"/>
          </w:tcPr>
          <w:p w14:paraId="4335B0E7">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r>
      <w:tr w14:paraId="6E1208E4">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624" w:hRule="atLeast"/>
          <w:jc w:val="center"/>
        </w:trPr>
        <w:tc>
          <w:tcPr>
            <w:tcW w:w="845" w:type="pct"/>
            <w:vMerge w:val="continue"/>
            <w:tcBorders>
              <w:bottom w:val="single" w:color="auto" w:sz="4" w:space="0"/>
              <w:right w:val="single" w:color="auto" w:sz="4" w:space="0"/>
            </w:tcBorders>
            <w:vAlign w:val="center"/>
          </w:tcPr>
          <w:p w14:paraId="4E628A94">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c>
          <w:tcPr>
            <w:tcW w:w="1149" w:type="pct"/>
            <w:tcBorders>
              <w:top w:val="single" w:color="auto" w:sz="4" w:space="0"/>
              <w:left w:val="nil"/>
              <w:bottom w:val="single" w:color="auto" w:sz="4" w:space="0"/>
              <w:right w:val="single" w:color="auto" w:sz="4" w:space="0"/>
            </w:tcBorders>
            <w:shd w:val="clear" w:color="auto" w:fill="auto"/>
            <w:vAlign w:val="center"/>
          </w:tcPr>
          <w:p w14:paraId="21545EC4">
            <w:pPr>
              <w:widowControl/>
              <w:spacing w:line="240" w:lineRule="auto"/>
              <w:ind w:firstLine="0" w:firstLineChars="0"/>
              <w:jc w:val="center"/>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验收设备</w:t>
            </w:r>
          </w:p>
        </w:tc>
        <w:tc>
          <w:tcPr>
            <w:tcW w:w="1077" w:type="pct"/>
            <w:tcBorders>
              <w:top w:val="single" w:color="auto" w:sz="4" w:space="0"/>
              <w:left w:val="nil"/>
              <w:bottom w:val="single" w:color="auto" w:sz="4" w:space="0"/>
              <w:right w:val="single" w:color="auto" w:sz="4" w:space="0"/>
            </w:tcBorders>
            <w:shd w:val="clear" w:color="auto" w:fill="auto"/>
            <w:vAlign w:val="center"/>
          </w:tcPr>
          <w:p w14:paraId="3665D86A">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c>
          <w:tcPr>
            <w:tcW w:w="512" w:type="pct"/>
            <w:tcBorders>
              <w:top w:val="single" w:color="auto" w:sz="4" w:space="0"/>
              <w:left w:val="nil"/>
              <w:bottom w:val="single" w:color="auto" w:sz="4" w:space="0"/>
              <w:right w:val="single" w:color="auto" w:sz="4" w:space="0"/>
            </w:tcBorders>
            <w:shd w:val="clear" w:color="auto" w:fill="auto"/>
            <w:noWrap/>
            <w:vAlign w:val="center"/>
          </w:tcPr>
          <w:p w14:paraId="7AF4A699">
            <w:pPr>
              <w:widowControl/>
              <w:spacing w:line="240" w:lineRule="auto"/>
              <w:ind w:firstLine="0" w:firstLineChars="0"/>
              <w:jc w:val="center"/>
              <w:rPr>
                <w:rFonts w:hint="eastAsia" w:ascii="微软雅黑" w:hAnsi="微软雅黑" w:eastAsia="微软雅黑" w:cs="微软雅黑"/>
                <w:color w:val="auto"/>
                <w:kern w:val="0"/>
                <w:sz w:val="24"/>
                <w:szCs w:val="24"/>
                <w:highlight w:val="none"/>
                <w:lang w:val="en-US" w:eastAsia="zh-CN"/>
              </w:rPr>
            </w:pPr>
            <w:r>
              <w:rPr>
                <w:rFonts w:hint="eastAsia" w:ascii="微软雅黑" w:hAnsi="微软雅黑" w:eastAsia="微软雅黑" w:cs="微软雅黑"/>
                <w:color w:val="auto"/>
                <w:kern w:val="0"/>
                <w:sz w:val="24"/>
                <w:szCs w:val="24"/>
                <w:highlight w:val="none"/>
                <w:lang w:val="en-US" w:eastAsia="zh-CN"/>
              </w:rPr>
              <w:t>4</w:t>
            </w:r>
          </w:p>
        </w:tc>
        <w:tc>
          <w:tcPr>
            <w:tcW w:w="683" w:type="pct"/>
            <w:tcBorders>
              <w:top w:val="single" w:color="auto" w:sz="4" w:space="0"/>
              <w:left w:val="nil"/>
              <w:bottom w:val="single" w:color="auto" w:sz="4" w:space="0"/>
              <w:right w:val="single" w:color="auto" w:sz="4" w:space="0"/>
            </w:tcBorders>
            <w:shd w:val="clear" w:color="auto" w:fill="auto"/>
            <w:vAlign w:val="center"/>
          </w:tcPr>
          <w:p w14:paraId="37CC17A4">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c>
          <w:tcPr>
            <w:tcW w:w="731" w:type="pct"/>
            <w:tcBorders>
              <w:top w:val="single" w:color="auto" w:sz="4" w:space="0"/>
              <w:left w:val="nil"/>
              <w:bottom w:val="single" w:color="auto" w:sz="4" w:space="0"/>
            </w:tcBorders>
            <w:shd w:val="clear" w:color="auto" w:fill="auto"/>
            <w:noWrap/>
            <w:vAlign w:val="center"/>
          </w:tcPr>
          <w:p w14:paraId="40624AAE">
            <w:pPr>
              <w:widowControl/>
              <w:spacing w:line="240" w:lineRule="auto"/>
              <w:ind w:firstLine="0" w:firstLineChars="0"/>
              <w:jc w:val="left"/>
              <w:rPr>
                <w:rFonts w:hint="eastAsia" w:ascii="微软雅黑" w:hAnsi="微软雅黑" w:eastAsia="微软雅黑" w:cs="微软雅黑"/>
                <w:color w:val="auto"/>
                <w:kern w:val="0"/>
                <w:sz w:val="24"/>
                <w:szCs w:val="24"/>
                <w:highlight w:val="none"/>
              </w:rPr>
            </w:pPr>
          </w:p>
        </w:tc>
      </w:tr>
      <w:tr w14:paraId="3306716A">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624" w:hRule="atLeast"/>
          <w:jc w:val="center"/>
        </w:trPr>
        <w:tc>
          <w:tcPr>
            <w:tcW w:w="4268" w:type="pct"/>
            <w:gridSpan w:val="5"/>
            <w:tcBorders>
              <w:top w:val="single" w:color="auto" w:sz="4" w:space="0"/>
              <w:right w:val="single" w:color="auto" w:sz="4" w:space="0"/>
            </w:tcBorders>
            <w:shd w:val="clear" w:color="auto" w:fill="auto"/>
            <w:noWrap/>
            <w:vAlign w:val="center"/>
          </w:tcPr>
          <w:p w14:paraId="4C0EB3E9">
            <w:pPr>
              <w:widowControl/>
              <w:spacing w:line="240" w:lineRule="auto"/>
              <w:ind w:firstLine="0" w:firstLineChars="0"/>
              <w:jc w:val="center"/>
              <w:rPr>
                <w:rFonts w:hint="eastAsia"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kern w:val="0"/>
                <w:sz w:val="24"/>
                <w:szCs w:val="24"/>
                <w:highlight w:val="none"/>
              </w:rPr>
              <w:t>合计金额</w:t>
            </w:r>
          </w:p>
        </w:tc>
        <w:tc>
          <w:tcPr>
            <w:tcW w:w="731" w:type="pct"/>
            <w:tcBorders>
              <w:top w:val="single" w:color="auto" w:sz="4" w:space="0"/>
              <w:left w:val="nil"/>
            </w:tcBorders>
            <w:shd w:val="clear" w:color="auto" w:fill="auto"/>
            <w:noWrap/>
            <w:vAlign w:val="center"/>
          </w:tcPr>
          <w:p w14:paraId="6B18D73F">
            <w:pPr>
              <w:widowControl/>
              <w:spacing w:line="240" w:lineRule="auto"/>
              <w:ind w:firstLine="0" w:firstLineChars="0"/>
              <w:rPr>
                <w:rFonts w:hint="eastAsia" w:ascii="微软雅黑" w:hAnsi="微软雅黑" w:eastAsia="微软雅黑" w:cs="微软雅黑"/>
                <w:color w:val="auto"/>
                <w:kern w:val="0"/>
                <w:sz w:val="24"/>
                <w:szCs w:val="24"/>
                <w:highlight w:val="none"/>
              </w:rPr>
            </w:pP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ind w:left="0" w:left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6、其他所必需的相关材料</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参照评分细则要求）</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AD894CD-DC52-4492-900D-1BD2F0D80B9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823F68BA-6114-439E-BB8B-B45B548D50DF}"/>
  </w:font>
  <w:font w:name="仿宋">
    <w:panose1 w:val="02010609060101010101"/>
    <w:charset w:val="86"/>
    <w:family w:val="modern"/>
    <w:pitch w:val="default"/>
    <w:sig w:usb0="800002BF" w:usb1="38CF7CFA" w:usb2="00000016" w:usb3="00000000" w:csb0="00040001" w:csb1="00000000"/>
    <w:embedRegular r:id="rId3" w:fontKey="{6F80011E-3A7F-435C-B7B0-179014A73598}"/>
  </w:font>
  <w:font w:name="方正兰亭黑简体">
    <w:panose1 w:val="02000000000000000000"/>
    <w:charset w:val="86"/>
    <w:family w:val="auto"/>
    <w:pitch w:val="default"/>
    <w:sig w:usb0="A00002BF" w:usb1="184F6CFA" w:usb2="00000012" w:usb3="00000000" w:csb0="00040001" w:csb1="00000000"/>
    <w:embedRegular r:id="rId4" w:fontKey="{04A194EA-180B-4D78-B41E-17830A56F048}"/>
  </w:font>
  <w:font w:name="微软雅黑">
    <w:panose1 w:val="020B0503020204020204"/>
    <w:charset w:val="86"/>
    <w:family w:val="swiss"/>
    <w:pitch w:val="default"/>
    <w:sig w:usb0="80000287" w:usb1="2ACF3C50" w:usb2="00000016" w:usb3="00000000" w:csb0="0004001F" w:csb1="00000000"/>
    <w:embedRegular r:id="rId5" w:fontKey="{1C65C296-6F37-4112-B7C4-3E4693C83766}"/>
  </w:font>
  <w:font w:name="华文楷体">
    <w:panose1 w:val="02010600040101010101"/>
    <w:charset w:val="86"/>
    <w:family w:val="auto"/>
    <w:pitch w:val="default"/>
    <w:sig w:usb0="00000287" w:usb1="080F0000" w:usb2="00000000" w:usb3="00000000" w:csb0="0004009F" w:csb1="DFD70000"/>
    <w:embedRegular r:id="rId6" w:fontKey="{CE3E3EEC-0D87-4C3A-8DE3-B27C56841DD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4490266"/>
    <w:rsid w:val="08B545A5"/>
    <w:rsid w:val="092F2754"/>
    <w:rsid w:val="13353790"/>
    <w:rsid w:val="13CA7CE9"/>
    <w:rsid w:val="157E6317"/>
    <w:rsid w:val="19F06820"/>
    <w:rsid w:val="1E596D71"/>
    <w:rsid w:val="230E0951"/>
    <w:rsid w:val="24050543"/>
    <w:rsid w:val="269F2B16"/>
    <w:rsid w:val="2FB07FD7"/>
    <w:rsid w:val="317D7420"/>
    <w:rsid w:val="331671BF"/>
    <w:rsid w:val="33B3033B"/>
    <w:rsid w:val="33DD0342"/>
    <w:rsid w:val="35906085"/>
    <w:rsid w:val="39CE1840"/>
    <w:rsid w:val="3A9852E0"/>
    <w:rsid w:val="3CFB44C3"/>
    <w:rsid w:val="3D6469F5"/>
    <w:rsid w:val="3E6727C5"/>
    <w:rsid w:val="3EB44731"/>
    <w:rsid w:val="3F27115C"/>
    <w:rsid w:val="3FCC680A"/>
    <w:rsid w:val="3FDF48A5"/>
    <w:rsid w:val="40115E5B"/>
    <w:rsid w:val="40134FEB"/>
    <w:rsid w:val="41007DAA"/>
    <w:rsid w:val="438704B0"/>
    <w:rsid w:val="44E73D39"/>
    <w:rsid w:val="480A63EB"/>
    <w:rsid w:val="487158D1"/>
    <w:rsid w:val="488E3B06"/>
    <w:rsid w:val="48F25244"/>
    <w:rsid w:val="4CCA439B"/>
    <w:rsid w:val="4D0D4ED5"/>
    <w:rsid w:val="4EFD134C"/>
    <w:rsid w:val="53F3317F"/>
    <w:rsid w:val="543D6D6A"/>
    <w:rsid w:val="58C4549A"/>
    <w:rsid w:val="5AEA704B"/>
    <w:rsid w:val="5C376D46"/>
    <w:rsid w:val="5DF2219B"/>
    <w:rsid w:val="5E8720EC"/>
    <w:rsid w:val="5EE9209B"/>
    <w:rsid w:val="5F44384A"/>
    <w:rsid w:val="60BF2A71"/>
    <w:rsid w:val="63887FE1"/>
    <w:rsid w:val="63F161B6"/>
    <w:rsid w:val="66E533C4"/>
    <w:rsid w:val="681A51E0"/>
    <w:rsid w:val="695E3370"/>
    <w:rsid w:val="699D5EE7"/>
    <w:rsid w:val="6A660877"/>
    <w:rsid w:val="6B99520C"/>
    <w:rsid w:val="7CFA5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122d7313-0893-4afe-95ac-e87a1707ea13</errorID>
      <errorWord>。。</errorWord>
      <group>L1_Punc</group>
      <groupName>标点问题</groupName>
      <ability>L2_Punc</ability>
      <abilityName>标点符号检查</abilityName>
      <candidateList>
        <item>。</item>
      </candidateList>
      <explain/>
      <paraID>290FE171</paraID>
      <start>35</start>
      <end>36</end>
      <status>modified</status>
      <modifiedWord>。</modifiedWord>
      <trackRevisions>false</trackRevisions>
    </reviewItem>
    <reviewItem>
      <errorID>6962e8cf-c622-4c33-be10-c070d0b4fc8d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8d88b4d0-8dd7-49dd-b863-be22c8557b9e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58cdfde0-d6dc-41d5-95bc-186831835345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3ef04a34-22b1-47db-813f-4ce3acba1dae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A27F12F</paraID>
      <start>0</start>
      <end>2</end>
      <status>unmodified</status>
      <modifiedWord/>
      <trackRevisions>false</trackRevisions>
    </reviewItem>
    <reviewItem>
      <errorID>90cfa8c8-e92c-4c32-b1c2-69a213410aa6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2DF31F3D</paraID>
      <start>0</start>
      <end>2</end>
      <status>unmodified</status>
      <modifiedWord/>
      <trackRevisions>false</trackRevisions>
    </reviewItem>
    <reviewItem>
      <errorID>71769e31-db8b-40da-8169-d7cf25045d7e</errorID>
      <errorWord>(</errorWord>
      <group>L1_Format</group>
      <groupName>格式问题</groupName>
      <ability>L2_HalfPunc</ability>
      <abilityName>全半角检查</abilityName>
      <candidateList>
        <item>（</item>
      </candidateList>
      <explain>文本全半角错误。</explain>
      <paraID>5F1F3639</paraID>
      <start>9</start>
      <end>10</end>
      <status>modified</status>
      <modifiedWord>（</modifiedWord>
      <trackRevisions>false</trackRevisions>
    </reviewItem>
    <reviewItem>
      <errorID>c7b21c62-8b85-45d7-8bd2-545a7423586e</errorID>
      <errorWord>)</errorWord>
      <group>L1_Format</group>
      <groupName>格式问题</groupName>
      <ability>L2_HalfPunc</ability>
      <abilityName>全半角检查</abilityName>
      <candidateList>
        <item>）</item>
      </candidateList>
      <explain>文本全半角错误。</explain>
      <paraID>5F1F3639</paraID>
      <start>14</start>
      <end>15</end>
      <status>modified</status>
      <modifiedWord>）</modifiedWord>
      <trackRevisions>false</trackRevisions>
    </reviewItem>
    <reviewItem>
      <errorID>6801b746-ab14-4fea-a39e-3e1a825510f4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7948B5D3</paraID>
      <start>0</start>
      <end>2</end>
      <status>unmodified</status>
      <modifiedWord/>
      <trackRevisions>false</trackRevisions>
    </reviewItem>
    <reviewItem>
      <errorID>850d1421-c082-40f7-9ab4-32d1e5e8172c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5893EE19</paraID>
      <start>0</start>
      <end>2</end>
      <status>unmodified</status>
      <modifiedWord/>
      <trackRevisions>false</trackRevisions>
    </reviewItem>
    <reviewItem>
      <errorID>965334d8-7630-4042-b517-1cf913618180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4D2CB3D8</paraID>
      <start>0</start>
      <end>2</end>
      <status>unmodified</status>
      <modifiedWord/>
      <trackRevisions>false</trackRevisions>
    </reviewItem>
    <reviewItem>
      <errorID>69ed167d-2721-43d4-80d2-2053daace95e</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4863F6B7</paraID>
      <start>0</start>
      <end>2</end>
      <status>unmodified</status>
      <modifiedWord/>
      <trackRevisions>false</trackRevisions>
    </reviewItem>
    <reviewItem>
      <errorID>11b73535-7a9d-4374-bedf-71715017eb0f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641A32ED</paraID>
      <start>0</start>
      <end>2</end>
      <status>unmodified</status>
      <modifiedWord/>
      <trackRevisions>false</trackRevisions>
    </reviewItem>
    <reviewItem>
      <errorID>625c0a4a-4400-431e-8746-aa514b4140d4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458F71D5</paraID>
      <start>0</start>
      <end>2</end>
      <status>unmodified</status>
      <modifiedWord/>
      <trackRevisions>false</trackRevisions>
    </reviewItem>
    <reviewItem>
      <errorID>330c1702-07cc-406f-b87d-250485d6c56d</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22B86609</paraID>
      <start>0</start>
      <end>2</end>
      <status>unmodified</status>
      <modifiedWord/>
      <trackRevisions>false</trackRevisions>
    </reviewItem>
    <reviewItem>
      <errorID>df76d711-5209-48cc-8453-23f55ca59276</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D1959F3</paraID>
      <start>0</start>
      <end>2</end>
      <status>unmodified</status>
      <modifiedWord/>
      <trackRevisions>false</trackRevisions>
    </reviewItem>
    <reviewItem>
      <errorID>1378d287-652b-463f-9a54-26f5a6da997e</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680DFB07</paraID>
      <start>0</start>
      <end>2</end>
      <status>unmodified</status>
      <modifiedWord/>
      <trackRevisions>false</trackRevisions>
    </reviewItem>
    <reviewItem>
      <errorID>f5a573a1-648b-4d78-8d5b-26762cf73b61</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423CE8FA</paraID>
      <start>0</start>
      <end>3</end>
      <status>unmodified</status>
      <modifiedWord/>
      <trackRevisions>false</trackRevisions>
    </reviewItem>
    <reviewItem>
      <errorID>038eabc2-814d-42c4-bfd3-b924977be26a</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64D6108E</paraID>
      <start>0</start>
      <end>3</end>
      <status>unmodified</status>
      <modifiedWord/>
      <trackRevisions>false</trackRevisions>
    </reviewItem>
    <reviewItem>
      <errorID>f07bf5bf-957e-4aeb-ac8a-762d5a3a636d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72E33785</paraID>
      <start>0</start>
      <end>2</end>
      <status>unmodified</status>
      <modifiedWord/>
      <trackRevisions>false</trackRevisions>
    </reviewItem>
    <reviewItem>
      <errorID>ce1a9166-e026-450e-abcf-c47d5a6fa6f3</errorID>
      <errorWord>登陆</errorWord>
      <group>L1_Word</group>
      <groupName>字词问题</groupName>
      <ability>L2_Typo</ability>
      <abilityName>字词错误</abilityName>
      <candidateList>
        <item>登录</item>
      </candidateList>
      <explain>〈动〉❶登记：～在案。❷注册▲。</explain>
      <paraID>3D4DFF78</paraID>
      <start>49</start>
      <end>51</end>
      <status>modified</status>
      <modifiedWord>登录</modifiedWord>
      <trackRevisions>false</trackRevisions>
    </reviewItem>
    <reviewItem>
      <errorID>80933dd0-0131-4c63-9f62-427ad2e14a88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46F01CE5</paraID>
      <start>0</start>
      <end>2</end>
      <status>unmodified</status>
      <modifiedWord/>
      <trackRevisions>false</trackRevisions>
    </reviewItem>
    <reviewItem>
      <errorID>66db94a4-329e-44c8-9d00-e69f652be285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76625914</paraID>
      <start>0</start>
      <end>2</end>
      <status>unmodified</status>
      <modifiedWord/>
      <trackRevisions>false</trackRevisions>
    </reviewItem>
    <reviewItem>
      <errorID>c468cc33-e262-4582-8258-894e3240b9b0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435A933</paraID>
      <start>0</start>
      <end>2</end>
      <status>unmodified</status>
      <modifiedWord/>
      <trackRevisions>false</trackRevisions>
    </reviewItem>
    <reviewItem>
      <errorID>983b4388-4421-488a-83d1-dec2d388822a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9d29a042-f0f5-49c5-a222-e21a99364ff9</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71fec59d-43a9-4b2c-b2b7-c67bd8f74805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3979266c-b218-4cd0-ba46-53cb66c5d981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b800721f-c779-4684-84a1-bd8d61413c0e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f42048b4-af03-481e-8adc-ba1825af845c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ad0c3430-26ba-40ef-b471-532c9bbb268a</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1ff7fab1-9c49-47f4-809b-e0b4edc2461c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75894d-94ad-41c5-b9b0-26a0e750ea2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4358</Words>
  <Characters>4551</Characters>
  <Lines>133</Lines>
  <Paragraphs>161</Paragraphs>
  <TotalTime>5</TotalTime>
  <ScaleCrop>false</ScaleCrop>
  <LinksUpToDate>false</LinksUpToDate>
  <CharactersWithSpaces>4556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2026-05-17T16:21:24Z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eyJoZGlkIjoiZTQ4MzhlZGU2YmZhMGFjMjVlNGJjM2ZlYTdmZDg2NTAiLCJ1c2VySWQiOiIyOTgyOTgyOTEifQ==</vt:lpwstr>
  </property>
  <property fmtid="{D5CDD505-2E9C-101B-9397-08002B2CF9AE}" pid="4" name="ICV">
    <vt:lpwstr>2BFD31D5F3FB4B709DBC969892577809_12</vt:lpwstr>
  </property>
</Properties>
</file>