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EMC存储、S</w:t>
      </w:r>
      <w:r>
        <w:rPr>
          <w:b/>
          <w:sz w:val="32"/>
          <w:szCs w:val="32"/>
        </w:rPr>
        <w:t>AN</w:t>
      </w:r>
      <w:r>
        <w:rPr>
          <w:rFonts w:hint="eastAsia"/>
          <w:b/>
          <w:sz w:val="32"/>
          <w:szCs w:val="32"/>
        </w:rPr>
        <w:t>交换机设备维护服务招标要求</w:t>
      </w:r>
    </w:p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sz w:val="32"/>
          <w:szCs w:val="32"/>
          <w:shd w:val="pct10" w:color="auto" w:fill="FFFFFF"/>
        </w:rPr>
      </w:pPr>
    </w:p>
    <w:p>
      <w:pPr>
        <w:jc w:val="center"/>
        <w:rPr>
          <w:sz w:val="32"/>
          <w:szCs w:val="32"/>
          <w:shd w:val="pct10" w:color="auto" w:fill="FFFFFF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zh-CN"/>
        </w:rPr>
        <w:id w:val="-6303250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 </w:t>
          </w:r>
          <w:r>
            <w:rPr>
              <w:lang w:val="zh-CN"/>
            </w:rPr>
            <w:t>录</w:t>
          </w:r>
        </w:p>
        <w:p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"_Toc85187240" </w:instrText>
          </w:r>
          <w:r>
            <w:fldChar w:fldCharType="separate"/>
          </w:r>
          <w:r>
            <w:rPr>
              <w:rStyle w:val="11"/>
            </w:rPr>
            <w:t>一、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11"/>
              <w:shd w:val="pct10" w:color="auto" w:fill="FFFFFF"/>
            </w:rPr>
            <w:t>保修设备清单</w:t>
          </w:r>
          <w:r>
            <w:tab/>
          </w:r>
          <w:r>
            <w:fldChar w:fldCharType="begin"/>
          </w:r>
          <w:r>
            <w:instrText xml:space="preserve"> PAGEREF _Toc85187240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"_Toc85187241" </w:instrText>
          </w:r>
          <w:r>
            <w:fldChar w:fldCharType="separate"/>
          </w:r>
          <w:r>
            <w:rPr>
              <w:rStyle w:val="11"/>
            </w:rPr>
            <w:t>二、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11"/>
              <w:shd w:val="pct10" w:color="auto" w:fill="FFFFFF"/>
            </w:rPr>
            <w:t>服务内容</w:t>
          </w:r>
          <w:r>
            <w:tab/>
          </w:r>
          <w:r>
            <w:fldChar w:fldCharType="begin"/>
          </w:r>
          <w:r>
            <w:instrText xml:space="preserve"> PAGEREF _Toc85187241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"_Toc85187242" </w:instrText>
          </w:r>
          <w:r>
            <w:fldChar w:fldCharType="separate"/>
          </w:r>
          <w:r>
            <w:rPr>
              <w:rStyle w:val="11"/>
            </w:rPr>
            <w:t>三、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11"/>
              <w:shd w:val="pct10" w:color="auto" w:fill="FFFFFF"/>
            </w:rPr>
            <w:t>资质要求</w:t>
          </w:r>
          <w:r>
            <w:tab/>
          </w:r>
          <w:r>
            <w:fldChar w:fldCharType="begin"/>
          </w:r>
          <w:r>
            <w:instrText xml:space="preserve"> PAGEREF _Toc85187242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"_Toc85187243" </w:instrText>
          </w:r>
          <w:r>
            <w:fldChar w:fldCharType="separate"/>
          </w:r>
          <w:r>
            <w:rPr>
              <w:rStyle w:val="11"/>
            </w:rPr>
            <w:t>四、</w:t>
          </w:r>
          <w:r>
            <w:rPr>
              <w:rFonts w:asciiTheme="minorHAnsi" w:hAnsiTheme="minorHAnsi" w:eastAsiaTheme="minorEastAsia" w:cstheme="minorBidi"/>
              <w:szCs w:val="22"/>
            </w:rPr>
            <w:tab/>
          </w:r>
          <w:r>
            <w:rPr>
              <w:rStyle w:val="11"/>
              <w:shd w:val="pct10" w:color="auto" w:fill="FFFFFF"/>
            </w:rPr>
            <w:t>其他</w:t>
          </w:r>
          <w:r>
            <w:tab/>
          </w:r>
          <w:r>
            <w:fldChar w:fldCharType="begin"/>
          </w:r>
          <w:r>
            <w:instrText xml:space="preserve"> PAGEREF _Toc85187243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widowControl/>
      </w:pPr>
      <w:r>
        <w:br w:type="page"/>
      </w:r>
    </w:p>
    <w:p>
      <w:pPr>
        <w:pStyle w:val="2"/>
        <w:numPr>
          <w:ilvl w:val="0"/>
          <w:numId w:val="1"/>
        </w:numPr>
        <w:rPr>
          <w:sz w:val="30"/>
          <w:szCs w:val="30"/>
          <w:shd w:val="pct10" w:color="auto" w:fill="FFFFFF"/>
        </w:rPr>
      </w:pPr>
      <w:bookmarkStart w:id="0" w:name="_Toc85187240"/>
      <w:r>
        <w:rPr>
          <w:rFonts w:hint="eastAsia"/>
          <w:sz w:val="30"/>
          <w:szCs w:val="30"/>
          <w:shd w:val="pct10" w:color="auto" w:fill="FFFFFF"/>
        </w:rPr>
        <w:t>保修设备清单</w:t>
      </w:r>
      <w:bookmarkEnd w:id="0"/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60"/>
        <w:gridCol w:w="39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产品描述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EMC-VNX5700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EMC VNX5700一年整机全保修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EMC-VNX100GB SSD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VNX100GB SSD硬盘一年质保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11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EMC-VNX600GB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</w:rPr>
              <w:t>15K SAS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VNX600GB硬盘一年质保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81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EMC-VNX3TB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VNX3TB硬盘一年质保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2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EMC-VNX5700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EMC VNX5700一年整机</w:t>
            </w:r>
            <w:r>
              <w:t>全</w:t>
            </w:r>
            <w:r>
              <w:rPr>
                <w:rFonts w:hint="eastAsia"/>
              </w:rPr>
              <w:t>保修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EMC-VNX100GB SSD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VNX100GB SSD硬盘一年质保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11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EMC-VNX600GB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</w:rPr>
              <w:t>15K SAS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VNX600GB硬盘一年质保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81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EMC-VNX3TB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VNX3TB硬盘一年质保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EMC 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VPLEX </w:t>
            </w:r>
          </w:p>
        </w:tc>
        <w:tc>
          <w:tcPr>
            <w:tcW w:w="3940" w:type="dxa"/>
            <w:vAlign w:val="center"/>
          </w:tcPr>
          <w:p>
            <w:r>
              <w:t xml:space="preserve">EMC </w:t>
            </w:r>
            <w:r>
              <w:rPr>
                <w:rFonts w:hint="eastAsia"/>
              </w:rPr>
              <w:t>VPLEX一年整机</w:t>
            </w:r>
            <w:r>
              <w:t>全</w:t>
            </w:r>
            <w:r>
              <w:rPr>
                <w:rFonts w:hint="eastAsia"/>
              </w:rPr>
              <w:t>保修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4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EMC 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DS300B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存储交换机</w:t>
            </w:r>
          </w:p>
        </w:tc>
        <w:tc>
          <w:tcPr>
            <w:tcW w:w="3940" w:type="dxa"/>
            <w:vAlign w:val="center"/>
          </w:tcPr>
          <w:p>
            <w:r>
              <w:t xml:space="preserve">EMC </w:t>
            </w:r>
            <w:r>
              <w:rPr>
                <w:rFonts w:hint="eastAsia"/>
              </w:rPr>
              <w:t>DS300B 一年整机全</w:t>
            </w:r>
            <w:r>
              <w:t>保</w:t>
            </w:r>
            <w:r>
              <w:rPr>
                <w:rFonts w:hint="eastAsia"/>
              </w:rPr>
              <w:t>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8</w:t>
            </w:r>
            <w:r>
              <w:rPr>
                <w:rFonts w:hint="eastAsi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 xml:space="preserve">EMC 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D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  <w:t>D2500</w:t>
            </w:r>
          </w:p>
        </w:tc>
        <w:tc>
          <w:tcPr>
            <w:tcW w:w="3940" w:type="dxa"/>
            <w:vAlign w:val="center"/>
          </w:tcPr>
          <w:p>
            <w:r>
              <w:t xml:space="preserve">EMC </w:t>
            </w:r>
            <w:r>
              <w:rPr>
                <w:rFonts w:hint="eastAsia"/>
              </w:rPr>
              <w:t>DD2500一年整机</w:t>
            </w:r>
            <w:r>
              <w:t>全保修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20"/>
              </w:rPr>
              <w:t>EMC-DD3TB</w:t>
            </w:r>
          </w:p>
        </w:tc>
        <w:tc>
          <w:tcPr>
            <w:tcW w:w="3940" w:type="dxa"/>
            <w:vAlign w:val="center"/>
          </w:tcPr>
          <w:p>
            <w:r>
              <w:t>EMC DD2500 3TB</w:t>
            </w:r>
            <w:r>
              <w:rPr>
                <w:rFonts w:hint="eastAsia"/>
              </w:rPr>
              <w:t>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12块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  <w:szCs w:val="20"/>
              </w:rPr>
              <w:t>6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</w:rPr>
              <w:t>EMC VNX5300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>EMC VNX5300一年整机全</w:t>
            </w:r>
            <w:r>
              <w:t>保修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</w:rPr>
              <w:t>EMC-VNX</w:t>
            </w:r>
            <w:r>
              <w:rPr>
                <w:rFonts w:ascii="Arial Unicode MS" w:hAnsi="Arial Unicode MS" w:eastAsia="Arial Unicode MS" w:cs="Arial Unicode MS"/>
                <w:kern w:val="0"/>
                <w:sz w:val="20"/>
              </w:rPr>
              <w:t>2T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0"/>
              </w:rPr>
              <w:t>B</w:t>
            </w:r>
          </w:p>
        </w:tc>
        <w:tc>
          <w:tcPr>
            <w:tcW w:w="3940" w:type="dxa"/>
            <w:vAlign w:val="center"/>
          </w:tcPr>
          <w:p>
            <w:r>
              <w:rPr>
                <w:rFonts w:hint="eastAsia"/>
              </w:rPr>
              <w:t xml:space="preserve">EMC VNX5300 </w:t>
            </w:r>
            <w:r>
              <w:t>2T</w:t>
            </w:r>
            <w:r>
              <w:rPr>
                <w:rFonts w:hint="eastAsia"/>
              </w:rPr>
              <w:t>B</w:t>
            </w:r>
            <w:r>
              <w:t>/7200</w:t>
            </w:r>
            <w:r>
              <w:rPr>
                <w:rFonts w:hint="eastAsia"/>
              </w:rPr>
              <w:t>硬盘一年质保</w:t>
            </w:r>
          </w:p>
        </w:tc>
        <w:tc>
          <w:tcPr>
            <w:tcW w:w="940" w:type="dxa"/>
            <w:noWrap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块</w:t>
            </w:r>
          </w:p>
        </w:tc>
      </w:tr>
    </w:tbl>
    <w:p>
      <w:pPr>
        <w:pStyle w:val="2"/>
        <w:numPr>
          <w:ilvl w:val="0"/>
          <w:numId w:val="1"/>
        </w:numPr>
        <w:rPr>
          <w:sz w:val="30"/>
          <w:szCs w:val="30"/>
          <w:shd w:val="pct10" w:color="auto" w:fill="FFFFFF"/>
        </w:rPr>
      </w:pPr>
      <w:bookmarkStart w:id="1" w:name="_Toc85187241"/>
      <w:bookmarkStart w:id="4" w:name="_GoBack"/>
      <w:bookmarkEnd w:id="4"/>
      <w:r>
        <w:rPr>
          <w:rFonts w:hint="eastAsia"/>
          <w:sz w:val="30"/>
          <w:szCs w:val="30"/>
          <w:shd w:val="pct10" w:color="auto" w:fill="FFFFFF"/>
        </w:rPr>
        <w:t>服务内容</w:t>
      </w:r>
      <w:bookmarkEnd w:id="1"/>
    </w:p>
    <w:p>
      <w:pPr>
        <w:pStyle w:val="3"/>
        <w:numPr>
          <w:ilvl w:val="0"/>
          <w:numId w:val="2"/>
        </w:numPr>
        <w:spacing w:after="50"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提供7*24小时的现场技术支持服务。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全包制：</w:t>
      </w:r>
      <w:r>
        <w:rPr>
          <w:rFonts w:hint="eastAsia" w:ascii="宋体" w:hAnsi="宋体"/>
          <w:color w:val="FF0000"/>
          <w:szCs w:val="21"/>
        </w:rPr>
        <w:t>硬件故障维修，更换损坏部件，包括所有硬盘、控制器、电源、电池等所有硬件设备的损坏维修和更换。</w:t>
      </w:r>
    </w:p>
    <w:p>
      <w:pPr>
        <w:pStyle w:val="3"/>
        <w:numPr>
          <w:ilvl w:val="0"/>
          <w:numId w:val="2"/>
        </w:numPr>
        <w:spacing w:after="50"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24小时的热线电话技术支持。</w:t>
      </w:r>
    </w:p>
    <w:p>
      <w:pPr>
        <w:pStyle w:val="3"/>
        <w:numPr>
          <w:ilvl w:val="0"/>
          <w:numId w:val="2"/>
        </w:num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定期巡检并协助用户做设备维护；每季度一次深度巡检服务，一年不少于4次巡检。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存储、存储交换机故障维修及管理证书更新服务。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存储系统升级。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存储系统配置变更。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系统连调保障。</w:t>
      </w:r>
    </w:p>
    <w:p>
      <w:pPr>
        <w:pStyle w:val="2"/>
        <w:numPr>
          <w:ilvl w:val="0"/>
          <w:numId w:val="1"/>
        </w:numPr>
        <w:rPr>
          <w:sz w:val="30"/>
          <w:szCs w:val="30"/>
          <w:shd w:val="pct10" w:color="auto" w:fill="FFFFFF"/>
        </w:rPr>
      </w:pPr>
      <w:bookmarkStart w:id="2" w:name="_Toc85187242"/>
      <w:r>
        <w:rPr>
          <w:rFonts w:hint="eastAsia"/>
          <w:sz w:val="30"/>
          <w:szCs w:val="30"/>
          <w:shd w:val="pct10" w:color="auto" w:fill="FFFFFF"/>
        </w:rPr>
        <w:t>资质要求</w:t>
      </w:r>
      <w:bookmarkEnd w:id="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具有EMC公司授权的ASN</w:t>
            </w:r>
            <w:r>
              <w:rPr>
                <w:rFonts w:ascii="宋体" w:hAnsi="宋体"/>
                <w:color w:val="000000"/>
                <w:szCs w:val="21"/>
              </w:rPr>
              <w:t>(Authorized Service Networ</w:t>
            </w:r>
            <w:r>
              <w:rPr>
                <w:rFonts w:hint="eastAsia" w:ascii="宋体" w:hAnsi="宋体"/>
                <w:color w:val="000000"/>
                <w:szCs w:val="21"/>
              </w:rPr>
              <w:t>k</w:t>
            </w:r>
            <w:r>
              <w:rPr>
                <w:rFonts w:ascii="宋体" w:hAnsi="宋体"/>
                <w:color w:val="000000"/>
                <w:szCs w:val="21"/>
              </w:rPr>
              <w:t xml:space="preserve">) </w:t>
            </w:r>
            <w:r>
              <w:rPr>
                <w:rFonts w:hint="eastAsia" w:ascii="宋体" w:hAnsi="宋体"/>
                <w:color w:val="000000"/>
                <w:szCs w:val="21"/>
              </w:rPr>
              <w:t>，并提供相关证明文件。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具有EMC公司授权的ASP（Authorized Service Provider），并提供相关证明文件。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工程师团队具有：EMCSA、EMCPE，具有EMC VNX认证，的工程师人数≥10人，并提供相关证明文件。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以书面形式承诺提供7×24小时技术支持，对突发</w:t>
            </w:r>
            <w:r>
              <w:rPr>
                <w:rFonts w:ascii="宋体" w:hAnsi="宋体"/>
                <w:color w:val="000000"/>
                <w:szCs w:val="21"/>
              </w:rPr>
              <w:t>故障</w:t>
            </w:r>
            <w:r>
              <w:rPr>
                <w:rFonts w:hint="eastAsia" w:ascii="宋体" w:hAnsi="宋体"/>
                <w:color w:val="000000"/>
                <w:szCs w:val="21"/>
              </w:rPr>
              <w:t>，提供7×24×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小时上门服务。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当甲方业务变化，需要对维保服务设备进行调整或升级时，投标方承诺免费全力</w:t>
            </w:r>
            <w:r>
              <w:rPr>
                <w:rFonts w:ascii="宋体" w:hAnsi="宋体"/>
                <w:color w:val="000000"/>
                <w:szCs w:val="21"/>
              </w:rPr>
              <w:t>配合甲方需求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提供具有EMC公司授权的PS（Professional Service）证书和I2证书（Installation &amp; Implementation EMC授权安装和调试），并提供相关证明文件。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承诺及时、免费</w:t>
            </w:r>
            <w:r>
              <w:rPr>
                <w:rFonts w:ascii="宋体" w:hAnsi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EMC VNX系列</w:t>
            </w:r>
            <w:r>
              <w:rPr>
                <w:rFonts w:ascii="宋体" w:hAnsi="宋体"/>
                <w:color w:val="000000"/>
                <w:szCs w:val="21"/>
              </w:rPr>
              <w:t>微码升级服务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并提供专业的分析及建议。</w:t>
            </w:r>
            <w:r>
              <w:rPr>
                <w:rFonts w:hint="eastAsia" w:ascii="宋体" w:hAnsi="宋体"/>
                <w:color w:val="000000"/>
                <w:szCs w:val="21"/>
              </w:rPr>
              <w:t>提供免费VNX存储CCPF变更服务以及存储交换机参数或配置调整服务。</w:t>
            </w:r>
          </w:p>
        </w:tc>
      </w:tr>
    </w:tbl>
    <w:p/>
    <w:p>
      <w:pPr>
        <w:pStyle w:val="2"/>
        <w:numPr>
          <w:ilvl w:val="0"/>
          <w:numId w:val="1"/>
        </w:numPr>
        <w:rPr>
          <w:sz w:val="30"/>
          <w:szCs w:val="30"/>
          <w:shd w:val="pct10" w:color="auto" w:fill="FFFFFF"/>
        </w:rPr>
      </w:pPr>
      <w:bookmarkStart w:id="3" w:name="_Toc85187243"/>
      <w:r>
        <w:rPr>
          <w:rFonts w:hint="eastAsia"/>
          <w:sz w:val="30"/>
          <w:szCs w:val="30"/>
          <w:shd w:val="pct10" w:color="auto" w:fill="FFFFFF"/>
        </w:rPr>
        <w:t>其他</w:t>
      </w:r>
      <w:bookmarkEnd w:id="3"/>
    </w:p>
    <w:p>
      <w:pPr>
        <w:pStyle w:val="3"/>
        <w:numPr>
          <w:ilvl w:val="0"/>
          <w:numId w:val="3"/>
        </w:numPr>
        <w:autoSpaceDE w:val="0"/>
        <w:autoSpaceDN w:val="0"/>
        <w:adjustRightInd w:val="0"/>
        <w:spacing w:line="360" w:lineRule="auto"/>
        <w:textAlignment w:val="baseline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本项目一招三年，合同一年一签，本合同服务期满后，若乙方服务良好，且保持价格不变，经双方商定后，可续签下一年度合同。</w:t>
      </w:r>
    </w:p>
    <w:p>
      <w:pPr>
        <w:pStyle w:val="3"/>
        <w:numPr>
          <w:ilvl w:val="0"/>
          <w:numId w:val="3"/>
        </w:num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第一年</w:t>
      </w:r>
      <w:r>
        <w:rPr>
          <w:rFonts w:hint="eastAsia" w:ascii="宋体" w:hAnsi="宋体"/>
          <w:color w:val="FF0000"/>
          <w:szCs w:val="21"/>
        </w:rPr>
        <w:t>维保合同生效起始</w:t>
      </w:r>
      <w:r>
        <w:rPr>
          <w:rFonts w:hint="eastAsia" w:ascii="宋体" w:hAnsi="宋体"/>
          <w:color w:val="FF0000"/>
          <w:szCs w:val="21"/>
          <w:lang w:val="en-US" w:eastAsia="zh-CN"/>
        </w:rPr>
        <w:t>自</w:t>
      </w:r>
      <w:r>
        <w:rPr>
          <w:rFonts w:hint="eastAsia" w:ascii="宋体" w:hAnsi="宋体"/>
          <w:color w:val="FF0000"/>
          <w:szCs w:val="21"/>
        </w:rPr>
        <w:t>2</w:t>
      </w:r>
      <w:r>
        <w:rPr>
          <w:rFonts w:ascii="宋体" w:hAnsi="宋体"/>
          <w:color w:val="FF0000"/>
          <w:szCs w:val="21"/>
        </w:rPr>
        <w:t>021</w:t>
      </w:r>
      <w:r>
        <w:rPr>
          <w:rFonts w:hint="eastAsia" w:ascii="宋体" w:hAnsi="宋体"/>
          <w:color w:val="FF0000"/>
          <w:szCs w:val="21"/>
        </w:rPr>
        <w:t>年</w:t>
      </w:r>
      <w:r>
        <w:rPr>
          <w:rFonts w:ascii="宋体" w:hAnsi="宋体"/>
          <w:color w:val="FF0000"/>
          <w:szCs w:val="21"/>
        </w:rPr>
        <w:t>12</w:t>
      </w:r>
      <w:r>
        <w:rPr>
          <w:rFonts w:hint="eastAsia" w:ascii="宋体" w:hAnsi="宋体"/>
          <w:color w:val="FF0000"/>
          <w:szCs w:val="21"/>
        </w:rPr>
        <w:t>月</w:t>
      </w:r>
      <w:r>
        <w:rPr>
          <w:rFonts w:ascii="宋体" w:hAnsi="宋体"/>
          <w:color w:val="FF0000"/>
          <w:szCs w:val="21"/>
        </w:rPr>
        <w:t>15</w:t>
      </w:r>
      <w:r>
        <w:rPr>
          <w:rFonts w:hint="eastAsia" w:ascii="宋体" w:hAnsi="宋体"/>
          <w:color w:val="FF0000"/>
          <w:szCs w:val="21"/>
        </w:rPr>
        <w:t>日</w:t>
      </w:r>
      <w:r>
        <w:rPr>
          <w:rFonts w:hint="eastAsia" w:ascii="宋体" w:hAnsi="宋体"/>
          <w:color w:val="FF0000"/>
          <w:szCs w:val="21"/>
          <w:lang w:val="en-US" w:eastAsia="zh-CN"/>
        </w:rPr>
        <w:t>起至2022年12月14日止</w:t>
      </w:r>
      <w:r>
        <w:rPr>
          <w:rFonts w:hint="eastAsia" w:ascii="宋体" w:hAnsi="宋体"/>
          <w:color w:val="FF0000"/>
          <w:szCs w:val="21"/>
        </w:rPr>
        <w:t>。</w:t>
      </w:r>
    </w:p>
    <w:p>
      <w:pPr>
        <w:pStyle w:val="3"/>
        <w:numPr>
          <w:ilvl w:val="0"/>
          <w:numId w:val="3"/>
        </w:num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在高校有相关存储设备运维经验的优先考虑。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utura Bk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25596"/>
    <w:multiLevelType w:val="multilevel"/>
    <w:tmpl w:val="4E62559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A061AB"/>
    <w:multiLevelType w:val="multilevel"/>
    <w:tmpl w:val="4FA061A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5839D2"/>
    <w:multiLevelType w:val="multilevel"/>
    <w:tmpl w:val="565839D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839"/>
    <w:rsid w:val="00001142"/>
    <w:rsid w:val="00003E84"/>
    <w:rsid w:val="00023C7A"/>
    <w:rsid w:val="00055E6E"/>
    <w:rsid w:val="00056865"/>
    <w:rsid w:val="00065F2B"/>
    <w:rsid w:val="00067C34"/>
    <w:rsid w:val="0007276E"/>
    <w:rsid w:val="00077344"/>
    <w:rsid w:val="000A11A7"/>
    <w:rsid w:val="000A2378"/>
    <w:rsid w:val="000A50B8"/>
    <w:rsid w:val="000C5022"/>
    <w:rsid w:val="000E49FA"/>
    <w:rsid w:val="001058F6"/>
    <w:rsid w:val="00136F41"/>
    <w:rsid w:val="00143134"/>
    <w:rsid w:val="00145490"/>
    <w:rsid w:val="00156517"/>
    <w:rsid w:val="00161EF4"/>
    <w:rsid w:val="001722F6"/>
    <w:rsid w:val="00177EAC"/>
    <w:rsid w:val="00186975"/>
    <w:rsid w:val="00186E78"/>
    <w:rsid w:val="001A160F"/>
    <w:rsid w:val="001A37CA"/>
    <w:rsid w:val="001A51EF"/>
    <w:rsid w:val="001C5C44"/>
    <w:rsid w:val="001F60E7"/>
    <w:rsid w:val="00212E4A"/>
    <w:rsid w:val="002276CA"/>
    <w:rsid w:val="00241733"/>
    <w:rsid w:val="00264D01"/>
    <w:rsid w:val="00271474"/>
    <w:rsid w:val="0028780F"/>
    <w:rsid w:val="002B0096"/>
    <w:rsid w:val="002B1652"/>
    <w:rsid w:val="002B6B67"/>
    <w:rsid w:val="002B70C1"/>
    <w:rsid w:val="002D6CDA"/>
    <w:rsid w:val="002F4705"/>
    <w:rsid w:val="002F4AFD"/>
    <w:rsid w:val="002F726A"/>
    <w:rsid w:val="00314BBC"/>
    <w:rsid w:val="00333683"/>
    <w:rsid w:val="00366598"/>
    <w:rsid w:val="00385842"/>
    <w:rsid w:val="00390351"/>
    <w:rsid w:val="003B41C8"/>
    <w:rsid w:val="003B4B90"/>
    <w:rsid w:val="00414224"/>
    <w:rsid w:val="0042176A"/>
    <w:rsid w:val="0048420F"/>
    <w:rsid w:val="004B12FF"/>
    <w:rsid w:val="004D6046"/>
    <w:rsid w:val="004E0FE1"/>
    <w:rsid w:val="0050012A"/>
    <w:rsid w:val="00510C24"/>
    <w:rsid w:val="00512506"/>
    <w:rsid w:val="005201EF"/>
    <w:rsid w:val="005313EF"/>
    <w:rsid w:val="005414C2"/>
    <w:rsid w:val="0056308C"/>
    <w:rsid w:val="005652B2"/>
    <w:rsid w:val="005663D9"/>
    <w:rsid w:val="0057530A"/>
    <w:rsid w:val="005A00BA"/>
    <w:rsid w:val="005A3F87"/>
    <w:rsid w:val="005E6165"/>
    <w:rsid w:val="005F6EE7"/>
    <w:rsid w:val="0062715A"/>
    <w:rsid w:val="00636BEE"/>
    <w:rsid w:val="00646BBE"/>
    <w:rsid w:val="0064774A"/>
    <w:rsid w:val="00672AEE"/>
    <w:rsid w:val="00675121"/>
    <w:rsid w:val="00692191"/>
    <w:rsid w:val="00696E84"/>
    <w:rsid w:val="006A3FA4"/>
    <w:rsid w:val="006B71D6"/>
    <w:rsid w:val="006C2FBA"/>
    <w:rsid w:val="006F6F3E"/>
    <w:rsid w:val="00715E6A"/>
    <w:rsid w:val="007227E1"/>
    <w:rsid w:val="0072443C"/>
    <w:rsid w:val="007464EB"/>
    <w:rsid w:val="0075333F"/>
    <w:rsid w:val="00753B84"/>
    <w:rsid w:val="00755563"/>
    <w:rsid w:val="007915BE"/>
    <w:rsid w:val="00792986"/>
    <w:rsid w:val="007A770E"/>
    <w:rsid w:val="007D277F"/>
    <w:rsid w:val="007F3516"/>
    <w:rsid w:val="007F5860"/>
    <w:rsid w:val="00800DEE"/>
    <w:rsid w:val="00804058"/>
    <w:rsid w:val="00807839"/>
    <w:rsid w:val="0081786F"/>
    <w:rsid w:val="00830668"/>
    <w:rsid w:val="00854F95"/>
    <w:rsid w:val="00864AF8"/>
    <w:rsid w:val="008874B5"/>
    <w:rsid w:val="00894446"/>
    <w:rsid w:val="008B2B49"/>
    <w:rsid w:val="008C334A"/>
    <w:rsid w:val="008C59AE"/>
    <w:rsid w:val="008D0C1C"/>
    <w:rsid w:val="008E5BC4"/>
    <w:rsid w:val="008F72C1"/>
    <w:rsid w:val="00912E24"/>
    <w:rsid w:val="00914669"/>
    <w:rsid w:val="00917A32"/>
    <w:rsid w:val="0093360A"/>
    <w:rsid w:val="00943EB8"/>
    <w:rsid w:val="009564DF"/>
    <w:rsid w:val="00960EB5"/>
    <w:rsid w:val="009A32F1"/>
    <w:rsid w:val="009B5EDF"/>
    <w:rsid w:val="009F1905"/>
    <w:rsid w:val="00A24A77"/>
    <w:rsid w:val="00A34A3F"/>
    <w:rsid w:val="00A645FF"/>
    <w:rsid w:val="00A64F82"/>
    <w:rsid w:val="00A812E5"/>
    <w:rsid w:val="00AA1037"/>
    <w:rsid w:val="00AA3B04"/>
    <w:rsid w:val="00AC07D8"/>
    <w:rsid w:val="00AC5691"/>
    <w:rsid w:val="00B1164A"/>
    <w:rsid w:val="00B61D86"/>
    <w:rsid w:val="00B639FA"/>
    <w:rsid w:val="00B8130F"/>
    <w:rsid w:val="00BA35A4"/>
    <w:rsid w:val="00BC1646"/>
    <w:rsid w:val="00BD021A"/>
    <w:rsid w:val="00BF48BC"/>
    <w:rsid w:val="00C25097"/>
    <w:rsid w:val="00C479D7"/>
    <w:rsid w:val="00C57E85"/>
    <w:rsid w:val="00C84ADD"/>
    <w:rsid w:val="00C93DBB"/>
    <w:rsid w:val="00CA6B67"/>
    <w:rsid w:val="00CD247E"/>
    <w:rsid w:val="00CE1ACF"/>
    <w:rsid w:val="00CE1F3F"/>
    <w:rsid w:val="00CF3CC7"/>
    <w:rsid w:val="00D05432"/>
    <w:rsid w:val="00D07CAB"/>
    <w:rsid w:val="00D10216"/>
    <w:rsid w:val="00D20C1F"/>
    <w:rsid w:val="00D503B1"/>
    <w:rsid w:val="00D60DC4"/>
    <w:rsid w:val="00D67A90"/>
    <w:rsid w:val="00D766E0"/>
    <w:rsid w:val="00D77476"/>
    <w:rsid w:val="00D80A29"/>
    <w:rsid w:val="00D92621"/>
    <w:rsid w:val="00D93AC3"/>
    <w:rsid w:val="00DC11D5"/>
    <w:rsid w:val="00DD009F"/>
    <w:rsid w:val="00E00F0B"/>
    <w:rsid w:val="00E423D0"/>
    <w:rsid w:val="00E53DDE"/>
    <w:rsid w:val="00E61B10"/>
    <w:rsid w:val="00EA5308"/>
    <w:rsid w:val="00EB4CDD"/>
    <w:rsid w:val="00EC0E0A"/>
    <w:rsid w:val="00EC796F"/>
    <w:rsid w:val="00EE1D93"/>
    <w:rsid w:val="00EE453F"/>
    <w:rsid w:val="00F120B2"/>
    <w:rsid w:val="00F339E2"/>
    <w:rsid w:val="00F74713"/>
    <w:rsid w:val="00FA4BEE"/>
    <w:rsid w:val="00FA4DF2"/>
    <w:rsid w:val="00FD1059"/>
    <w:rsid w:val="00FD3AAE"/>
    <w:rsid w:val="00FF5004"/>
    <w:rsid w:val="570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5"/>
    <w:uiPriority w:val="0"/>
    <w:pPr>
      <w:ind w:firstLine="420"/>
    </w:pPr>
    <w:rPr>
      <w:szCs w:val="20"/>
    </w:rPr>
  </w:style>
  <w:style w:type="paragraph" w:styleId="4">
    <w:name w:val="Body Text"/>
    <w:link w:val="17"/>
    <w:uiPriority w:val="0"/>
    <w:pPr>
      <w:jc w:val="left"/>
    </w:pPr>
    <w:rPr>
      <w:rFonts w:ascii="Futura Bk" w:hAnsi="Futura Bk" w:eastAsia="宋体" w:cs="Times New Roman"/>
      <w:kern w:val="0"/>
      <w:sz w:val="18"/>
      <w:szCs w:val="20"/>
      <w:lang w:val="en-US" w:eastAsia="en-US" w:bidi="ar-SA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uiPriority w:val="39"/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000FF" w:themeColor="hyperlink"/>
      <w:u w:val="single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table" w:customStyle="1" w:styleId="14">
    <w:name w:val="中等深浅底纹 11"/>
    <w:basedOn w:val="8"/>
    <w:uiPriority w:val="63"/>
    <w:pPr>
      <w:jc w:val="left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character" w:customStyle="1" w:styleId="15">
    <w:name w:val="正文缩进 字符"/>
    <w:basedOn w:val="10"/>
    <w:link w:val="3"/>
    <w:uiPriority w:val="0"/>
    <w:rPr>
      <w:rFonts w:ascii="Times New Roman" w:hAnsi="Times New Roman" w:eastAsia="宋体" w:cs="Times New Roman"/>
      <w:szCs w:val="20"/>
    </w:rPr>
  </w:style>
  <w:style w:type="table" w:customStyle="1" w:styleId="16">
    <w:name w:val="浅色底纹2"/>
    <w:basedOn w:val="8"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7">
    <w:name w:val="正文文本 字符"/>
    <w:basedOn w:val="10"/>
    <w:link w:val="4"/>
    <w:uiPriority w:val="0"/>
    <w:rPr>
      <w:rFonts w:ascii="Futura Bk" w:hAnsi="Futura Bk" w:eastAsia="宋体" w:cs="Times New Roman"/>
      <w:kern w:val="0"/>
      <w:sz w:val="18"/>
      <w:szCs w:val="20"/>
      <w:lang w:eastAsia="en-US"/>
    </w:rPr>
  </w:style>
  <w:style w:type="table" w:customStyle="1" w:styleId="18">
    <w:name w:val="浅色底纹3"/>
    <w:basedOn w:val="8"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9">
    <w:name w:val="标题 1 字符"/>
    <w:basedOn w:val="10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table" w:customStyle="1" w:styleId="21">
    <w:name w:val="Plain Table 4"/>
    <w:basedOn w:val="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2">
    <w:name w:val="Grid Table Light"/>
    <w:basedOn w:val="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3">
    <w:name w:val="List Table 3"/>
    <w:basedOn w:val="8"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4">
    <w:name w:val="List Table 3 Accent 1"/>
    <w:basedOn w:val="8"/>
    <w:uiPriority w:val="48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25">
    <w:name w:val="Grid Table 5 Dark Accent 1"/>
    <w:basedOn w:val="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7">
    <w:name w:val="Grid Table 1 Light"/>
    <w:basedOn w:val="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51D25-4C1A-4DDE-9344-D9DEC347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1346</Characters>
  <Lines>11</Lines>
  <Paragraphs>3</Paragraphs>
  <TotalTime>1</TotalTime>
  <ScaleCrop>false</ScaleCrop>
  <LinksUpToDate>false</LinksUpToDate>
  <CharactersWithSpaces>1578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2013-07-03T01:48:00Z</dcterms:created>
  <dc:creator>hanjb</dc:creator>
  <cp:lastModifiedBy>仲杰</cp:lastModifiedBy>
  <dcterms:modified xsi:type="dcterms:W3CDTF">2021-10-19T05:14:17Z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46712D472AF14B629C6A43E404285E71</vt:lpwstr>
  </property>
</Properties>
</file>