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0"/>
          <w:szCs w:val="30"/>
        </w:rPr>
      </w:pPr>
      <w:r>
        <w:rPr>
          <w:rFonts w:hint="default" w:ascii="Times New Roman" w:hAnsi="Times New Roman" w:eastAsia="宋体" w:cs="Times New Roman"/>
          <w:b/>
          <w:color w:val="auto"/>
          <w:sz w:val="30"/>
          <w:szCs w:val="30"/>
          <w:highlight w:val="none"/>
        </w:rPr>
        <w:t>多媒体教学系统（实验实训室）采购项目</w:t>
      </w:r>
    </w:p>
    <w:p>
      <w:pPr>
        <w:spacing w:line="360" w:lineRule="auto"/>
        <w:outlineLvl w:val="0"/>
        <w:rPr>
          <w:rFonts w:ascii="宋体" w:hAnsi="宋体"/>
          <w:b/>
          <w:sz w:val="28"/>
          <w:szCs w:val="21"/>
        </w:rPr>
      </w:pPr>
      <w:r>
        <w:rPr>
          <w:rFonts w:hint="eastAsia" w:ascii="宋体" w:hAnsi="宋体"/>
          <w:b/>
          <w:sz w:val="28"/>
          <w:szCs w:val="21"/>
        </w:rPr>
        <w:t>功能及技术要求</w:t>
      </w:r>
    </w:p>
    <w:p>
      <w:pPr>
        <w:pStyle w:val="159"/>
        <w:numPr>
          <w:ilvl w:val="0"/>
          <w:numId w:val="3"/>
        </w:numPr>
        <w:spacing w:line="360" w:lineRule="auto"/>
        <w:ind w:firstLineChars="0"/>
        <w:outlineLvl w:val="0"/>
        <w:rPr>
          <w:rFonts w:ascii="宋体" w:hAnsi="宋体"/>
          <w:b/>
          <w:szCs w:val="21"/>
        </w:rPr>
      </w:pPr>
      <w:r>
        <w:rPr>
          <w:rFonts w:hint="eastAsia" w:ascii="宋体" w:hAnsi="宋体"/>
          <w:b/>
          <w:szCs w:val="21"/>
        </w:rPr>
        <w:t>教室位置分布：</w:t>
      </w:r>
    </w:p>
    <w:p>
      <w:pPr>
        <w:pStyle w:val="71"/>
        <w:rPr>
          <w:rFonts w:ascii="宋体" w:hAnsi="宋体"/>
          <w:b/>
          <w:sz w:val="18"/>
          <w:szCs w:val="18"/>
        </w:rPr>
      </w:pPr>
      <w:r>
        <w:rPr>
          <w:rFonts w:hint="eastAsia" w:ascii="宋体" w:hAnsi="宋体"/>
          <w:sz w:val="18"/>
          <w:szCs w:val="18"/>
        </w:rPr>
        <w:t>本次改造的教室位于</w:t>
      </w:r>
      <w:r>
        <w:rPr>
          <w:rFonts w:hint="eastAsia" w:ascii="宋体" w:hAnsi="宋体"/>
          <w:sz w:val="18"/>
          <w:szCs w:val="18"/>
          <w:u w:val="single"/>
        </w:rPr>
        <w:t xml:space="preserve"> 海事大学临港校区</w:t>
      </w:r>
      <w:r>
        <w:rPr>
          <w:rFonts w:ascii="宋体" w:hAnsi="宋体"/>
          <w:sz w:val="18"/>
          <w:szCs w:val="18"/>
          <w:u w:val="single"/>
        </w:rPr>
        <w:t xml:space="preserve"> </w:t>
      </w:r>
      <w:r>
        <w:rPr>
          <w:rFonts w:hint="eastAsia" w:ascii="宋体" w:hAnsi="宋体"/>
          <w:sz w:val="18"/>
          <w:szCs w:val="18"/>
        </w:rPr>
        <w:t>的</w:t>
      </w:r>
      <w:r>
        <w:rPr>
          <w:rFonts w:hint="eastAsia" w:ascii="宋体" w:hAnsi="宋体"/>
          <w:sz w:val="18"/>
          <w:szCs w:val="18"/>
          <w:u w:val="single"/>
        </w:rPr>
        <w:t xml:space="preserve"> 实验实训室</w:t>
      </w:r>
      <w:r>
        <w:rPr>
          <w:rFonts w:ascii="宋体" w:hAnsi="宋体"/>
          <w:sz w:val="18"/>
          <w:szCs w:val="18"/>
          <w:u w:val="single"/>
        </w:rPr>
        <w:t xml:space="preserve"> </w:t>
      </w:r>
      <w:r>
        <w:rPr>
          <w:rFonts w:hint="eastAsia" w:ascii="宋体" w:hAnsi="宋体"/>
          <w:sz w:val="18"/>
          <w:szCs w:val="18"/>
        </w:rPr>
        <w:t>教室，共</w:t>
      </w:r>
      <w:r>
        <w:rPr>
          <w:rFonts w:hint="eastAsia" w:ascii="宋体" w:hAnsi="宋体"/>
          <w:sz w:val="18"/>
          <w:szCs w:val="18"/>
          <w:u w:val="single"/>
        </w:rPr>
        <w:t xml:space="preserve"> 2</w:t>
      </w:r>
      <w:r>
        <w:rPr>
          <w:rFonts w:ascii="宋体" w:hAnsi="宋体"/>
          <w:sz w:val="18"/>
          <w:szCs w:val="18"/>
          <w:u w:val="single"/>
        </w:rPr>
        <w:t xml:space="preserve"> </w:t>
      </w:r>
      <w:r>
        <w:rPr>
          <w:rFonts w:hint="eastAsia" w:ascii="宋体" w:hAnsi="宋体"/>
          <w:sz w:val="18"/>
          <w:szCs w:val="18"/>
        </w:rPr>
        <w:t>间。</w:t>
      </w:r>
    </w:p>
    <w:p>
      <w:pPr>
        <w:pStyle w:val="159"/>
        <w:numPr>
          <w:ilvl w:val="0"/>
          <w:numId w:val="3"/>
        </w:numPr>
        <w:spacing w:line="360" w:lineRule="auto"/>
        <w:ind w:firstLineChars="0"/>
        <w:outlineLvl w:val="0"/>
        <w:rPr>
          <w:rFonts w:ascii="宋体" w:hAnsi="宋体"/>
          <w:b/>
          <w:szCs w:val="21"/>
        </w:rPr>
      </w:pPr>
      <w:r>
        <w:rPr>
          <w:rFonts w:ascii="宋体" w:hAnsi="宋体"/>
          <w:b/>
          <w:szCs w:val="21"/>
        </w:rPr>
        <w:t>功能要求</w:t>
      </w:r>
    </w:p>
    <w:p>
      <w:pPr>
        <w:pStyle w:val="18"/>
        <w:spacing w:line="360" w:lineRule="auto"/>
        <w:rPr>
          <w:rFonts w:hAnsi="宋体"/>
          <w:b/>
          <w:sz w:val="18"/>
          <w:szCs w:val="18"/>
        </w:rPr>
      </w:pPr>
      <w:r>
        <w:rPr>
          <w:rFonts w:hint="eastAsia" w:hAnsi="宋体"/>
          <w:sz w:val="18"/>
          <w:szCs w:val="18"/>
        </w:rPr>
        <w:t>功能要求如下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53"/>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rFonts w:ascii="宋体" w:hAnsi="宋体" w:cs="Calibri"/>
                <w:b/>
                <w:sz w:val="18"/>
                <w:szCs w:val="18"/>
              </w:rPr>
            </w:pPr>
            <w:r>
              <w:rPr>
                <w:rFonts w:hint="eastAsia" w:ascii="宋体" w:hAnsi="宋体" w:cs="Calibri"/>
                <w:b/>
                <w:sz w:val="18"/>
                <w:szCs w:val="18"/>
              </w:rPr>
              <w:t>系统</w:t>
            </w:r>
          </w:p>
        </w:tc>
        <w:tc>
          <w:tcPr>
            <w:tcW w:w="0" w:type="auto"/>
            <w:shd w:val="clear" w:color="auto" w:fill="auto"/>
            <w:vAlign w:val="center"/>
          </w:tcPr>
          <w:p>
            <w:pPr>
              <w:spacing w:line="360" w:lineRule="auto"/>
              <w:jc w:val="center"/>
              <w:rPr>
                <w:rFonts w:ascii="宋体" w:hAnsi="宋体" w:cs="Calibri"/>
                <w:b/>
                <w:sz w:val="18"/>
                <w:szCs w:val="18"/>
              </w:rPr>
            </w:pPr>
            <w:r>
              <w:rPr>
                <w:rFonts w:ascii="宋体" w:hAnsi="宋体" w:cs="Calibri"/>
                <w:b/>
                <w:sz w:val="18"/>
                <w:szCs w:val="18"/>
              </w:rPr>
              <w:t>模块</w:t>
            </w:r>
          </w:p>
        </w:tc>
        <w:tc>
          <w:tcPr>
            <w:tcW w:w="0" w:type="auto"/>
            <w:shd w:val="clear" w:color="auto" w:fill="auto"/>
            <w:vAlign w:val="center"/>
          </w:tcPr>
          <w:p>
            <w:pPr>
              <w:spacing w:line="360" w:lineRule="auto"/>
              <w:jc w:val="center"/>
              <w:rPr>
                <w:rFonts w:ascii="宋体" w:hAnsi="宋体" w:cs="Calibri"/>
                <w:b/>
                <w:sz w:val="18"/>
                <w:szCs w:val="18"/>
              </w:rPr>
            </w:pPr>
            <w:r>
              <w:rPr>
                <w:rFonts w:ascii="宋体" w:hAnsi="宋体" w:cs="Calibri"/>
                <w:b/>
                <w:sz w:val="18"/>
                <w:szCs w:val="18"/>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显示</w:t>
            </w:r>
          </w:p>
          <w:p>
            <w:pPr>
              <w:spacing w:line="360" w:lineRule="auto"/>
              <w:jc w:val="left"/>
              <w:rPr>
                <w:rFonts w:ascii="宋体" w:hAnsi="宋体" w:cs="Calibri"/>
                <w:sz w:val="18"/>
                <w:szCs w:val="18"/>
              </w:rPr>
            </w:pPr>
            <w:r>
              <w:rPr>
                <w:rFonts w:hint="eastAsia" w:ascii="宋体" w:hAnsi="宋体" w:cs="Calibri"/>
                <w:sz w:val="18"/>
                <w:szCs w:val="18"/>
              </w:rPr>
              <w:t>系统</w:t>
            </w:r>
          </w:p>
        </w:tc>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系统</w:t>
            </w:r>
            <w:r>
              <w:rPr>
                <w:rFonts w:ascii="宋体" w:hAnsi="宋体" w:cs="Calibri"/>
                <w:sz w:val="18"/>
                <w:szCs w:val="18"/>
              </w:rPr>
              <w:t>组成</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显示系统包含一个投影机（甲供）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▲所有输入及输出信号应支持高清数字信号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投影系统</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▲配套一个1</w:t>
            </w:r>
            <w:r>
              <w:rPr>
                <w:rFonts w:ascii="宋体" w:hAnsi="宋体" w:cs="Calibri"/>
                <w:sz w:val="18"/>
                <w:szCs w:val="18"/>
              </w:rPr>
              <w:t>5</w:t>
            </w:r>
            <w:r>
              <w:rPr>
                <w:rFonts w:hint="eastAsia" w:ascii="宋体" w:hAnsi="宋体" w:cs="Calibri"/>
                <w:sz w:val="18"/>
                <w:szCs w:val="18"/>
              </w:rPr>
              <w:t>0寸或以上电动升降幕布（需接入集控系统）。要求显示清晰，无重影，显示不失真，教室多个方位均可清楚观看。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restart"/>
            <w:shd w:val="clear" w:color="auto" w:fill="auto"/>
            <w:vAlign w:val="center"/>
          </w:tcPr>
          <w:p>
            <w:pPr>
              <w:spacing w:line="360" w:lineRule="auto"/>
              <w:jc w:val="left"/>
              <w:rPr>
                <w:rFonts w:ascii="宋体" w:hAnsi="宋体" w:cs="Calibri"/>
                <w:sz w:val="18"/>
                <w:szCs w:val="18"/>
              </w:rPr>
            </w:pPr>
            <w:r>
              <w:rPr>
                <w:rFonts w:ascii="宋体" w:hAnsi="宋体" w:cs="Calibri"/>
                <w:sz w:val="18"/>
                <w:szCs w:val="18"/>
              </w:rPr>
              <w:t>输入输出</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▲需提供至少</w:t>
            </w:r>
            <w:r>
              <w:rPr>
                <w:rFonts w:ascii="宋体" w:hAnsi="宋体" w:cs="Calibri"/>
                <w:sz w:val="18"/>
                <w:szCs w:val="18"/>
              </w:rPr>
              <w:t>4</w:t>
            </w:r>
            <w:r>
              <w:rPr>
                <w:rFonts w:hint="eastAsia" w:ascii="宋体" w:hAnsi="宋体" w:cs="Calibri"/>
                <w:sz w:val="18"/>
                <w:szCs w:val="18"/>
              </w:rPr>
              <w:t>路HDMI输入，支持最高1</w:t>
            </w:r>
            <w:r>
              <w:rPr>
                <w:rFonts w:ascii="宋体" w:hAnsi="宋体" w:cs="Calibri"/>
                <w:sz w:val="18"/>
                <w:szCs w:val="18"/>
              </w:rPr>
              <w:t>080</w:t>
            </w:r>
            <w:r>
              <w:rPr>
                <w:rFonts w:hint="eastAsia" w:ascii="宋体" w:hAnsi="宋体" w:cs="Calibri"/>
                <w:sz w:val="18"/>
                <w:szCs w:val="18"/>
              </w:rPr>
              <w:t>p分辨率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▲需提供至少</w:t>
            </w:r>
            <w:r>
              <w:rPr>
                <w:rFonts w:ascii="宋体" w:hAnsi="宋体" w:cs="Calibri"/>
                <w:sz w:val="18"/>
                <w:szCs w:val="18"/>
              </w:rPr>
              <w:t>3</w:t>
            </w:r>
            <w:r>
              <w:rPr>
                <w:rFonts w:hint="eastAsia" w:ascii="宋体" w:hAnsi="宋体" w:cs="Calibri"/>
                <w:sz w:val="18"/>
                <w:szCs w:val="18"/>
              </w:rPr>
              <w:t>路HDMI输出，支持最高1</w:t>
            </w:r>
            <w:r>
              <w:rPr>
                <w:rFonts w:ascii="宋体" w:hAnsi="宋体" w:cs="Calibri"/>
                <w:sz w:val="18"/>
                <w:szCs w:val="18"/>
              </w:rPr>
              <w:t>080</w:t>
            </w:r>
            <w:r>
              <w:rPr>
                <w:rFonts w:hint="eastAsia" w:ascii="宋体" w:hAnsi="宋体" w:cs="Calibri"/>
                <w:sz w:val="18"/>
                <w:szCs w:val="18"/>
              </w:rPr>
              <w:t>p分辨率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应用模式</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本地多媒体教学，投影机作为主显示屏，由教师选择信号源进行显示，讲台显示器显示本地电脑画面。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音响系统</w:t>
            </w:r>
          </w:p>
        </w:tc>
        <w:tc>
          <w:tcPr>
            <w:tcW w:w="0" w:type="auto"/>
            <w:vMerge w:val="restart"/>
            <w:shd w:val="clear" w:color="auto" w:fill="auto"/>
            <w:vAlign w:val="center"/>
          </w:tcPr>
          <w:p>
            <w:pPr>
              <w:spacing w:line="360" w:lineRule="auto"/>
              <w:jc w:val="left"/>
              <w:rPr>
                <w:rFonts w:ascii="宋体" w:hAnsi="宋体" w:cs="Calibri"/>
                <w:sz w:val="18"/>
                <w:szCs w:val="18"/>
              </w:rPr>
            </w:pPr>
            <w:r>
              <w:rPr>
                <w:rFonts w:ascii="宋体" w:hAnsi="宋体" w:cs="Calibri"/>
                <w:sz w:val="18"/>
                <w:szCs w:val="18"/>
              </w:rPr>
              <w:t>总体要求</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▲教室安装不少于</w:t>
            </w:r>
            <w:r>
              <w:rPr>
                <w:rFonts w:ascii="宋体" w:hAnsi="宋体" w:cs="Calibri"/>
                <w:sz w:val="18"/>
                <w:szCs w:val="18"/>
              </w:rPr>
              <w:t>6</w:t>
            </w:r>
            <w:r>
              <w:rPr>
                <w:rFonts w:hint="eastAsia" w:ascii="宋体" w:hAnsi="宋体" w:cs="Calibri"/>
                <w:sz w:val="18"/>
                <w:szCs w:val="18"/>
              </w:rPr>
              <w:t>只全频同轴吸顶音箱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具备优异的发言扩声效果，声音清晰，声场均匀，混响适度，无啸叫；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配套1支有线鹅颈话筒，带独立静音按钮。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▲支持话筒、电脑音频、远程音频的本地扩声；根据需要分别调节每一路音频的音量输出。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输入输出</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▲音频输入应不少于</w:t>
            </w:r>
            <w:r>
              <w:rPr>
                <w:rFonts w:ascii="宋体" w:hAnsi="宋体" w:cs="Calibri"/>
                <w:sz w:val="18"/>
                <w:szCs w:val="18"/>
              </w:rPr>
              <w:t>3</w:t>
            </w:r>
            <w:r>
              <w:rPr>
                <w:rFonts w:hint="eastAsia" w:ascii="宋体" w:hAnsi="宋体" w:cs="Calibri"/>
                <w:sz w:val="18"/>
                <w:szCs w:val="18"/>
              </w:rPr>
              <w:t>路平衡式麦克风音频输入，1路带幻象电源、2路3.5mm非平衡音频输入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▲音频输出应不少于</w:t>
            </w:r>
            <w:r>
              <w:rPr>
                <w:rFonts w:ascii="宋体" w:hAnsi="宋体" w:cs="Calibri"/>
                <w:sz w:val="18"/>
                <w:szCs w:val="18"/>
              </w:rPr>
              <w:t>1</w:t>
            </w:r>
            <w:r>
              <w:rPr>
                <w:rFonts w:hint="eastAsia" w:ascii="宋体" w:hAnsi="宋体" w:cs="Calibri"/>
                <w:sz w:val="18"/>
                <w:szCs w:val="18"/>
              </w:rPr>
              <w:t>路平衡式音频输出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可对所有音箱进行整体控制。</w:t>
            </w:r>
          </w:p>
          <w:p>
            <w:pPr>
              <w:spacing w:line="360" w:lineRule="auto"/>
              <w:jc w:val="left"/>
              <w:rPr>
                <w:rFonts w:ascii="宋体" w:hAnsi="宋体" w:cs="Calibri"/>
                <w:sz w:val="18"/>
                <w:szCs w:val="18"/>
              </w:rPr>
            </w:pPr>
            <w:r>
              <w:rPr>
                <w:rFonts w:hint="eastAsia" w:ascii="宋体" w:hAnsi="宋体" w:cs="Calibri"/>
                <w:sz w:val="18"/>
                <w:szCs w:val="18"/>
              </w:rPr>
              <w:t>配置音频矩阵，可根据教学需求，实现声音输出与信号源选择的灵活组合。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功放</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话筒通道具有高、低音十段参量均衡、五级自动反馈抑制、高低音信号激励;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音乐10段参量均衡, 话筒10段参量均衡, 主输出 双5 段参量均衡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2组音视频自动优先输入, 背景音乐 (BGM) 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▲三路话筒输入, 其中一路可提供 48V 幻象电源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两通道间可插入音频延时器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每次开机将自动恢复原预设音量电平 (调用开机存储模式), 确保系统安全可靠;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支持电脑调节参数，实时控制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 xml:space="preserve">▲输出功率 不少于 </w:t>
            </w:r>
            <w:r>
              <w:rPr>
                <w:rFonts w:ascii="宋体" w:hAnsi="宋体" w:cs="Calibri"/>
                <w:sz w:val="18"/>
                <w:szCs w:val="18"/>
              </w:rPr>
              <w:t>250Wx2(8Ω), 350Wx2(4Ω)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rPr>
                <w:rFonts w:ascii="宋体" w:hAnsi="宋体" w:cs="Calibri"/>
                <w:sz w:val="18"/>
                <w:szCs w:val="18"/>
              </w:rPr>
            </w:pPr>
            <w:r>
              <w:rPr>
                <w:rFonts w:hint="eastAsia" w:ascii="宋体" w:hAnsi="宋体" w:cs="Calibri"/>
                <w:sz w:val="18"/>
                <w:szCs w:val="18"/>
              </w:rPr>
              <w:t>控制系统</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控制方式</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▲实现本地有线控制与远程网络控制（系统与现有多媒体集控系统对接，远程可集中控制）。</w:t>
            </w:r>
          </w:p>
          <w:p>
            <w:pPr>
              <w:spacing w:line="360" w:lineRule="auto"/>
              <w:jc w:val="left"/>
              <w:rPr>
                <w:rFonts w:ascii="宋体" w:hAnsi="宋体" w:cs="Calibri"/>
                <w:sz w:val="18"/>
                <w:szCs w:val="18"/>
              </w:rPr>
            </w:pPr>
            <w:r>
              <w:rPr>
                <w:rFonts w:hint="eastAsia" w:ascii="宋体" w:hAnsi="宋体" w:cs="Calibri"/>
                <w:sz w:val="18"/>
                <w:szCs w:val="18"/>
              </w:rPr>
              <w:t>▲5 × RJ45接口:内置网络交换机，用于连接局域网/广域网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restart"/>
            <w:shd w:val="clear" w:color="auto" w:fill="auto"/>
            <w:vAlign w:val="center"/>
          </w:tcPr>
          <w:p>
            <w:pPr>
              <w:spacing w:line="360" w:lineRule="auto"/>
              <w:jc w:val="left"/>
              <w:rPr>
                <w:rFonts w:ascii="宋体" w:hAnsi="宋体" w:cs="Calibri"/>
                <w:sz w:val="18"/>
                <w:szCs w:val="18"/>
              </w:rPr>
            </w:pPr>
            <w:r>
              <w:rPr>
                <w:rFonts w:ascii="宋体" w:hAnsi="宋体" w:cs="Calibri"/>
                <w:sz w:val="18"/>
                <w:szCs w:val="18"/>
              </w:rPr>
              <w:t>控制要求</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▲中控支持触摸液晶屏本地有线控制，操作简便，界面清楚直观友好，使用者可通过操作界面清楚的知道输出显示端位置及信号输入源。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▲要求实现触摸屏控制教室中所有的系统设备，通过控制端一键开启或关闭整个教室的电器设备如：投影机、电动幕布、音视频矩阵，功放、电脑等。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▲也可单独对教室内设备进行开关与调整，具体包括：</w:t>
            </w:r>
          </w:p>
          <w:p>
            <w:pPr>
              <w:spacing w:line="360" w:lineRule="auto"/>
              <w:jc w:val="left"/>
              <w:rPr>
                <w:rFonts w:ascii="宋体" w:hAnsi="宋体" w:cs="Calibri"/>
                <w:sz w:val="18"/>
                <w:szCs w:val="18"/>
              </w:rPr>
            </w:pPr>
            <w:r>
              <w:rPr>
                <w:rFonts w:hint="eastAsia" w:ascii="宋体" w:hAnsi="宋体" w:cs="Calibri"/>
                <w:sz w:val="18"/>
                <w:szCs w:val="18"/>
              </w:rPr>
              <w:t>视频信号切换控制</w:t>
            </w:r>
          </w:p>
          <w:p>
            <w:pPr>
              <w:spacing w:line="360" w:lineRule="auto"/>
              <w:jc w:val="left"/>
              <w:rPr>
                <w:rFonts w:ascii="宋体" w:hAnsi="宋体" w:cs="Calibri"/>
                <w:sz w:val="18"/>
                <w:szCs w:val="18"/>
              </w:rPr>
            </w:pPr>
            <w:r>
              <w:rPr>
                <w:rFonts w:hint="eastAsia" w:ascii="宋体" w:hAnsi="宋体" w:cs="Calibri"/>
                <w:sz w:val="18"/>
                <w:szCs w:val="18"/>
              </w:rPr>
              <w:t>音频控制，包括音频输入与输出信号的切换，音量的调节，且调节灵敏度要高。</w:t>
            </w:r>
          </w:p>
          <w:p>
            <w:pPr>
              <w:spacing w:line="360" w:lineRule="auto"/>
              <w:jc w:val="left"/>
              <w:rPr>
                <w:rFonts w:ascii="宋体" w:hAnsi="宋体" w:cs="Calibri"/>
                <w:sz w:val="18"/>
                <w:szCs w:val="18"/>
              </w:rPr>
            </w:pPr>
            <w:r>
              <w:rPr>
                <w:rFonts w:hint="eastAsia" w:ascii="宋体" w:hAnsi="宋体" w:cs="Calibri"/>
                <w:sz w:val="18"/>
                <w:szCs w:val="18"/>
              </w:rPr>
              <w:t>系统一键开关机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控制面板</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▲7寸三防工业级安卓触摸屏，桌面嵌入式安装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restart"/>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控制主机</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▲一体化主机，同时内置</w:t>
            </w:r>
            <w:r>
              <w:rPr>
                <w:rFonts w:ascii="宋体" w:hAnsi="宋体" w:cs="Calibri"/>
                <w:sz w:val="18"/>
                <w:szCs w:val="18"/>
              </w:rPr>
              <w:t>4</w:t>
            </w:r>
            <w:r>
              <w:rPr>
                <w:rFonts w:hint="eastAsia" w:ascii="宋体" w:hAnsi="宋体" w:cs="Calibri"/>
                <w:sz w:val="18"/>
                <w:szCs w:val="18"/>
              </w:rPr>
              <w:t>进</w:t>
            </w:r>
            <w:r>
              <w:rPr>
                <w:rFonts w:ascii="宋体" w:hAnsi="宋体" w:cs="Calibri"/>
                <w:sz w:val="18"/>
                <w:szCs w:val="18"/>
              </w:rPr>
              <w:t>3</w:t>
            </w:r>
            <w:r>
              <w:rPr>
                <w:rFonts w:hint="eastAsia" w:ascii="宋体" w:hAnsi="宋体" w:cs="Calibri"/>
                <w:sz w:val="18"/>
                <w:szCs w:val="18"/>
              </w:rPr>
              <w:t>出全高清矩阵、智能中控、时序电源等等模块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▲控制接口不少于</w:t>
            </w:r>
            <w:r>
              <w:rPr>
                <w:rFonts w:ascii="宋体" w:hAnsi="宋体" w:cs="Calibri"/>
                <w:sz w:val="18"/>
                <w:szCs w:val="18"/>
              </w:rPr>
              <w:t>3</w:t>
            </w:r>
            <w:r>
              <w:rPr>
                <w:rFonts w:hint="eastAsia" w:ascii="宋体" w:hAnsi="宋体" w:cs="Calibri"/>
                <w:sz w:val="18"/>
                <w:szCs w:val="18"/>
              </w:rPr>
              <w:t>路RS-232/RS-485串口、</w:t>
            </w:r>
            <w:r>
              <w:rPr>
                <w:rFonts w:ascii="宋体" w:hAnsi="宋体" w:cs="Calibri"/>
                <w:sz w:val="18"/>
                <w:szCs w:val="18"/>
              </w:rPr>
              <w:t>1</w:t>
            </w:r>
            <w:r>
              <w:rPr>
                <w:rFonts w:hint="eastAsia" w:ascii="宋体" w:hAnsi="宋体" w:cs="Calibri"/>
                <w:sz w:val="18"/>
                <w:szCs w:val="18"/>
              </w:rPr>
              <w:t>路门锁控制、1路USB、2路红外控制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vMerge w:val="continue"/>
            <w:shd w:val="clear" w:color="auto" w:fill="auto"/>
            <w:vAlign w:val="center"/>
          </w:tcPr>
          <w:p>
            <w:pPr>
              <w:spacing w:line="360" w:lineRule="auto"/>
              <w:jc w:val="left"/>
              <w:rPr>
                <w:rFonts w:ascii="宋体" w:hAnsi="宋体" w:cs="Calibri"/>
                <w:sz w:val="18"/>
                <w:szCs w:val="18"/>
              </w:rPr>
            </w:pP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w:t>
            </w:r>
            <w:r>
              <w:rPr>
                <w:rFonts w:ascii="宋体" w:hAnsi="宋体" w:cs="Calibri"/>
                <w:sz w:val="18"/>
                <w:szCs w:val="18"/>
              </w:rPr>
              <w:t>2</w:t>
            </w:r>
            <w:r>
              <w:rPr>
                <w:rFonts w:hint="eastAsia" w:ascii="宋体" w:hAnsi="宋体" w:cs="Calibri"/>
                <w:sz w:val="18"/>
                <w:szCs w:val="18"/>
              </w:rPr>
              <w:t>路2</w:t>
            </w:r>
            <w:r>
              <w:rPr>
                <w:rFonts w:ascii="宋体" w:hAnsi="宋体" w:cs="Calibri"/>
                <w:sz w:val="18"/>
                <w:szCs w:val="18"/>
              </w:rPr>
              <w:t>20</w:t>
            </w:r>
            <w:r>
              <w:rPr>
                <w:rFonts w:hint="eastAsia" w:ascii="宋体" w:hAnsi="宋体" w:cs="Calibri"/>
                <w:sz w:val="18"/>
                <w:szCs w:val="18"/>
              </w:rPr>
              <w:t>V防脱落强电控制，单路最大2</w:t>
            </w:r>
            <w:r>
              <w:rPr>
                <w:rFonts w:ascii="宋体" w:hAnsi="宋体" w:cs="Calibri"/>
                <w:sz w:val="18"/>
                <w:szCs w:val="18"/>
              </w:rPr>
              <w:t>20</w:t>
            </w:r>
            <w:r>
              <w:rPr>
                <w:rFonts w:hint="eastAsia" w:ascii="宋体" w:hAnsi="宋体" w:cs="Calibri"/>
                <w:sz w:val="18"/>
                <w:szCs w:val="18"/>
              </w:rPr>
              <w:t>V</w:t>
            </w:r>
            <w:r>
              <w:rPr>
                <w:rFonts w:ascii="宋体" w:hAnsi="宋体" w:cs="Calibri"/>
                <w:sz w:val="18"/>
                <w:szCs w:val="18"/>
              </w:rPr>
              <w:t>16</w:t>
            </w:r>
            <w:r>
              <w:rPr>
                <w:rFonts w:hint="eastAsia" w:ascii="宋体" w:hAnsi="宋体" w:cs="Calibri"/>
                <w:sz w:val="18"/>
                <w:szCs w:val="18"/>
              </w:rPr>
              <w:t>A，1路2</w:t>
            </w:r>
            <w:r>
              <w:rPr>
                <w:rFonts w:ascii="宋体" w:hAnsi="宋体" w:cs="Calibri"/>
                <w:sz w:val="18"/>
                <w:szCs w:val="18"/>
              </w:rPr>
              <w:t>20</w:t>
            </w:r>
            <w:r>
              <w:rPr>
                <w:rFonts w:hint="eastAsia" w:ascii="宋体" w:hAnsi="宋体" w:cs="Calibri"/>
                <w:sz w:val="18"/>
                <w:szCs w:val="18"/>
              </w:rPr>
              <w:t>V防脱落投影幕布控制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管理</w:t>
            </w:r>
            <w:r>
              <w:rPr>
                <w:rFonts w:ascii="宋体" w:hAnsi="宋体" w:cs="Calibri"/>
                <w:sz w:val="18"/>
                <w:szCs w:val="18"/>
              </w:rPr>
              <w:t>系统</w:t>
            </w:r>
            <w:r>
              <w:rPr>
                <w:rFonts w:hint="eastAsia" w:ascii="宋体" w:hAnsi="宋体" w:cs="Calibri"/>
                <w:sz w:val="18"/>
                <w:szCs w:val="18"/>
              </w:rPr>
              <w:t>要求</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▲新建</w:t>
            </w:r>
            <w:r>
              <w:rPr>
                <w:rFonts w:ascii="宋体" w:hAnsi="宋体" w:cs="Calibri"/>
                <w:sz w:val="18"/>
                <w:szCs w:val="18"/>
              </w:rPr>
              <w:t>系统</w:t>
            </w:r>
            <w:r>
              <w:rPr>
                <w:rFonts w:hint="eastAsia" w:ascii="宋体" w:hAnsi="宋体" w:cs="Calibri"/>
                <w:sz w:val="18"/>
                <w:szCs w:val="18"/>
              </w:rPr>
              <w:t>需无缝接入现有多媒体中控系统。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教学管理系统</w:t>
            </w:r>
          </w:p>
        </w:tc>
        <w:tc>
          <w:tcPr>
            <w:tcW w:w="0" w:type="auto"/>
            <w:shd w:val="clear" w:color="auto" w:fill="auto"/>
            <w:vAlign w:val="center"/>
          </w:tcPr>
          <w:p>
            <w:pPr>
              <w:spacing w:line="360" w:lineRule="auto"/>
              <w:jc w:val="left"/>
              <w:rPr>
                <w:rFonts w:ascii="宋体" w:hAnsi="宋体" w:cs="Calibri"/>
                <w:sz w:val="18"/>
                <w:szCs w:val="18"/>
              </w:rPr>
            </w:pPr>
            <w:r>
              <w:rPr>
                <w:rFonts w:hint="eastAsia" w:ascii="宋体" w:hAnsi="宋体" w:cs="Calibri"/>
                <w:sz w:val="18"/>
                <w:szCs w:val="18"/>
              </w:rPr>
              <w:t>▲支持至少1</w:t>
            </w:r>
            <w:r>
              <w:rPr>
                <w:rFonts w:ascii="宋体" w:hAnsi="宋体" w:cs="Calibri"/>
                <w:sz w:val="18"/>
                <w:szCs w:val="18"/>
              </w:rPr>
              <w:t>00</w:t>
            </w:r>
            <w:r>
              <w:rPr>
                <w:rFonts w:hint="eastAsia" w:ascii="宋体" w:hAnsi="宋体" w:cs="Calibri"/>
                <w:sz w:val="18"/>
                <w:szCs w:val="18"/>
              </w:rPr>
              <w:t>个学生端的局域网多媒体信息教学</w:t>
            </w:r>
          </w:p>
          <w:p>
            <w:pPr>
              <w:spacing w:line="360" w:lineRule="auto"/>
              <w:jc w:val="left"/>
              <w:rPr>
                <w:rFonts w:ascii="宋体" w:hAnsi="宋体" w:cs="Calibri"/>
                <w:sz w:val="18"/>
                <w:szCs w:val="18"/>
              </w:rPr>
            </w:pPr>
            <w:r>
              <w:rPr>
                <w:rFonts w:hint="eastAsia" w:ascii="宋体" w:hAnsi="宋体" w:cs="Calibri"/>
                <w:sz w:val="18"/>
                <w:szCs w:val="18"/>
              </w:rPr>
              <w:t>应至少支持以下功能：</w:t>
            </w:r>
          </w:p>
          <w:p>
            <w:pPr>
              <w:spacing w:line="360" w:lineRule="auto"/>
              <w:jc w:val="left"/>
              <w:rPr>
                <w:rFonts w:ascii="宋体" w:hAnsi="宋体" w:cs="Calibri"/>
                <w:sz w:val="18"/>
                <w:szCs w:val="18"/>
              </w:rPr>
            </w:pPr>
            <w:r>
              <w:rPr>
                <w:rFonts w:hint="eastAsia" w:ascii="宋体" w:hAnsi="宋体" w:cs="Calibri"/>
                <w:sz w:val="18"/>
                <w:szCs w:val="18"/>
              </w:rPr>
              <w:t>▲教师演示+录制，学生示范+录制，黑屏肃静，学生端屏幕监视和远程控制，遥控辅导，文件传输，网络考试，电子点名、抢答等</w:t>
            </w:r>
          </w:p>
        </w:tc>
      </w:tr>
    </w:tbl>
    <w:p>
      <w:pPr>
        <w:widowControl/>
        <w:spacing w:line="360" w:lineRule="auto"/>
        <w:jc w:val="left"/>
        <w:rPr>
          <w:rFonts w:ascii="宋体" w:hAnsi="宋体"/>
          <w:sz w:val="18"/>
          <w:szCs w:val="18"/>
        </w:rPr>
      </w:pPr>
      <w:r>
        <w:rPr>
          <w:rFonts w:ascii="宋体" w:hAnsi="宋体"/>
          <w:sz w:val="18"/>
          <w:szCs w:val="18"/>
        </w:rPr>
        <w:br w:type="page"/>
      </w:r>
    </w:p>
    <w:p>
      <w:pPr>
        <w:pStyle w:val="159"/>
        <w:numPr>
          <w:ilvl w:val="0"/>
          <w:numId w:val="3"/>
        </w:numPr>
        <w:spacing w:line="360" w:lineRule="auto"/>
        <w:ind w:firstLineChars="0"/>
        <w:outlineLvl w:val="0"/>
        <w:rPr>
          <w:rFonts w:ascii="宋体" w:hAnsi="宋体"/>
          <w:b/>
          <w:szCs w:val="21"/>
        </w:rPr>
      </w:pPr>
      <w:r>
        <w:rPr>
          <w:rFonts w:hint="eastAsia" w:ascii="宋体" w:hAnsi="宋体"/>
          <w:b/>
          <w:szCs w:val="21"/>
        </w:rPr>
        <w:t xml:space="preserve">主要设备清单及性能指标要求（单间）：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296"/>
        <w:gridCol w:w="6932"/>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noWrap/>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0" w:type="auto"/>
            <w:noWrap/>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设备名称</w:t>
            </w:r>
          </w:p>
        </w:tc>
        <w:tc>
          <w:tcPr>
            <w:tcW w:w="0" w:type="auto"/>
            <w:noWrap/>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规格及参数</w:t>
            </w:r>
          </w:p>
        </w:tc>
        <w:tc>
          <w:tcPr>
            <w:tcW w:w="0" w:type="auto"/>
            <w:noWrap/>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数量</w:t>
            </w:r>
          </w:p>
        </w:tc>
        <w:tc>
          <w:tcPr>
            <w:tcW w:w="0" w:type="auto"/>
            <w:noWrap/>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电动投影幕</w:t>
            </w:r>
          </w:p>
        </w:tc>
        <w:tc>
          <w:tcPr>
            <w:tcW w:w="0" w:type="auto"/>
          </w:tcPr>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150寸，16：10 电动升降幕布</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吸顶音响</w:t>
            </w:r>
          </w:p>
        </w:tc>
        <w:tc>
          <w:tcPr>
            <w:tcW w:w="0" w:type="auto"/>
          </w:tcPr>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1、1×6.5"低音单元+1×0.75"高音单元，同轴扬声器；</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2、16Ω，额定功率60W；</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有线鹅颈话筒</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1.可拆卸话筒杆，话筒杆长度可选； </w:t>
            </w:r>
            <w:r>
              <w:rPr>
                <w:rFonts w:hint="eastAsia" w:ascii="宋体" w:hAnsi="宋体" w:cs="宋体"/>
                <w:kern w:val="0"/>
                <w:sz w:val="18"/>
                <w:szCs w:val="18"/>
              </w:rPr>
              <w:br w:type="textWrapping"/>
            </w:r>
            <w:r>
              <w:rPr>
                <w:rFonts w:hint="eastAsia" w:ascii="宋体" w:hAnsi="宋体" w:cs="宋体"/>
                <w:kern w:val="0"/>
                <w:sz w:val="18"/>
                <w:szCs w:val="18"/>
              </w:rPr>
              <w:t>2.需内置带充电底座，可对无线麦克风进行充电；</w:t>
            </w:r>
            <w:r>
              <w:rPr>
                <w:rFonts w:hint="eastAsia" w:ascii="宋体" w:hAnsi="宋体" w:cs="宋体"/>
                <w:kern w:val="0"/>
                <w:sz w:val="18"/>
                <w:szCs w:val="18"/>
              </w:rPr>
              <w:br w:type="textWrapping"/>
            </w:r>
            <w:r>
              <w:rPr>
                <w:rFonts w:hint="eastAsia" w:ascii="宋体" w:hAnsi="宋体" w:cs="宋体"/>
                <w:kern w:val="0"/>
                <w:sz w:val="18"/>
                <w:szCs w:val="18"/>
              </w:rPr>
              <w:t>3.需带1根音频线（USB接口）用于连接主机传输音频；</w:t>
            </w:r>
            <w:r>
              <w:rPr>
                <w:rFonts w:hint="eastAsia" w:ascii="宋体" w:hAnsi="宋体" w:cs="宋体"/>
                <w:kern w:val="0"/>
                <w:sz w:val="18"/>
                <w:szCs w:val="18"/>
              </w:rPr>
              <w:br w:type="textWrapping"/>
            </w:r>
            <w:r>
              <w:rPr>
                <w:rFonts w:hint="eastAsia" w:ascii="宋体" w:hAnsi="宋体" w:cs="宋体"/>
                <w:kern w:val="0"/>
                <w:sz w:val="18"/>
                <w:szCs w:val="18"/>
              </w:rPr>
              <w:t>4.需具有1个麦克风开/关按键；</w:t>
            </w:r>
            <w:r>
              <w:rPr>
                <w:rFonts w:hint="eastAsia" w:ascii="宋体" w:hAnsi="宋体" w:cs="宋体"/>
                <w:kern w:val="0"/>
                <w:sz w:val="18"/>
                <w:szCs w:val="18"/>
              </w:rPr>
              <w:br w:type="textWrapping"/>
            </w:r>
            <w:r>
              <w:rPr>
                <w:rFonts w:hint="eastAsia" w:ascii="宋体" w:hAnsi="宋体" w:cs="宋体"/>
                <w:kern w:val="0"/>
                <w:sz w:val="18"/>
                <w:szCs w:val="18"/>
              </w:rPr>
              <w:t>5.具有1个USB接口，可使用适配器为充电座供电；</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讲台</w:t>
            </w:r>
          </w:p>
        </w:tc>
        <w:tc>
          <w:tcPr>
            <w:tcW w:w="0" w:type="auto"/>
          </w:tcPr>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1、规格：L*W*H（mm）闭合尺寸：1</w:t>
            </w:r>
            <w:r>
              <w:rPr>
                <w:rFonts w:ascii="宋体" w:hAnsi="宋体" w:cs="宋体"/>
                <w:kern w:val="0"/>
                <w:sz w:val="18"/>
                <w:szCs w:val="18"/>
              </w:rPr>
              <w:t>600</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00*9</w:t>
            </w:r>
            <w:r>
              <w:rPr>
                <w:rFonts w:ascii="宋体" w:hAnsi="宋体" w:cs="宋体"/>
                <w:kern w:val="0"/>
                <w:sz w:val="18"/>
                <w:szCs w:val="18"/>
              </w:rPr>
              <w:t>0</w:t>
            </w:r>
            <w:r>
              <w:rPr>
                <w:rFonts w:hint="eastAsia" w:ascii="宋体" w:hAnsi="宋体" w:cs="宋体"/>
                <w:kern w:val="0"/>
                <w:sz w:val="18"/>
                <w:szCs w:val="18"/>
              </w:rPr>
              <w:t>0（允许正负5mm偏离）；</w:t>
            </w:r>
            <w:r>
              <w:rPr>
                <w:rFonts w:hint="eastAsia" w:ascii="宋体" w:hAnsi="宋体" w:cs="宋体"/>
                <w:kern w:val="0"/>
                <w:sz w:val="18"/>
                <w:szCs w:val="18"/>
              </w:rPr>
              <w:br w:type="textWrapping"/>
            </w:r>
            <w:r>
              <w:rPr>
                <w:rFonts w:hint="eastAsia" w:ascii="宋体" w:hAnsi="宋体" w:cs="宋体"/>
                <w:kern w:val="0"/>
                <w:sz w:val="18"/>
                <w:szCs w:val="18"/>
              </w:rPr>
              <w:t>2、</w:t>
            </w:r>
            <w:r>
              <w:rPr>
                <w:rFonts w:hint="eastAsia" w:ascii="宋体" w:hAnsi="宋体" w:cs="宋体"/>
                <w:kern w:val="0"/>
                <w:sz w:val="18"/>
                <w:szCs w:val="18"/>
              </w:rPr>
              <w:tab/>
            </w:r>
            <w:r>
              <w:rPr>
                <w:rFonts w:hint="eastAsia" w:ascii="宋体" w:hAnsi="宋体" w:cs="宋体"/>
                <w:kern w:val="0"/>
                <w:sz w:val="18"/>
                <w:szCs w:val="18"/>
              </w:rPr>
              <w:t>多媒体讲台材料全部采用木质E0级环保多层板制作，桌面、两侧旁极采用25mm厚E0级环保防水多层板甲醛释放量＜0.3mg/L制作、、四周封1.5mm环保PVC同色封边条，封边胶采用万华品牌无醛PU改性热熔封边胶、其余板材采用18厚E0级环保多层板甲醛释放量＜0.3mg/L制作、四周封1.0mm环保PVC同色封边、封边胶水采用万华品牌无醛PU改性热焙封边胶优质五金配件连接、门铰链采用固特品牌缓冲铰链、抽届道轨采用固特品牌三节静音轨道、门锁采用帝高品牌008型同开锁。</w:t>
            </w:r>
            <w:r>
              <w:rPr>
                <w:rFonts w:hint="eastAsia" w:ascii="宋体" w:hAnsi="宋体" w:cs="宋体"/>
                <w:kern w:val="0"/>
                <w:sz w:val="18"/>
                <w:szCs w:val="18"/>
              </w:rPr>
              <w:br w:type="textWrapping"/>
            </w:r>
            <w:r>
              <w:rPr>
                <w:rFonts w:hint="eastAsia" w:ascii="宋体" w:hAnsi="宋体" w:cs="宋体"/>
                <w:kern w:val="0"/>
                <w:sz w:val="18"/>
                <w:szCs w:val="18"/>
              </w:rPr>
              <w:t>3、学校LOGO</w:t>
            </w:r>
            <w:r>
              <w:rPr>
                <w:rFonts w:hint="eastAsia" w:ascii="宋体" w:hAnsi="宋体" w:cs="宋体"/>
                <w:kern w:val="0"/>
                <w:sz w:val="18"/>
                <w:szCs w:val="18"/>
              </w:rPr>
              <w:br w:type="textWrapping"/>
            </w:r>
            <w:r>
              <w:rPr>
                <w:rFonts w:hint="eastAsia" w:ascii="宋体" w:hAnsi="宋体" w:cs="宋体"/>
                <w:bCs/>
                <w:kern w:val="0"/>
                <w:sz w:val="18"/>
                <w:szCs w:val="18"/>
              </w:rPr>
              <w:t>4、后门打开方便，操作简单，方便所有讲台内设备的拿取更换。</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中控主机</w:t>
            </w:r>
          </w:p>
        </w:tc>
        <w:tc>
          <w:tcPr>
            <w:tcW w:w="0" w:type="auto"/>
          </w:tcPr>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红外传输副载波符合IEC 61603-7数字红外国际标准，DQPSK数字调制/解调技术</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频响：主机线路-主机：50 Hz~20 kHz</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麦克风-主机：100 Hz~20 kHz</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信噪比：≥90 dBA</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总谐波失真：≤0.05%</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采用软硬件一体化、模块化设计，支持无缝扩展其他模块</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具有2个RJ45接口用于连接数字红外接收器</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支持两支无线麦克风</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内置5口千兆网交换机，支持VLAN设置，可分别连接局域网、广域网，满足不同应用环境需求</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内置HDMI矩阵，4路HDMI输入接口，3路HDMI输出接口，支持HDMI1.4标准、HDCP1.4、最高分辨率为3840×2160@30Hz</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1路磁控锁控制接口</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2路可编程RS232通信串口（4PIN凤凰头）</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1路可编辑RS485通信串口（4PIN凤凰头）</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多路音频输入/输出接口：1路模拟音频输入接口用于公共广播输入（Ø 3.5 mm，非平衡）；1路模拟音频输入接口用于PC音频输入（Ø 3.5 mm，非平衡）；2路麦克风输入接口（Ø 3.5mm，带幻象电源）；1路线路输出接口（Ø 3.5 mm立体声，平衡）；1路录音输出接口（Ø 3.5 mm立体声，平衡）</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内置数字音频功放，具有4个扬声器接口，可直接连接音箱</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内置高性能数字信号处理器（DSP），可对音频进行反馈抑制（AFC）和回声消除（AEC），配合吊装式麦克风使用，还可实现噪声消除（ANC）和自动增益控制（AGC）功能</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内置Web Server，可通过浏览器访问主机进行参数设置和管理</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嵌桌式触摸屏</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对角线7寸三防触摸屏</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8口交换机</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8口千兆交换机</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监控系统</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高清红外半球型网络摄像机，1/2.8"200W像素高性能传感器，0.0002Lux星光级低照度，120dB超宽动态。点阵式红外灯，40米红外，3.6、6、8mm定焦镜头。H.264/H.265，1920×1080@30fps，基础智能。1×内置MIC，2×Line IN，1×Line OUT，1×告警输入输出，1×模拟视频输出，1×RS485，1×内置TF卡槽。DC12V/POE，功耗11W。含电源。</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9</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IP电话</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2分机，双网口；支持IMS/SIP/MGCP协议,支持TLS/SRTP/HTTPS/SSH/VPN协议的语音/数据加密，支持TR069/SNMP/APS协议和迅时UMS网管系统，支持T.30/T.38/Smart FoIP传真；普通面包机一套</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接口面板</w:t>
            </w:r>
          </w:p>
        </w:tc>
        <w:tc>
          <w:tcPr>
            <w:tcW w:w="0" w:type="auto"/>
          </w:tcPr>
          <w:p>
            <w:pPr>
              <w:widowControl/>
              <w:spacing w:line="360" w:lineRule="auto"/>
              <w:jc w:val="left"/>
              <w:rPr>
                <w:rFonts w:ascii="宋体" w:hAnsi="宋体" w:cs="宋体"/>
                <w:kern w:val="0"/>
                <w:sz w:val="18"/>
                <w:szCs w:val="18"/>
              </w:rPr>
            </w:pPr>
            <w:r>
              <w:rPr>
                <w:rFonts w:hint="eastAsia" w:ascii="宋体" w:hAnsi="宋体" w:cs="宋体"/>
                <w:bCs/>
                <w:kern w:val="0"/>
                <w:sz w:val="18"/>
                <w:szCs w:val="18"/>
              </w:rPr>
              <w:t>USB3.0线2根，HDMI线1根</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11</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教室内部施工</w:t>
            </w:r>
          </w:p>
        </w:tc>
        <w:tc>
          <w:tcPr>
            <w:tcW w:w="0" w:type="auto"/>
          </w:tcPr>
          <w:p>
            <w:pPr>
              <w:widowControl/>
              <w:spacing w:line="360" w:lineRule="auto"/>
              <w:jc w:val="left"/>
              <w:rPr>
                <w:rFonts w:ascii="宋体" w:hAnsi="宋体" w:cs="宋体"/>
                <w:kern w:val="0"/>
                <w:sz w:val="18"/>
                <w:szCs w:val="18"/>
              </w:rPr>
            </w:pPr>
            <w:r>
              <w:rPr>
                <w:rFonts w:hint="eastAsia" w:ascii="宋体" w:hAnsi="宋体" w:cs="宋体"/>
                <w:kern w:val="0"/>
                <w:sz w:val="18"/>
                <w:szCs w:val="18"/>
              </w:rPr>
              <w:t>1）负责将原来的多媒体教学设备拆除。</w:t>
            </w:r>
            <w:r>
              <w:rPr>
                <w:rFonts w:hint="eastAsia" w:ascii="宋体" w:hAnsi="宋体" w:cs="宋体"/>
                <w:kern w:val="0"/>
                <w:sz w:val="18"/>
                <w:szCs w:val="18"/>
              </w:rPr>
              <w:br w:type="textWrapping"/>
            </w:r>
            <w:r>
              <w:rPr>
                <w:rFonts w:hint="eastAsia" w:ascii="宋体" w:hAnsi="宋体" w:cs="宋体"/>
                <w:kern w:val="0"/>
                <w:sz w:val="18"/>
                <w:szCs w:val="18"/>
              </w:rPr>
              <w:t>2）线材（高清线路，电源线，控制线，网线，音箱线等），零配件，焊接，布线，安装人工</w:t>
            </w:r>
            <w:r>
              <w:rPr>
                <w:rFonts w:hint="eastAsia" w:ascii="宋体" w:hAnsi="宋体" w:cs="宋体"/>
                <w:kern w:val="0"/>
                <w:sz w:val="18"/>
                <w:szCs w:val="18"/>
              </w:rPr>
              <w:br w:type="textWrapping"/>
            </w:r>
            <w:r>
              <w:rPr>
                <w:rFonts w:hint="eastAsia" w:ascii="宋体" w:hAnsi="宋体" w:cs="宋体"/>
                <w:kern w:val="0"/>
                <w:sz w:val="18"/>
                <w:szCs w:val="18"/>
              </w:rPr>
              <w:t>3）保证所投的中控系统可以与学校原有中控系统对接。</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noWrap/>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12</w:t>
            </w:r>
          </w:p>
        </w:tc>
        <w:tc>
          <w:tcPr>
            <w:tcW w:w="0" w:type="auto"/>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网络教学系统</w:t>
            </w:r>
          </w:p>
        </w:tc>
        <w:tc>
          <w:tcPr>
            <w:tcW w:w="0" w:type="auto"/>
          </w:tcPr>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支持Window操作系统，兼容WinXP，Win7，Win8和Win10的32/64位系统</w:t>
            </w:r>
          </w:p>
          <w:p>
            <w:pPr>
              <w:widowControl/>
              <w:spacing w:line="360" w:lineRule="auto"/>
              <w:jc w:val="left"/>
              <w:rPr>
                <w:rFonts w:ascii="宋体" w:hAnsi="宋体" w:cs="宋体"/>
                <w:kern w:val="0"/>
                <w:sz w:val="18"/>
                <w:szCs w:val="18"/>
              </w:rPr>
            </w:pPr>
            <w:r>
              <w:rPr>
                <w:rFonts w:hint="eastAsia" w:ascii="宋体" w:hAnsi="宋体" w:cs="宋体"/>
                <w:kern w:val="0"/>
                <w:sz w:val="18"/>
                <w:szCs w:val="18"/>
              </w:rPr>
              <w:t>支持现有主流硬件系统</w:t>
            </w:r>
          </w:p>
          <w:p>
            <w:pPr>
              <w:widowControl/>
              <w:spacing w:line="360" w:lineRule="auto"/>
              <w:jc w:val="left"/>
              <w:rPr>
                <w:rFonts w:ascii="宋体" w:hAnsi="宋体" w:cs="宋体"/>
                <w:kern w:val="0"/>
                <w:sz w:val="18"/>
                <w:szCs w:val="18"/>
              </w:rPr>
            </w:pPr>
            <w:r>
              <w:rPr>
                <w:rFonts w:hint="eastAsia" w:ascii="宋体" w:hAnsi="宋体" w:cs="Calibri"/>
                <w:sz w:val="18"/>
                <w:szCs w:val="18"/>
              </w:rPr>
              <w:t>▲</w:t>
            </w:r>
            <w:r>
              <w:rPr>
                <w:rFonts w:hint="eastAsia" w:ascii="宋体" w:hAnsi="宋体" w:cs="宋体"/>
                <w:kern w:val="0"/>
                <w:sz w:val="18"/>
                <w:szCs w:val="18"/>
              </w:rPr>
              <w:t>系统安装方便，支持一键同步更新功能</w:t>
            </w:r>
          </w:p>
        </w:tc>
        <w:tc>
          <w:tcPr>
            <w:tcW w:w="0" w:type="auto"/>
            <w:noWrap/>
          </w:tcPr>
          <w:p>
            <w:pPr>
              <w:widowControl/>
              <w:spacing w:line="360" w:lineRule="auto"/>
              <w:jc w:val="center"/>
              <w:rPr>
                <w:rFonts w:ascii="宋体" w:hAnsi="宋体" w:cs="宋体"/>
                <w:kern w:val="0"/>
                <w:sz w:val="18"/>
                <w:szCs w:val="18"/>
              </w:rPr>
            </w:pPr>
          </w:p>
        </w:tc>
        <w:tc>
          <w:tcPr>
            <w:tcW w:w="0" w:type="auto"/>
            <w:noWrap/>
          </w:tcPr>
          <w:p>
            <w:pPr>
              <w:widowControl/>
              <w:spacing w:line="360" w:lineRule="auto"/>
              <w:jc w:val="center"/>
              <w:rPr>
                <w:rFonts w:ascii="宋体" w:hAnsi="宋体" w:cs="宋体"/>
                <w:kern w:val="0"/>
                <w:sz w:val="18"/>
                <w:szCs w:val="18"/>
              </w:rPr>
            </w:pPr>
          </w:p>
        </w:tc>
      </w:tr>
    </w:tbl>
    <w:p>
      <w:pPr>
        <w:widowControl/>
        <w:spacing w:line="360" w:lineRule="auto"/>
        <w:jc w:val="left"/>
        <w:rPr>
          <w:rFonts w:ascii="宋体" w:hAnsi="宋体" w:cstheme="minorBidi"/>
          <w:b/>
          <w:bCs/>
          <w:sz w:val="18"/>
          <w:szCs w:val="18"/>
        </w:rPr>
      </w:pPr>
    </w:p>
    <w:p>
      <w:pPr>
        <w:pStyle w:val="159"/>
        <w:numPr>
          <w:ilvl w:val="0"/>
          <w:numId w:val="3"/>
        </w:numPr>
        <w:spacing w:line="360" w:lineRule="auto"/>
        <w:ind w:firstLineChars="0"/>
        <w:outlineLvl w:val="0"/>
        <w:rPr>
          <w:rFonts w:ascii="宋体" w:hAnsi="宋体"/>
          <w:b/>
          <w:szCs w:val="21"/>
        </w:rPr>
      </w:pPr>
      <w:r>
        <w:rPr>
          <w:rFonts w:hint="eastAsia" w:ascii="宋体" w:hAnsi="宋体"/>
          <w:b/>
          <w:szCs w:val="21"/>
        </w:rPr>
        <w:t>项目整体要求</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以上所列设备为主要设备应有但不局限于，投标方应提供更优的完整的设计方案。打▲的部分为招标要求重点满足项，需在项目整体方案中提供相关材料证明文件并明确标注。</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表中所列设备除投标方自己生产的产品外，主要设备（中控、监控、音箱、功放、IP电话）需提供制造厂家授权书原件和原厂售后服务承诺书原件。</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中标方负责将原来的多媒体教学设备及讲台拆除打包，费用由中标方自行承担。</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中标方必须将拆除后不再安装的旧设备搬运到招标方指定的地点堆放，搬运费用由中标方自行承担。</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建设周期：合同签订后</w:t>
      </w:r>
      <w:r>
        <w:rPr>
          <w:rFonts w:ascii="宋体" w:hAnsi="宋体" w:cs="宋体"/>
          <w:szCs w:val="21"/>
        </w:rPr>
        <w:t>7</w:t>
      </w:r>
      <w:r>
        <w:rPr>
          <w:rFonts w:hint="eastAsia" w:ascii="宋体" w:hAnsi="宋体" w:cs="宋体"/>
          <w:szCs w:val="21"/>
        </w:rPr>
        <w:t>天内交付使用；</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质保期要求：不少于3年；</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售后维修响应时间要求：2小时内响应，4小时内到达现场，24小时内处理完毕。若在24小时内仍未能有效解决，须免费提供同档次的设备供临时使用；</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未在规定期限内交货并通过校方组织的验收，每逾期1天，应偿付甲方货物采购总价0.5%的违约金，逾期5天以上的，校方有权解除合同，投标方还需支付合同金额20%的违约金。</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项目中正确使用各种电缆，不得随意替代使用不同型号的电缆。电源不得随意并接，符合电气安全性能，按要求进行接地保护。</w:t>
      </w:r>
    </w:p>
    <w:p>
      <w:pPr>
        <w:pStyle w:val="143"/>
        <w:numPr>
          <w:ilvl w:val="0"/>
          <w:numId w:val="4"/>
        </w:numPr>
        <w:spacing w:line="360" w:lineRule="auto"/>
        <w:ind w:firstLineChars="0"/>
        <w:rPr>
          <w:rFonts w:ascii="宋体" w:hAnsi="宋体" w:cs="宋体"/>
          <w:szCs w:val="21"/>
        </w:rPr>
      </w:pPr>
      <w:r>
        <w:rPr>
          <w:rFonts w:hint="eastAsia" w:ascii="宋体" w:hAnsi="宋体" w:cs="宋体"/>
          <w:szCs w:val="21"/>
        </w:rPr>
        <w:t>安装工艺要符合相关的工程标准，设备布局统一合理。在教室内布线、布管一定要规范和美观并有清晰标号便于后期维护，不得对现有装修造成损坏。</w:t>
      </w:r>
    </w:p>
    <w:p>
      <w:pPr>
        <w:widowControl/>
        <w:spacing w:line="360" w:lineRule="auto"/>
        <w:jc w:val="left"/>
        <w:rPr>
          <w:rFonts w:ascii="宋体" w:hAnsi="宋体" w:cstheme="minorBidi"/>
          <w:b/>
          <w:bCs/>
          <w:sz w:val="18"/>
          <w:szCs w:val="18"/>
        </w:rPr>
      </w:pPr>
    </w:p>
    <w:p>
      <w:pPr>
        <w:widowControl/>
        <w:spacing w:line="360" w:lineRule="auto"/>
        <w:jc w:val="left"/>
        <w:rPr>
          <w:rFonts w:ascii="宋体" w:hAnsi="宋体" w:cstheme="minorBidi"/>
          <w:b/>
          <w:bCs/>
          <w:sz w:val="18"/>
          <w:szCs w:val="18"/>
        </w:rPr>
      </w:pPr>
    </w:p>
    <w:p>
      <w:pPr>
        <w:widowControl/>
        <w:spacing w:line="360" w:lineRule="auto"/>
        <w:jc w:val="left"/>
        <w:rPr>
          <w:rFonts w:ascii="宋体" w:hAnsi="宋体" w:cstheme="minorBidi"/>
          <w:b/>
          <w:bCs/>
          <w:sz w:val="18"/>
          <w:szCs w:val="18"/>
        </w:rPr>
      </w:pPr>
    </w:p>
    <w:p>
      <w:pPr>
        <w:rPr>
          <w:rFonts w:hint="eastAsia" w:ascii="宋体" w:hAnsi="宋体"/>
          <w:b/>
          <w:bCs/>
          <w:sz w:val="28"/>
          <w:szCs w:val="27"/>
        </w:rPr>
      </w:pPr>
      <w:r>
        <w:rPr>
          <w:rFonts w:hint="eastAsia" w:ascii="宋体" w:hAnsi="宋体"/>
          <w:b/>
          <w:bCs/>
          <w:sz w:val="28"/>
          <w:szCs w:val="27"/>
        </w:rPr>
        <w:br w:type="page"/>
      </w:r>
    </w:p>
    <w:p>
      <w:pPr>
        <w:spacing w:line="360" w:lineRule="auto"/>
        <w:jc w:val="left"/>
        <w:outlineLvl w:val="0"/>
        <w:rPr>
          <w:rFonts w:ascii="宋体" w:hAnsi="宋体"/>
          <w:b/>
          <w:bCs/>
          <w:sz w:val="28"/>
          <w:szCs w:val="27"/>
        </w:rPr>
      </w:pPr>
      <w:r>
        <w:rPr>
          <w:rFonts w:hint="eastAsia" w:ascii="宋体" w:hAnsi="宋体"/>
          <w:b/>
          <w:bCs/>
          <w:sz w:val="28"/>
          <w:szCs w:val="27"/>
        </w:rPr>
        <w:t>评分标准</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2"/>
        <w:gridCol w:w="1012"/>
        <w:gridCol w:w="603"/>
        <w:gridCol w:w="7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blHeader/>
          <w:jc w:val="center"/>
        </w:trPr>
        <w:tc>
          <w:tcPr>
            <w:tcW w:w="0" w:type="auto"/>
            <w:tcBorders>
              <w:top w:val="single" w:color="auto" w:sz="12" w:space="0"/>
              <w:bottom w:val="double" w:color="auto" w:sz="6" w:space="0"/>
            </w:tcBorders>
            <w:vAlign w:val="center"/>
          </w:tcPr>
          <w:p>
            <w:pPr>
              <w:adjustRightInd w:val="0"/>
              <w:spacing w:line="276" w:lineRule="auto"/>
              <w:ind w:left="66" w:leftChars="30" w:right="63" w:rightChars="30" w:hanging="3" w:hangingChars="2"/>
              <w:jc w:val="center"/>
              <w:textAlignment w:val="baseline"/>
              <w:rPr>
                <w:rFonts w:ascii="宋体" w:hAnsi="宋体" w:cs="宋体"/>
                <w:bCs/>
                <w:kern w:val="0"/>
                <w:sz w:val="18"/>
                <w:szCs w:val="18"/>
              </w:rPr>
            </w:pPr>
            <w:bookmarkStart w:id="0" w:name="_GoBack"/>
            <w:r>
              <w:rPr>
                <w:rFonts w:hint="eastAsia" w:ascii="宋体" w:hAnsi="宋体" w:cs="宋体"/>
                <w:bCs/>
                <w:kern w:val="0"/>
                <w:sz w:val="18"/>
                <w:szCs w:val="18"/>
              </w:rPr>
              <w:t>序号</w:t>
            </w:r>
          </w:p>
        </w:tc>
        <w:tc>
          <w:tcPr>
            <w:tcW w:w="0" w:type="auto"/>
            <w:tcBorders>
              <w:top w:val="single" w:color="auto" w:sz="12" w:space="0"/>
              <w:bottom w:val="double" w:color="auto" w:sz="6" w:space="0"/>
            </w:tcBorders>
            <w:vAlign w:val="center"/>
          </w:tcPr>
          <w:p>
            <w:pPr>
              <w:adjustRightInd w:val="0"/>
              <w:spacing w:line="276" w:lineRule="auto"/>
              <w:ind w:left="66" w:leftChars="30" w:right="63" w:rightChars="30" w:hanging="3" w:hangingChars="2"/>
              <w:jc w:val="center"/>
              <w:textAlignment w:val="baseline"/>
              <w:rPr>
                <w:rFonts w:ascii="宋体" w:hAnsi="宋体" w:cs="宋体"/>
                <w:bCs/>
                <w:kern w:val="0"/>
                <w:sz w:val="18"/>
                <w:szCs w:val="18"/>
              </w:rPr>
            </w:pPr>
            <w:r>
              <w:rPr>
                <w:rFonts w:hint="eastAsia" w:ascii="宋体" w:hAnsi="宋体" w:cs="宋体"/>
                <w:bCs/>
                <w:kern w:val="0"/>
                <w:sz w:val="18"/>
                <w:szCs w:val="18"/>
              </w:rPr>
              <w:t>评标要素</w:t>
            </w:r>
          </w:p>
        </w:tc>
        <w:tc>
          <w:tcPr>
            <w:tcW w:w="0" w:type="auto"/>
            <w:tcBorders>
              <w:top w:val="single" w:color="auto" w:sz="12" w:space="0"/>
              <w:bottom w:val="double" w:color="auto" w:sz="6" w:space="0"/>
            </w:tcBorders>
            <w:vAlign w:val="center"/>
          </w:tcPr>
          <w:p>
            <w:pPr>
              <w:adjustRightInd w:val="0"/>
              <w:spacing w:line="276" w:lineRule="auto"/>
              <w:ind w:left="66" w:leftChars="30" w:right="63" w:rightChars="30" w:hanging="3" w:hangingChars="2"/>
              <w:jc w:val="center"/>
              <w:textAlignment w:val="baseline"/>
              <w:rPr>
                <w:rFonts w:ascii="宋体" w:hAnsi="宋体" w:cs="宋体"/>
                <w:bCs/>
                <w:kern w:val="0"/>
                <w:sz w:val="18"/>
                <w:szCs w:val="18"/>
              </w:rPr>
            </w:pPr>
            <w:r>
              <w:rPr>
                <w:rFonts w:hint="eastAsia" w:ascii="宋体" w:hAnsi="宋体" w:cs="宋体"/>
                <w:bCs/>
                <w:kern w:val="0"/>
                <w:sz w:val="18"/>
                <w:szCs w:val="18"/>
              </w:rPr>
              <w:t>满分</w:t>
            </w:r>
            <w:r>
              <w:rPr>
                <w:rFonts w:ascii="宋体" w:hAnsi="宋体" w:cs="宋体"/>
                <w:bCs/>
                <w:kern w:val="0"/>
                <w:sz w:val="18"/>
                <w:szCs w:val="18"/>
              </w:rPr>
              <w:br w:type="textWrapping"/>
            </w:r>
            <w:r>
              <w:rPr>
                <w:rFonts w:hint="eastAsia" w:ascii="宋体" w:hAnsi="宋体" w:cs="宋体"/>
                <w:bCs/>
                <w:kern w:val="0"/>
                <w:sz w:val="18"/>
                <w:szCs w:val="18"/>
              </w:rPr>
              <w:t>分值</w:t>
            </w:r>
          </w:p>
        </w:tc>
        <w:tc>
          <w:tcPr>
            <w:tcW w:w="0" w:type="auto"/>
            <w:tcBorders>
              <w:top w:val="single" w:color="auto" w:sz="12" w:space="0"/>
              <w:bottom w:val="double" w:color="auto" w:sz="6" w:space="0"/>
            </w:tcBorders>
            <w:vAlign w:val="center"/>
          </w:tcPr>
          <w:p>
            <w:pPr>
              <w:adjustRightInd w:val="0"/>
              <w:spacing w:line="276" w:lineRule="auto"/>
              <w:ind w:left="66" w:leftChars="30" w:right="63" w:rightChars="30" w:hanging="3" w:hangingChars="2"/>
              <w:jc w:val="center"/>
              <w:textAlignment w:val="baseline"/>
              <w:rPr>
                <w:rFonts w:ascii="宋体" w:hAnsi="宋体" w:cs="宋体"/>
                <w:bCs/>
                <w:kern w:val="0"/>
                <w:sz w:val="18"/>
                <w:szCs w:val="18"/>
              </w:rPr>
            </w:pPr>
            <w:r>
              <w:rPr>
                <w:rFonts w:hint="eastAsia" w:ascii="宋体" w:hAnsi="宋体" w:cs="宋体"/>
                <w:bCs/>
                <w:kern w:val="0"/>
                <w:sz w:val="18"/>
                <w:szCs w:val="18"/>
              </w:rPr>
              <w:t>主要评审内容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0" w:type="auto"/>
            <w:tcBorders>
              <w:top w:val="double" w:color="auto" w:sz="6" w:space="0"/>
              <w:bottom w:val="single" w:color="auto" w:sz="6" w:space="0"/>
            </w:tcBorders>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tcBorders>
              <w:top w:val="double" w:color="auto" w:sz="6" w:space="0"/>
              <w:bottom w:val="single" w:color="auto" w:sz="6" w:space="0"/>
            </w:tcBorders>
            <w:vAlign w:val="center"/>
          </w:tcPr>
          <w:p>
            <w:pPr>
              <w:spacing w:line="276" w:lineRule="auto"/>
              <w:jc w:val="center"/>
              <w:rPr>
                <w:rFonts w:ascii="宋体" w:hAnsi="宋体" w:cs="宋体"/>
                <w:bCs/>
                <w:sz w:val="18"/>
                <w:szCs w:val="18"/>
              </w:rPr>
            </w:pPr>
            <w:r>
              <w:rPr>
                <w:rFonts w:hint="eastAsia" w:ascii="宋体" w:hAnsi="宋体" w:cs="宋体"/>
                <w:bCs/>
                <w:sz w:val="18"/>
                <w:szCs w:val="18"/>
              </w:rPr>
              <w:t>价格</w:t>
            </w:r>
          </w:p>
        </w:tc>
        <w:tc>
          <w:tcPr>
            <w:tcW w:w="0" w:type="auto"/>
            <w:tcBorders>
              <w:top w:val="double" w:color="auto" w:sz="6" w:space="0"/>
              <w:bottom w:val="single" w:color="auto" w:sz="6" w:space="0"/>
            </w:tcBorders>
            <w:vAlign w:val="center"/>
          </w:tcPr>
          <w:p>
            <w:pPr>
              <w:adjustRightInd w:val="0"/>
              <w:spacing w:line="276" w:lineRule="auto"/>
              <w:ind w:left="4" w:hanging="3" w:hangingChars="2"/>
              <w:jc w:val="center"/>
              <w:textAlignment w:val="baseline"/>
              <w:rPr>
                <w:rFonts w:ascii="宋体" w:hAnsi="宋体" w:cs="宋体"/>
                <w:bCs/>
                <w:kern w:val="0"/>
                <w:sz w:val="18"/>
                <w:szCs w:val="18"/>
              </w:rPr>
            </w:pPr>
            <w:r>
              <w:rPr>
                <w:rFonts w:ascii="宋体" w:hAnsi="宋体" w:cs="宋体"/>
                <w:bCs/>
                <w:kern w:val="0"/>
                <w:sz w:val="18"/>
                <w:szCs w:val="18"/>
              </w:rPr>
              <w:t>30</w:t>
            </w:r>
          </w:p>
        </w:tc>
        <w:tc>
          <w:tcPr>
            <w:tcW w:w="0" w:type="auto"/>
            <w:tcBorders>
              <w:top w:val="double" w:color="auto" w:sz="6" w:space="0"/>
              <w:bottom w:val="single" w:color="auto" w:sz="6" w:space="0"/>
            </w:tcBorders>
            <w:vAlign w:val="center"/>
          </w:tcPr>
          <w:p>
            <w:pPr>
              <w:adjustRightInd w:val="0"/>
              <w:spacing w:line="276" w:lineRule="auto"/>
              <w:ind w:left="4" w:hanging="3" w:hangingChars="2"/>
              <w:textAlignment w:val="baseline"/>
              <w:rPr>
                <w:rFonts w:ascii="宋体" w:hAnsi="宋体" w:cs="宋体"/>
                <w:bCs/>
                <w:kern w:val="0"/>
                <w:sz w:val="18"/>
                <w:szCs w:val="18"/>
              </w:rPr>
            </w:pPr>
            <w:r>
              <w:rPr>
                <w:rFonts w:hint="eastAsia" w:ascii="宋体" w:hAnsi="宋体" w:cs="宋体"/>
                <w:bCs/>
                <w:kern w:val="0"/>
                <w:sz w:val="18"/>
                <w:szCs w:val="18"/>
              </w:rPr>
              <w:t>以进入详细评审的各投标人的评标价的最低价为评标基准价，价格得分</w:t>
            </w:r>
            <w:r>
              <w:rPr>
                <w:rFonts w:ascii="宋体" w:hAnsi="宋体" w:cs="宋体"/>
                <w:bCs/>
                <w:kern w:val="0"/>
                <w:sz w:val="18"/>
                <w:szCs w:val="18"/>
              </w:rPr>
              <w:t>=评标基准价/评标价×30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0" w:type="auto"/>
            <w:tcBorders>
              <w:top w:val="single" w:color="auto" w:sz="6" w:space="0"/>
              <w:bottom w:val="single" w:color="auto" w:sz="6" w:space="0"/>
            </w:tcBorders>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tcBorders>
              <w:top w:val="single" w:color="auto" w:sz="6" w:space="0"/>
              <w:bottom w:val="single" w:color="auto" w:sz="6" w:space="0"/>
            </w:tcBorders>
            <w:vAlign w:val="center"/>
          </w:tcPr>
          <w:p>
            <w:pPr>
              <w:spacing w:line="276" w:lineRule="auto"/>
              <w:jc w:val="center"/>
              <w:rPr>
                <w:rFonts w:ascii="宋体" w:hAnsi="宋体" w:cs="宋体"/>
                <w:bCs/>
                <w:sz w:val="18"/>
                <w:szCs w:val="18"/>
              </w:rPr>
            </w:pPr>
            <w:r>
              <w:rPr>
                <w:rFonts w:hint="eastAsia" w:ascii="宋体" w:hAnsi="宋体" w:cs="宋体"/>
                <w:bCs/>
                <w:sz w:val="18"/>
                <w:szCs w:val="18"/>
              </w:rPr>
              <w:t>技术性能</w:t>
            </w:r>
          </w:p>
        </w:tc>
        <w:tc>
          <w:tcPr>
            <w:tcW w:w="0" w:type="auto"/>
            <w:tcBorders>
              <w:top w:val="single" w:color="auto" w:sz="6" w:space="0"/>
              <w:bottom w:val="single" w:color="auto" w:sz="6" w:space="0"/>
            </w:tcBorders>
            <w:vAlign w:val="center"/>
          </w:tcPr>
          <w:p>
            <w:pPr>
              <w:spacing w:line="276" w:lineRule="auto"/>
              <w:jc w:val="center"/>
              <w:rPr>
                <w:rFonts w:ascii="宋体" w:hAnsi="宋体" w:cs="宋体"/>
                <w:bCs/>
                <w:sz w:val="18"/>
                <w:szCs w:val="18"/>
              </w:rPr>
            </w:pPr>
            <w:r>
              <w:rPr>
                <w:rFonts w:ascii="宋体" w:hAnsi="宋体" w:cs="宋体"/>
                <w:bCs/>
                <w:sz w:val="18"/>
                <w:szCs w:val="18"/>
              </w:rPr>
              <w:t>45</w:t>
            </w:r>
          </w:p>
        </w:tc>
        <w:tc>
          <w:tcPr>
            <w:tcW w:w="0" w:type="auto"/>
            <w:tcBorders>
              <w:top w:val="single" w:color="auto" w:sz="6" w:space="0"/>
              <w:bottom w:val="single" w:color="auto" w:sz="6" w:space="0"/>
            </w:tcBorders>
            <w:vAlign w:val="center"/>
          </w:tcPr>
          <w:p>
            <w:pPr>
              <w:spacing w:line="276" w:lineRule="auto"/>
              <w:jc w:val="left"/>
              <w:rPr>
                <w:rFonts w:ascii="宋体" w:hAnsi="宋体" w:cs="宋体"/>
                <w:bCs/>
                <w:sz w:val="18"/>
                <w:szCs w:val="18"/>
              </w:rPr>
            </w:pPr>
            <w:r>
              <w:rPr>
                <w:rFonts w:hint="eastAsia" w:ascii="宋体" w:hAnsi="宋体" w:cs="宋体"/>
                <w:bCs/>
                <w:sz w:val="18"/>
                <w:szCs w:val="18"/>
              </w:rPr>
              <w:t>综合考虑所提供产品的设备的性能及质量优劣进行评分，即是否能充分体现性能质量包括但不限于：设备及产品性能、原产地、规格、生产工艺、使用年限、主要部件详细描述、品牌知名度等进行评分。评分标准：</w:t>
            </w:r>
          </w:p>
          <w:p>
            <w:pPr>
              <w:numPr>
                <w:ilvl w:val="0"/>
                <w:numId w:val="6"/>
              </w:numPr>
              <w:spacing w:line="276" w:lineRule="auto"/>
              <w:jc w:val="left"/>
              <w:rPr>
                <w:rFonts w:ascii="宋体" w:hAnsi="宋体" w:cs="宋体"/>
                <w:bCs/>
                <w:sz w:val="18"/>
                <w:szCs w:val="18"/>
              </w:rPr>
            </w:pPr>
            <w:r>
              <w:rPr>
                <w:rFonts w:hint="eastAsia" w:ascii="宋体" w:hAnsi="宋体" w:cs="宋体"/>
                <w:bCs/>
                <w:sz w:val="18"/>
                <w:szCs w:val="18"/>
              </w:rPr>
              <w:t>系统整体方案</w:t>
            </w:r>
            <w:r>
              <w:rPr>
                <w:rFonts w:ascii="宋体" w:hAnsi="宋体" w:cs="宋体"/>
                <w:bCs/>
                <w:sz w:val="18"/>
                <w:szCs w:val="18"/>
              </w:rPr>
              <w:t>10</w:t>
            </w:r>
            <w:r>
              <w:rPr>
                <w:rFonts w:hint="eastAsia" w:ascii="宋体" w:hAnsi="宋体" w:cs="宋体"/>
                <w:bCs/>
                <w:sz w:val="18"/>
                <w:szCs w:val="18"/>
              </w:rPr>
              <w:t>分：良好</w:t>
            </w:r>
            <w:r>
              <w:rPr>
                <w:rFonts w:ascii="宋体" w:hAnsi="宋体" w:cs="宋体"/>
                <w:bCs/>
                <w:sz w:val="18"/>
                <w:szCs w:val="18"/>
              </w:rPr>
              <w:t>8-10</w:t>
            </w:r>
            <w:r>
              <w:rPr>
                <w:rFonts w:hint="eastAsia" w:ascii="宋体" w:hAnsi="宋体" w:cs="宋体"/>
                <w:bCs/>
                <w:sz w:val="18"/>
                <w:szCs w:val="18"/>
              </w:rPr>
              <w:t>分，一般</w:t>
            </w:r>
            <w:r>
              <w:rPr>
                <w:rFonts w:ascii="宋体" w:hAnsi="宋体" w:cs="宋体"/>
                <w:bCs/>
                <w:sz w:val="18"/>
                <w:szCs w:val="18"/>
              </w:rPr>
              <w:t>4-7</w:t>
            </w:r>
            <w:r>
              <w:rPr>
                <w:rFonts w:hint="eastAsia" w:ascii="宋体" w:hAnsi="宋体" w:cs="宋体"/>
                <w:bCs/>
                <w:sz w:val="18"/>
                <w:szCs w:val="18"/>
              </w:rPr>
              <w:t>分，较差</w:t>
            </w:r>
            <w:r>
              <w:rPr>
                <w:rFonts w:ascii="宋体" w:hAnsi="宋体" w:cs="宋体"/>
                <w:bCs/>
                <w:sz w:val="18"/>
                <w:szCs w:val="18"/>
              </w:rPr>
              <w:t>1-3</w:t>
            </w:r>
            <w:r>
              <w:rPr>
                <w:rFonts w:hint="eastAsia" w:ascii="宋体" w:hAnsi="宋体" w:cs="宋体"/>
                <w:bCs/>
                <w:sz w:val="18"/>
                <w:szCs w:val="18"/>
              </w:rPr>
              <w:t>分</w:t>
            </w:r>
          </w:p>
          <w:p>
            <w:pPr>
              <w:spacing w:after="120" w:line="276" w:lineRule="auto"/>
              <w:rPr>
                <w:rFonts w:ascii="宋体" w:hAnsi="宋体"/>
                <w:sz w:val="18"/>
                <w:szCs w:val="18"/>
              </w:rPr>
            </w:pPr>
            <w:r>
              <w:rPr>
                <w:rFonts w:hint="eastAsia" w:ascii="宋体" w:hAnsi="宋体" w:cs="宋体"/>
                <w:sz w:val="18"/>
                <w:szCs w:val="18"/>
              </w:rPr>
              <w:t>需提供投标货物技术偏离表，未提供的不得分。</w:t>
            </w:r>
          </w:p>
          <w:p>
            <w:pPr>
              <w:numPr>
                <w:ilvl w:val="0"/>
                <w:numId w:val="6"/>
              </w:numPr>
              <w:spacing w:line="276" w:lineRule="auto"/>
              <w:jc w:val="left"/>
              <w:rPr>
                <w:rFonts w:ascii="宋体" w:hAnsi="宋体" w:cs="宋体"/>
                <w:sz w:val="18"/>
                <w:szCs w:val="18"/>
              </w:rPr>
            </w:pPr>
            <w:r>
              <w:rPr>
                <w:rFonts w:hint="eastAsia" w:ascii="宋体" w:hAnsi="宋体" w:cs="宋体"/>
                <w:bCs/>
                <w:sz w:val="18"/>
                <w:szCs w:val="18"/>
              </w:rPr>
              <w:t>技术功能要求</w:t>
            </w:r>
            <w:r>
              <w:rPr>
                <w:rFonts w:ascii="宋体" w:hAnsi="宋体" w:cs="宋体"/>
                <w:bCs/>
                <w:sz w:val="18"/>
                <w:szCs w:val="18"/>
              </w:rPr>
              <w:t>基准分9</w:t>
            </w:r>
            <w:r>
              <w:rPr>
                <w:rFonts w:hint="eastAsia" w:ascii="宋体" w:hAnsi="宋体" w:cs="宋体"/>
                <w:bCs/>
                <w:sz w:val="18"/>
                <w:szCs w:val="18"/>
              </w:rPr>
              <w:t>分，</w:t>
            </w:r>
            <w:r>
              <w:rPr>
                <w:rFonts w:hint="eastAsia" w:ascii="宋体" w:hAnsi="宋体" w:cs="宋体"/>
                <w:sz w:val="18"/>
                <w:szCs w:val="18"/>
              </w:rPr>
              <w:t>带▲号项为招标要求重要指标项，总共</w:t>
            </w:r>
            <w:r>
              <w:rPr>
                <w:rFonts w:ascii="宋体" w:hAnsi="宋体" w:cs="宋体"/>
                <w:sz w:val="18"/>
                <w:szCs w:val="18"/>
              </w:rPr>
              <w:t>22</w:t>
            </w:r>
            <w:r>
              <w:rPr>
                <w:rFonts w:hint="eastAsia" w:ascii="宋体" w:hAnsi="宋体" w:cs="宋体"/>
                <w:sz w:val="18"/>
                <w:szCs w:val="18"/>
              </w:rPr>
              <w:t>项，满足一项得</w:t>
            </w:r>
            <w:r>
              <w:rPr>
                <w:rFonts w:ascii="宋体" w:hAnsi="宋体" w:cs="宋体"/>
                <w:sz w:val="18"/>
                <w:szCs w:val="18"/>
              </w:rPr>
              <w:t>0.5</w:t>
            </w:r>
            <w:r>
              <w:rPr>
                <w:rFonts w:hint="eastAsia" w:ascii="宋体" w:hAnsi="宋体" w:cs="宋体"/>
                <w:sz w:val="18"/>
                <w:szCs w:val="18"/>
              </w:rPr>
              <w:t>分，最高得</w:t>
            </w:r>
            <w:r>
              <w:rPr>
                <w:rFonts w:ascii="宋体" w:hAnsi="宋体" w:cs="宋体"/>
                <w:sz w:val="18"/>
                <w:szCs w:val="18"/>
              </w:rPr>
              <w:t>20</w:t>
            </w:r>
            <w:r>
              <w:rPr>
                <w:rFonts w:hint="eastAsia" w:ascii="宋体" w:hAnsi="宋体" w:cs="宋体"/>
                <w:sz w:val="18"/>
                <w:szCs w:val="18"/>
              </w:rPr>
              <w:t>分。</w:t>
            </w:r>
          </w:p>
          <w:p>
            <w:pPr>
              <w:numPr>
                <w:ilvl w:val="0"/>
                <w:numId w:val="6"/>
              </w:numPr>
              <w:spacing w:line="276" w:lineRule="auto"/>
              <w:jc w:val="left"/>
              <w:rPr>
                <w:rFonts w:ascii="宋体" w:hAnsi="宋体" w:cs="宋体"/>
                <w:sz w:val="18"/>
                <w:szCs w:val="18"/>
              </w:rPr>
            </w:pPr>
            <w:r>
              <w:rPr>
                <w:rFonts w:hint="eastAsia" w:ascii="宋体" w:hAnsi="宋体" w:cs="宋体"/>
                <w:bCs/>
                <w:sz w:val="18"/>
                <w:szCs w:val="18"/>
              </w:rPr>
              <w:t>产品技术参数指标基准分</w:t>
            </w:r>
            <w:r>
              <w:rPr>
                <w:rFonts w:ascii="宋体" w:hAnsi="宋体" w:cs="宋体"/>
                <w:bCs/>
                <w:sz w:val="18"/>
                <w:szCs w:val="18"/>
              </w:rPr>
              <w:t>9</w:t>
            </w:r>
            <w:r>
              <w:rPr>
                <w:rFonts w:hint="eastAsia" w:ascii="宋体" w:hAnsi="宋体" w:cs="宋体"/>
                <w:bCs/>
                <w:sz w:val="18"/>
                <w:szCs w:val="18"/>
              </w:rPr>
              <w:t>分，</w:t>
            </w:r>
            <w:r>
              <w:rPr>
                <w:rFonts w:hint="eastAsia" w:ascii="宋体" w:hAnsi="宋体" w:cs="宋体"/>
                <w:sz w:val="18"/>
                <w:szCs w:val="18"/>
              </w:rPr>
              <w:t>带▲号项为招标要求重要指标项，总共</w:t>
            </w:r>
            <w:r>
              <w:rPr>
                <w:rFonts w:ascii="宋体" w:hAnsi="宋体" w:cs="宋体"/>
                <w:sz w:val="18"/>
                <w:szCs w:val="18"/>
              </w:rPr>
              <w:t>12</w:t>
            </w:r>
            <w:r>
              <w:rPr>
                <w:rFonts w:hint="eastAsia" w:ascii="宋体" w:hAnsi="宋体" w:cs="宋体"/>
                <w:sz w:val="18"/>
                <w:szCs w:val="18"/>
              </w:rPr>
              <w:t>项，满足一项得</w:t>
            </w:r>
            <w:r>
              <w:rPr>
                <w:rFonts w:ascii="宋体" w:hAnsi="宋体" w:cs="宋体"/>
                <w:sz w:val="18"/>
                <w:szCs w:val="18"/>
              </w:rPr>
              <w:t>0.5</w:t>
            </w:r>
            <w:r>
              <w:rPr>
                <w:rFonts w:hint="eastAsia" w:ascii="宋体" w:hAnsi="宋体" w:cs="宋体"/>
                <w:sz w:val="18"/>
                <w:szCs w:val="18"/>
              </w:rPr>
              <w:t>分，最高得</w:t>
            </w:r>
            <w:r>
              <w:rPr>
                <w:rFonts w:ascii="宋体" w:hAnsi="宋体" w:cs="宋体"/>
                <w:sz w:val="18"/>
                <w:szCs w:val="18"/>
              </w:rPr>
              <w:t>15</w:t>
            </w:r>
            <w:r>
              <w:rPr>
                <w:rFonts w:hint="eastAsia" w:ascii="宋体" w:hAnsi="宋体" w:cs="宋体"/>
                <w:sz w:val="18"/>
                <w:szCs w:val="18"/>
              </w:rPr>
              <w:t>分。</w:t>
            </w:r>
          </w:p>
          <w:p>
            <w:pPr>
              <w:spacing w:line="276" w:lineRule="auto"/>
              <w:jc w:val="left"/>
              <w:rPr>
                <w:rFonts w:ascii="宋体" w:hAnsi="宋体" w:cs="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0" w:type="auto"/>
            <w:tcBorders>
              <w:top w:val="single" w:color="auto" w:sz="6" w:space="0"/>
              <w:bottom w:val="single" w:color="auto" w:sz="12" w:space="0"/>
            </w:tcBorders>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tcBorders>
              <w:top w:val="single" w:color="auto" w:sz="6" w:space="0"/>
              <w:bottom w:val="single" w:color="auto" w:sz="12" w:space="0"/>
            </w:tcBorders>
            <w:vAlign w:val="center"/>
          </w:tcPr>
          <w:p>
            <w:pPr>
              <w:spacing w:line="276" w:lineRule="auto"/>
              <w:jc w:val="center"/>
              <w:rPr>
                <w:rFonts w:ascii="宋体" w:hAnsi="宋体" w:cs="宋体"/>
                <w:bCs/>
                <w:sz w:val="18"/>
                <w:szCs w:val="18"/>
              </w:rPr>
            </w:pPr>
            <w:r>
              <w:rPr>
                <w:rFonts w:hint="eastAsia" w:ascii="宋体" w:hAnsi="宋体" w:cs="宋体"/>
                <w:bCs/>
                <w:sz w:val="18"/>
                <w:szCs w:val="18"/>
              </w:rPr>
              <w:t>履约能力</w:t>
            </w:r>
          </w:p>
        </w:tc>
        <w:tc>
          <w:tcPr>
            <w:tcW w:w="0" w:type="auto"/>
            <w:tcBorders>
              <w:top w:val="single" w:color="auto" w:sz="6" w:space="0"/>
              <w:bottom w:val="single" w:color="auto" w:sz="12" w:space="0"/>
            </w:tcBorders>
            <w:vAlign w:val="center"/>
          </w:tcPr>
          <w:p>
            <w:pPr>
              <w:spacing w:line="276" w:lineRule="auto"/>
              <w:jc w:val="center"/>
              <w:rPr>
                <w:rFonts w:ascii="宋体" w:hAnsi="宋体" w:cs="宋体"/>
                <w:bCs/>
                <w:sz w:val="18"/>
                <w:szCs w:val="18"/>
              </w:rPr>
            </w:pPr>
            <w:r>
              <w:rPr>
                <w:rFonts w:ascii="宋体" w:hAnsi="宋体" w:cs="宋体"/>
                <w:bCs/>
                <w:sz w:val="18"/>
                <w:szCs w:val="18"/>
              </w:rPr>
              <w:t>5</w:t>
            </w:r>
          </w:p>
        </w:tc>
        <w:tc>
          <w:tcPr>
            <w:tcW w:w="0" w:type="auto"/>
            <w:tcBorders>
              <w:top w:val="single" w:color="auto" w:sz="6" w:space="0"/>
              <w:bottom w:val="single" w:color="auto" w:sz="12" w:space="0"/>
            </w:tcBorders>
            <w:vAlign w:val="center"/>
          </w:tcPr>
          <w:p>
            <w:pPr>
              <w:spacing w:line="276" w:lineRule="auto"/>
              <w:jc w:val="left"/>
              <w:rPr>
                <w:rFonts w:ascii="宋体" w:hAnsi="宋体" w:cs="宋体"/>
                <w:bCs/>
                <w:sz w:val="18"/>
                <w:szCs w:val="18"/>
              </w:rPr>
            </w:pPr>
            <w:r>
              <w:rPr>
                <w:rFonts w:hint="eastAsia" w:ascii="宋体" w:hAnsi="宋体" w:cs="宋体"/>
                <w:bCs/>
                <w:sz w:val="18"/>
                <w:szCs w:val="18"/>
              </w:rPr>
              <w:t>针对本项目的制造厂家授权：</w:t>
            </w:r>
          </w:p>
          <w:p>
            <w:pPr>
              <w:spacing w:line="276" w:lineRule="auto"/>
              <w:jc w:val="left"/>
              <w:rPr>
                <w:rFonts w:ascii="宋体" w:hAnsi="宋体" w:cs="宋体"/>
                <w:bCs/>
                <w:sz w:val="18"/>
                <w:szCs w:val="18"/>
              </w:rPr>
            </w:pPr>
            <w:r>
              <w:rPr>
                <w:rFonts w:hint="eastAsia" w:ascii="宋体" w:hAnsi="宋体" w:cs="宋体"/>
                <w:bCs/>
                <w:sz w:val="18"/>
                <w:szCs w:val="18"/>
              </w:rPr>
              <w:t>提供投标主要产品（中控、监控、音箱、功放、I</w:t>
            </w:r>
            <w:r>
              <w:rPr>
                <w:rFonts w:ascii="宋体" w:hAnsi="宋体" w:cs="宋体"/>
                <w:bCs/>
                <w:sz w:val="18"/>
                <w:szCs w:val="18"/>
              </w:rPr>
              <w:t>P</w:t>
            </w:r>
            <w:r>
              <w:rPr>
                <w:rFonts w:hint="eastAsia" w:ascii="宋体" w:hAnsi="宋体" w:cs="宋体"/>
                <w:bCs/>
                <w:sz w:val="18"/>
                <w:szCs w:val="18"/>
              </w:rPr>
              <w:t>电话）的制造厂家授权书原件和原厂售后服务承诺书原件的得</w:t>
            </w:r>
            <w:r>
              <w:rPr>
                <w:rFonts w:ascii="宋体" w:hAnsi="宋体" w:cs="宋体"/>
                <w:bCs/>
                <w:sz w:val="18"/>
                <w:szCs w:val="18"/>
              </w:rPr>
              <w:t>5</w:t>
            </w:r>
            <w:r>
              <w:rPr>
                <w:rFonts w:hint="eastAsia" w:ascii="宋体" w:hAnsi="宋体" w:cs="宋体"/>
                <w:bCs/>
                <w:sz w:val="18"/>
                <w:szCs w:val="18"/>
              </w:rPr>
              <w:t>分，有任一缺漏的，缺一项扣1分，直到扣完</w:t>
            </w:r>
            <w:r>
              <w:rPr>
                <w:rFonts w:ascii="宋体" w:hAnsi="宋体" w:cs="宋体"/>
                <w:bCs/>
                <w:sz w:val="18"/>
                <w:szCs w:val="18"/>
              </w:rPr>
              <w:t>5</w:t>
            </w:r>
            <w:r>
              <w:rPr>
                <w:rFonts w:hint="eastAsia" w:ascii="宋体" w:hAnsi="宋体" w:cs="宋体"/>
                <w:bCs/>
                <w:sz w:val="18"/>
                <w:szCs w:val="18"/>
              </w:rPr>
              <w:t>分。</w:t>
            </w:r>
          </w:p>
          <w:p>
            <w:pPr>
              <w:spacing w:line="276" w:lineRule="auto"/>
              <w:jc w:val="left"/>
              <w:rPr>
                <w:rFonts w:ascii="宋体" w:hAnsi="宋体" w:cs="宋体"/>
                <w:bCs/>
                <w:sz w:val="18"/>
                <w:szCs w:val="18"/>
              </w:rPr>
            </w:pPr>
            <w:r>
              <w:rPr>
                <w:rFonts w:hint="eastAsia" w:ascii="宋体" w:hAnsi="宋体" w:cs="宋体"/>
                <w:bCs/>
                <w:sz w:val="18"/>
                <w:szCs w:val="18"/>
              </w:rPr>
              <w:t>注：建议投标人将以上资料依次集中装订。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0" w:type="auto"/>
            <w:tcBorders>
              <w:top w:val="single" w:color="auto" w:sz="6" w:space="0"/>
              <w:bottom w:val="single" w:color="auto" w:sz="12" w:space="0"/>
            </w:tcBorders>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tcBorders>
              <w:top w:val="single" w:color="auto" w:sz="6" w:space="0"/>
              <w:bottom w:val="single" w:color="auto" w:sz="12" w:space="0"/>
            </w:tcBorders>
            <w:vAlign w:val="center"/>
          </w:tcPr>
          <w:p>
            <w:pPr>
              <w:spacing w:line="276" w:lineRule="auto"/>
              <w:jc w:val="center"/>
              <w:rPr>
                <w:rFonts w:ascii="宋体" w:hAnsi="宋体" w:cs="宋体"/>
                <w:bCs/>
                <w:sz w:val="18"/>
                <w:szCs w:val="18"/>
              </w:rPr>
            </w:pPr>
            <w:r>
              <w:rPr>
                <w:rFonts w:hint="eastAsia" w:ascii="宋体" w:hAnsi="宋体" w:cs="Calibri"/>
                <w:bCs/>
                <w:sz w:val="18"/>
                <w:szCs w:val="18"/>
              </w:rPr>
              <w:t>系统优化设计</w:t>
            </w:r>
          </w:p>
        </w:tc>
        <w:tc>
          <w:tcPr>
            <w:tcW w:w="0" w:type="auto"/>
            <w:tcBorders>
              <w:top w:val="single" w:color="auto" w:sz="6" w:space="0"/>
              <w:bottom w:val="single" w:color="auto" w:sz="12" w:space="0"/>
            </w:tcBorders>
            <w:vAlign w:val="center"/>
          </w:tcPr>
          <w:p>
            <w:pPr>
              <w:spacing w:line="276" w:lineRule="auto"/>
              <w:jc w:val="center"/>
              <w:rPr>
                <w:rFonts w:ascii="宋体" w:hAnsi="宋体" w:cs="宋体"/>
                <w:bCs/>
                <w:sz w:val="18"/>
                <w:szCs w:val="18"/>
              </w:rPr>
            </w:pPr>
            <w:r>
              <w:rPr>
                <w:rFonts w:ascii="宋体" w:hAnsi="宋体" w:cs="宋体"/>
                <w:bCs/>
                <w:sz w:val="18"/>
                <w:szCs w:val="18"/>
              </w:rPr>
              <w:t>5</w:t>
            </w:r>
          </w:p>
        </w:tc>
        <w:tc>
          <w:tcPr>
            <w:tcW w:w="0" w:type="auto"/>
            <w:tcBorders>
              <w:top w:val="single" w:color="auto" w:sz="6" w:space="0"/>
              <w:bottom w:val="single" w:color="auto" w:sz="12" w:space="0"/>
            </w:tcBorders>
            <w:vAlign w:val="center"/>
          </w:tcPr>
          <w:p>
            <w:pPr>
              <w:spacing w:line="276" w:lineRule="auto"/>
              <w:jc w:val="left"/>
              <w:rPr>
                <w:rFonts w:ascii="宋体" w:hAnsi="宋体" w:cs="宋体"/>
                <w:bCs/>
                <w:sz w:val="18"/>
                <w:szCs w:val="18"/>
              </w:rPr>
            </w:pPr>
            <w:r>
              <w:rPr>
                <w:rFonts w:hint="eastAsia" w:ascii="宋体" w:hAnsi="宋体" w:cs="宋体"/>
                <w:bCs/>
                <w:sz w:val="18"/>
                <w:szCs w:val="18"/>
              </w:rPr>
              <w:t>根据招标方教室面积及设备情况提供合理的设备布线图，布线图详细合理：得</w:t>
            </w:r>
            <w:r>
              <w:rPr>
                <w:rFonts w:ascii="宋体" w:hAnsi="宋体" w:cs="宋体"/>
                <w:bCs/>
                <w:sz w:val="18"/>
                <w:szCs w:val="18"/>
              </w:rPr>
              <w:t>4-5</w:t>
            </w:r>
            <w:r>
              <w:rPr>
                <w:rFonts w:hint="eastAsia" w:ascii="宋体" w:hAnsi="宋体" w:cs="宋体"/>
                <w:bCs/>
                <w:sz w:val="18"/>
                <w:szCs w:val="18"/>
              </w:rPr>
              <w:t>分；布线图一般：得</w:t>
            </w:r>
            <w:r>
              <w:rPr>
                <w:rFonts w:ascii="宋体" w:hAnsi="宋体" w:cs="宋体"/>
                <w:bCs/>
                <w:sz w:val="18"/>
                <w:szCs w:val="18"/>
              </w:rPr>
              <w:t>2-3</w:t>
            </w:r>
            <w:r>
              <w:rPr>
                <w:rFonts w:hint="eastAsia" w:ascii="宋体" w:hAnsi="宋体" w:cs="宋体"/>
                <w:bCs/>
                <w:sz w:val="18"/>
                <w:szCs w:val="18"/>
              </w:rPr>
              <w:t>分；布线图较差：得1分；无布线图：得0分。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0" w:type="auto"/>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vAlign w:val="center"/>
          </w:tcPr>
          <w:p>
            <w:pPr>
              <w:spacing w:line="276" w:lineRule="auto"/>
              <w:jc w:val="center"/>
              <w:rPr>
                <w:rFonts w:ascii="宋体" w:hAnsi="宋体" w:cs="宋体"/>
                <w:bCs/>
                <w:sz w:val="18"/>
                <w:szCs w:val="18"/>
              </w:rPr>
            </w:pPr>
            <w:r>
              <w:rPr>
                <w:rFonts w:hint="eastAsia" w:ascii="宋体" w:hAnsi="宋体" w:cs="宋体"/>
                <w:bCs/>
                <w:sz w:val="18"/>
                <w:szCs w:val="18"/>
              </w:rPr>
              <w:t>售后服务及交货期</w:t>
            </w:r>
          </w:p>
        </w:tc>
        <w:tc>
          <w:tcPr>
            <w:tcW w:w="0" w:type="auto"/>
            <w:vAlign w:val="center"/>
          </w:tcPr>
          <w:p>
            <w:pPr>
              <w:spacing w:line="276" w:lineRule="auto"/>
              <w:jc w:val="center"/>
              <w:rPr>
                <w:rFonts w:ascii="宋体" w:hAnsi="宋体" w:cs="宋体"/>
                <w:bCs/>
                <w:sz w:val="18"/>
                <w:szCs w:val="18"/>
              </w:rPr>
            </w:pPr>
            <w:r>
              <w:rPr>
                <w:rFonts w:ascii="宋体" w:hAnsi="宋体" w:cs="宋体"/>
                <w:bCs/>
                <w:sz w:val="18"/>
                <w:szCs w:val="18"/>
              </w:rPr>
              <w:t>10</w:t>
            </w:r>
          </w:p>
        </w:tc>
        <w:tc>
          <w:tcPr>
            <w:tcW w:w="0" w:type="auto"/>
            <w:vAlign w:val="center"/>
          </w:tcPr>
          <w:p>
            <w:pPr>
              <w:spacing w:line="276" w:lineRule="auto"/>
              <w:jc w:val="left"/>
              <w:rPr>
                <w:rFonts w:ascii="宋体" w:hAnsi="宋体" w:cs="宋体"/>
                <w:bCs/>
                <w:sz w:val="18"/>
                <w:szCs w:val="18"/>
              </w:rPr>
            </w:pPr>
            <w:r>
              <w:rPr>
                <w:rFonts w:hint="eastAsia" w:ascii="宋体" w:hAnsi="宋体" w:cs="宋体"/>
                <w:bCs/>
                <w:sz w:val="18"/>
                <w:szCs w:val="18"/>
              </w:rPr>
              <w:t>综合考虑售后服务承诺、质保期及交货方案等进行评分：</w:t>
            </w:r>
          </w:p>
          <w:p>
            <w:pPr>
              <w:spacing w:line="276" w:lineRule="auto"/>
              <w:jc w:val="left"/>
              <w:rPr>
                <w:rFonts w:ascii="宋体" w:hAnsi="宋体" w:cs="宋体"/>
                <w:bCs/>
                <w:sz w:val="18"/>
                <w:szCs w:val="18"/>
              </w:rPr>
            </w:pPr>
            <w:r>
              <w:rPr>
                <w:rFonts w:hint="eastAsia" w:ascii="宋体" w:hAnsi="宋体" w:cs="宋体"/>
                <w:bCs/>
                <w:sz w:val="18"/>
                <w:szCs w:val="18"/>
              </w:rPr>
              <w:t>（1）质保期：</w:t>
            </w:r>
          </w:p>
          <w:p>
            <w:pPr>
              <w:spacing w:line="276" w:lineRule="auto"/>
              <w:jc w:val="left"/>
              <w:rPr>
                <w:rFonts w:ascii="宋体" w:hAnsi="宋体" w:cs="宋体"/>
                <w:bCs/>
                <w:sz w:val="18"/>
                <w:szCs w:val="18"/>
              </w:rPr>
            </w:pPr>
            <w:r>
              <w:rPr>
                <w:rFonts w:hint="eastAsia" w:ascii="宋体" w:hAnsi="宋体" w:cs="宋体"/>
                <w:bCs/>
                <w:sz w:val="18"/>
                <w:szCs w:val="18"/>
              </w:rPr>
              <w:t>质保期低于招标要求，得0分；符合招标要求，得1分；高于招标要求，每增加1年加1分，最高得3分。</w:t>
            </w:r>
          </w:p>
          <w:p>
            <w:pPr>
              <w:spacing w:line="276" w:lineRule="auto"/>
              <w:jc w:val="left"/>
              <w:rPr>
                <w:rFonts w:ascii="宋体" w:hAnsi="宋体" w:cs="宋体"/>
                <w:bCs/>
                <w:sz w:val="18"/>
                <w:szCs w:val="18"/>
              </w:rPr>
            </w:pPr>
            <w:r>
              <w:rPr>
                <w:rFonts w:hint="eastAsia" w:ascii="宋体" w:hAnsi="宋体" w:cs="宋体"/>
                <w:bCs/>
                <w:sz w:val="18"/>
                <w:szCs w:val="18"/>
              </w:rPr>
              <w:t>（2）维修响应时间：</w:t>
            </w:r>
          </w:p>
          <w:p>
            <w:pPr>
              <w:spacing w:line="276" w:lineRule="auto"/>
              <w:jc w:val="left"/>
              <w:rPr>
                <w:rFonts w:ascii="宋体" w:hAnsi="宋体" w:cs="宋体"/>
                <w:bCs/>
                <w:sz w:val="18"/>
                <w:szCs w:val="18"/>
              </w:rPr>
            </w:pPr>
            <w:r>
              <w:rPr>
                <w:rFonts w:hint="eastAsia" w:ascii="宋体" w:hAnsi="宋体" w:cs="宋体"/>
                <w:bCs/>
                <w:sz w:val="18"/>
                <w:szCs w:val="18"/>
              </w:rPr>
              <w:t>到场速度及修复时间优于招标要求，得2分；</w:t>
            </w:r>
          </w:p>
          <w:p>
            <w:pPr>
              <w:spacing w:line="276" w:lineRule="auto"/>
              <w:jc w:val="left"/>
              <w:rPr>
                <w:rFonts w:ascii="宋体" w:hAnsi="宋体" w:cs="宋体"/>
                <w:bCs/>
                <w:sz w:val="18"/>
                <w:szCs w:val="18"/>
              </w:rPr>
            </w:pPr>
            <w:r>
              <w:rPr>
                <w:rFonts w:hint="eastAsia" w:ascii="宋体" w:hAnsi="宋体" w:cs="宋体"/>
                <w:bCs/>
                <w:sz w:val="18"/>
                <w:szCs w:val="18"/>
              </w:rPr>
              <w:t>到场速度及修复时间满足招标要求，得1分；</w:t>
            </w:r>
          </w:p>
          <w:p>
            <w:pPr>
              <w:spacing w:line="276" w:lineRule="auto"/>
              <w:jc w:val="left"/>
              <w:rPr>
                <w:rFonts w:ascii="宋体" w:hAnsi="宋体" w:cs="宋体"/>
                <w:bCs/>
                <w:sz w:val="18"/>
                <w:szCs w:val="18"/>
              </w:rPr>
            </w:pPr>
            <w:r>
              <w:rPr>
                <w:rFonts w:hint="eastAsia" w:ascii="宋体" w:hAnsi="宋体" w:cs="宋体"/>
                <w:bCs/>
                <w:sz w:val="18"/>
                <w:szCs w:val="18"/>
              </w:rPr>
              <w:t>到场速度及修复时间不满足招标要求，得0分。</w:t>
            </w:r>
          </w:p>
          <w:p>
            <w:pPr>
              <w:spacing w:line="276" w:lineRule="auto"/>
              <w:jc w:val="left"/>
              <w:rPr>
                <w:rFonts w:ascii="宋体" w:hAnsi="宋体" w:cs="宋体"/>
                <w:bCs/>
                <w:sz w:val="18"/>
                <w:szCs w:val="18"/>
              </w:rPr>
            </w:pPr>
            <w:r>
              <w:rPr>
                <w:rFonts w:hint="eastAsia" w:ascii="宋体" w:hAnsi="宋体" w:cs="宋体"/>
                <w:bCs/>
                <w:sz w:val="18"/>
                <w:szCs w:val="18"/>
              </w:rPr>
              <w:t>（3）交货期：</w:t>
            </w:r>
          </w:p>
          <w:p>
            <w:pPr>
              <w:spacing w:line="276" w:lineRule="auto"/>
              <w:jc w:val="left"/>
              <w:rPr>
                <w:rFonts w:ascii="宋体" w:hAnsi="宋体" w:cs="宋体"/>
                <w:bCs/>
                <w:sz w:val="18"/>
                <w:szCs w:val="18"/>
              </w:rPr>
            </w:pPr>
            <w:r>
              <w:rPr>
                <w:rFonts w:hint="eastAsia" w:ascii="宋体" w:hAnsi="宋体" w:cs="宋体"/>
                <w:bCs/>
                <w:sz w:val="18"/>
                <w:szCs w:val="18"/>
              </w:rPr>
              <w:t>满足招标要求，得1分；</w:t>
            </w:r>
          </w:p>
          <w:p>
            <w:pPr>
              <w:spacing w:line="276" w:lineRule="auto"/>
              <w:jc w:val="left"/>
              <w:rPr>
                <w:rFonts w:ascii="宋体" w:hAnsi="宋体" w:cs="宋体"/>
                <w:bCs/>
                <w:sz w:val="18"/>
                <w:szCs w:val="18"/>
              </w:rPr>
            </w:pPr>
            <w:r>
              <w:rPr>
                <w:rFonts w:hint="eastAsia" w:ascii="宋体" w:hAnsi="宋体" w:cs="宋体"/>
                <w:bCs/>
                <w:sz w:val="18"/>
                <w:szCs w:val="18"/>
              </w:rPr>
              <w:t>不满足招标要求，得0分。</w:t>
            </w:r>
          </w:p>
          <w:p>
            <w:pPr>
              <w:spacing w:line="276" w:lineRule="auto"/>
              <w:jc w:val="left"/>
              <w:rPr>
                <w:rFonts w:ascii="宋体" w:hAnsi="宋体" w:cs="宋体"/>
                <w:bCs/>
                <w:sz w:val="18"/>
                <w:szCs w:val="18"/>
              </w:rPr>
            </w:pPr>
            <w:r>
              <w:rPr>
                <w:rFonts w:hint="eastAsia" w:ascii="宋体" w:hAnsi="宋体" w:cs="宋体"/>
                <w:bCs/>
                <w:sz w:val="18"/>
                <w:szCs w:val="18"/>
              </w:rPr>
              <w:t>（4）售后培训计划：</w:t>
            </w:r>
          </w:p>
          <w:p>
            <w:pPr>
              <w:spacing w:line="276" w:lineRule="auto"/>
              <w:jc w:val="left"/>
              <w:rPr>
                <w:rFonts w:ascii="宋体" w:hAnsi="宋体" w:cs="宋体"/>
                <w:bCs/>
                <w:sz w:val="18"/>
                <w:szCs w:val="18"/>
              </w:rPr>
            </w:pPr>
            <w:r>
              <w:rPr>
                <w:rFonts w:hint="eastAsia" w:ascii="宋体" w:hAnsi="宋体" w:cs="宋体"/>
                <w:bCs/>
                <w:sz w:val="18"/>
                <w:szCs w:val="18"/>
              </w:rPr>
              <w:t>培训计划方案完整，计划合理，得2分；</w:t>
            </w:r>
          </w:p>
          <w:p>
            <w:pPr>
              <w:spacing w:line="276" w:lineRule="auto"/>
              <w:jc w:val="left"/>
              <w:rPr>
                <w:rFonts w:ascii="宋体" w:hAnsi="宋体" w:cs="宋体"/>
                <w:bCs/>
                <w:sz w:val="18"/>
                <w:szCs w:val="18"/>
              </w:rPr>
            </w:pPr>
            <w:r>
              <w:rPr>
                <w:rFonts w:hint="eastAsia" w:ascii="宋体" w:hAnsi="宋体" w:cs="宋体"/>
                <w:bCs/>
                <w:sz w:val="18"/>
                <w:szCs w:val="18"/>
              </w:rPr>
              <w:t>培训计划方案不完整，计划合理，得1分；</w:t>
            </w:r>
          </w:p>
          <w:p>
            <w:pPr>
              <w:spacing w:line="276" w:lineRule="auto"/>
              <w:jc w:val="left"/>
              <w:rPr>
                <w:rFonts w:ascii="宋体" w:hAnsi="宋体" w:cs="宋体"/>
                <w:bCs/>
                <w:sz w:val="18"/>
                <w:szCs w:val="18"/>
              </w:rPr>
            </w:pPr>
            <w:r>
              <w:rPr>
                <w:rFonts w:hint="eastAsia" w:ascii="宋体" w:hAnsi="宋体" w:cs="宋体"/>
                <w:bCs/>
                <w:sz w:val="18"/>
                <w:szCs w:val="18"/>
              </w:rPr>
              <w:t>培训计划方案未提供，得0分。</w:t>
            </w:r>
          </w:p>
          <w:p>
            <w:pPr>
              <w:spacing w:line="276" w:lineRule="auto"/>
              <w:jc w:val="left"/>
              <w:rPr>
                <w:rFonts w:ascii="宋体" w:hAnsi="宋体" w:cs="宋体"/>
                <w:bCs/>
                <w:sz w:val="18"/>
                <w:szCs w:val="18"/>
              </w:rPr>
            </w:pPr>
            <w:r>
              <w:rPr>
                <w:rFonts w:hint="eastAsia" w:ascii="宋体" w:hAnsi="宋体" w:cs="宋体"/>
                <w:bCs/>
                <w:sz w:val="18"/>
                <w:szCs w:val="18"/>
              </w:rPr>
              <w:t>（5）提供主要投标设备备品备件价格清单：</w:t>
            </w:r>
          </w:p>
          <w:p>
            <w:pPr>
              <w:spacing w:line="276" w:lineRule="auto"/>
              <w:jc w:val="left"/>
              <w:rPr>
                <w:rFonts w:ascii="宋体" w:hAnsi="宋体" w:cs="宋体"/>
                <w:bCs/>
                <w:sz w:val="18"/>
                <w:szCs w:val="18"/>
              </w:rPr>
            </w:pPr>
            <w:r>
              <w:rPr>
                <w:rFonts w:hint="eastAsia" w:ascii="宋体" w:hAnsi="宋体" w:cs="宋体"/>
                <w:bCs/>
                <w:sz w:val="18"/>
                <w:szCs w:val="18"/>
              </w:rPr>
              <w:t>提供完整，得2分；</w:t>
            </w:r>
          </w:p>
          <w:p>
            <w:pPr>
              <w:spacing w:line="276" w:lineRule="auto"/>
              <w:jc w:val="left"/>
              <w:rPr>
                <w:rFonts w:ascii="宋体" w:hAnsi="宋体" w:cs="宋体"/>
                <w:bCs/>
                <w:sz w:val="18"/>
                <w:szCs w:val="18"/>
              </w:rPr>
            </w:pPr>
            <w:r>
              <w:rPr>
                <w:rFonts w:hint="eastAsia" w:ascii="宋体" w:hAnsi="宋体" w:cs="宋体"/>
                <w:bCs/>
                <w:sz w:val="18"/>
                <w:szCs w:val="18"/>
              </w:rPr>
              <w:t>提供不完整，得1分；</w:t>
            </w:r>
          </w:p>
          <w:p>
            <w:pPr>
              <w:spacing w:line="276" w:lineRule="auto"/>
              <w:jc w:val="left"/>
              <w:rPr>
                <w:rFonts w:ascii="宋体" w:hAnsi="宋体" w:cs="宋体"/>
                <w:bCs/>
                <w:sz w:val="18"/>
                <w:szCs w:val="18"/>
                <w:lang w:val="zh-CN"/>
              </w:rPr>
            </w:pPr>
            <w:r>
              <w:rPr>
                <w:rFonts w:hint="eastAsia" w:ascii="宋体" w:hAnsi="宋体" w:cs="宋体"/>
                <w:bCs/>
                <w:sz w:val="18"/>
                <w:szCs w:val="18"/>
              </w:rPr>
              <w:t>不提供，得0分。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0" w:type="auto"/>
            <w:vAlign w:val="center"/>
          </w:tcPr>
          <w:p>
            <w:pPr>
              <w:numPr>
                <w:ilvl w:val="0"/>
                <w:numId w:val="5"/>
              </w:numPr>
              <w:adjustRightInd w:val="0"/>
              <w:spacing w:line="276" w:lineRule="auto"/>
              <w:jc w:val="center"/>
              <w:textAlignment w:val="baseline"/>
              <w:rPr>
                <w:rFonts w:ascii="宋体" w:hAnsi="宋体" w:cs="宋体"/>
                <w:sz w:val="18"/>
                <w:szCs w:val="18"/>
              </w:rPr>
            </w:pPr>
          </w:p>
        </w:tc>
        <w:tc>
          <w:tcPr>
            <w:tcW w:w="0" w:type="auto"/>
            <w:vAlign w:val="center"/>
          </w:tcPr>
          <w:p>
            <w:pPr>
              <w:spacing w:line="276" w:lineRule="auto"/>
              <w:jc w:val="center"/>
              <w:rPr>
                <w:rFonts w:ascii="宋体" w:hAnsi="宋体" w:cs="宋体"/>
                <w:bCs/>
                <w:sz w:val="18"/>
                <w:szCs w:val="18"/>
              </w:rPr>
            </w:pPr>
            <w:r>
              <w:rPr>
                <w:rFonts w:hint="eastAsia" w:ascii="宋体" w:hAnsi="宋体" w:cs="宋体"/>
                <w:bCs/>
                <w:sz w:val="18"/>
                <w:szCs w:val="18"/>
              </w:rPr>
              <w:t>类似案例</w:t>
            </w:r>
          </w:p>
        </w:tc>
        <w:tc>
          <w:tcPr>
            <w:tcW w:w="0" w:type="auto"/>
            <w:vAlign w:val="center"/>
          </w:tcPr>
          <w:p>
            <w:pPr>
              <w:spacing w:line="276" w:lineRule="auto"/>
              <w:jc w:val="center"/>
              <w:rPr>
                <w:rFonts w:ascii="宋体" w:hAnsi="宋体" w:cs="宋体"/>
                <w:bCs/>
                <w:sz w:val="18"/>
                <w:szCs w:val="18"/>
              </w:rPr>
            </w:pPr>
            <w:r>
              <w:rPr>
                <w:rFonts w:ascii="宋体" w:hAnsi="宋体" w:cs="宋体"/>
                <w:bCs/>
                <w:sz w:val="18"/>
                <w:szCs w:val="18"/>
              </w:rPr>
              <w:t>5</w:t>
            </w:r>
          </w:p>
        </w:tc>
        <w:tc>
          <w:tcPr>
            <w:tcW w:w="0" w:type="auto"/>
            <w:vAlign w:val="center"/>
          </w:tcPr>
          <w:p>
            <w:pPr>
              <w:spacing w:line="276" w:lineRule="auto"/>
              <w:jc w:val="left"/>
              <w:rPr>
                <w:rFonts w:ascii="宋体" w:hAnsi="宋体" w:cs="宋体"/>
                <w:bCs/>
                <w:sz w:val="18"/>
                <w:szCs w:val="18"/>
              </w:rPr>
            </w:pPr>
            <w:r>
              <w:rPr>
                <w:rFonts w:hint="eastAsia" w:ascii="宋体" w:hAnsi="宋体" w:cs="宋体"/>
                <w:bCs/>
                <w:sz w:val="18"/>
                <w:szCs w:val="18"/>
              </w:rPr>
              <w:t>近三年类似高校项目的业绩：</w:t>
            </w:r>
          </w:p>
          <w:p>
            <w:pPr>
              <w:spacing w:line="276" w:lineRule="auto"/>
              <w:jc w:val="left"/>
              <w:rPr>
                <w:rFonts w:ascii="宋体" w:hAnsi="宋体" w:cs="宋体"/>
                <w:bCs/>
                <w:sz w:val="18"/>
                <w:szCs w:val="18"/>
                <w:lang w:val="zh-CN"/>
              </w:rPr>
            </w:pPr>
            <w:r>
              <w:rPr>
                <w:rFonts w:hint="eastAsia" w:ascii="宋体" w:hAnsi="宋体" w:cs="宋体"/>
                <w:bCs/>
                <w:sz w:val="18"/>
                <w:szCs w:val="18"/>
              </w:rPr>
              <w:t>投标人需提供近三年案例清单，并同时提供合同复印件或有用户签字盖单位章的验收报告，未提交有效证明材料业绩不予认可，有一项得1分，最高</w:t>
            </w:r>
            <w:r>
              <w:rPr>
                <w:rFonts w:ascii="宋体" w:hAnsi="宋体" w:cs="宋体"/>
                <w:bCs/>
                <w:sz w:val="18"/>
                <w:szCs w:val="18"/>
              </w:rPr>
              <w:t>5</w:t>
            </w:r>
            <w:r>
              <w:rPr>
                <w:rFonts w:hint="eastAsia" w:ascii="宋体" w:hAnsi="宋体" w:cs="宋体"/>
                <w:bCs/>
                <w:sz w:val="18"/>
                <w:szCs w:val="18"/>
              </w:rPr>
              <w:t>分，最低0分。</w:t>
            </w:r>
          </w:p>
        </w:tc>
      </w:tr>
      <w:bookmarkEnd w:id="0"/>
    </w:tbl>
    <w:p>
      <w:pPr>
        <w:widowControl/>
        <w:spacing w:line="360" w:lineRule="auto"/>
        <w:jc w:val="left"/>
        <w:rPr>
          <w:rFonts w:ascii="宋体" w:hAnsi="宋体" w:cstheme="minorBidi"/>
          <w:b/>
          <w:bCs/>
          <w:sz w:val="18"/>
          <w:szCs w:val="1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292996"/>
      <w:docPartObj>
        <w:docPartGallery w:val="autotext"/>
      </w:docPartObj>
    </w:sdtPr>
    <w:sdtContent>
      <w:sdt>
        <w:sdtPr>
          <w:id w:val="1728636285"/>
          <w:docPartObj>
            <w:docPartGallery w:val="autotext"/>
          </w:docPartObj>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9B7E3"/>
    <w:multiLevelType w:val="singleLevel"/>
    <w:tmpl w:val="8E79B7E3"/>
    <w:lvl w:ilvl="0" w:tentative="0">
      <w:start w:val="1"/>
      <w:numFmt w:val="decimal"/>
      <w:suff w:val="nothing"/>
      <w:lvlText w:val="%1、"/>
      <w:lvlJc w:val="left"/>
    </w:lvl>
  </w:abstractNum>
  <w:abstractNum w:abstractNumId="1">
    <w:nsid w:val="FFFFFFFB"/>
    <w:multiLevelType w:val="multilevel"/>
    <w:tmpl w:val="FFFFFFFB"/>
    <w:lvl w:ilvl="0" w:tentative="0">
      <w:start w:val="2"/>
      <w:numFmt w:val="decimal"/>
      <w:lvlText w:val="%1"/>
      <w:lvlJc w:val="left"/>
      <w:pPr>
        <w:tabs>
          <w:tab w:val="left" w:pos="425"/>
        </w:tabs>
        <w:ind w:left="425" w:hanging="425"/>
      </w:pPr>
    </w:lvl>
    <w:lvl w:ilvl="1" w:tentative="0">
      <w:start w:val="2"/>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pStyle w:val="7"/>
      <w:lvlText w:val="%1.%2.%3.%4.%5"/>
      <w:lvlJc w:val="left"/>
      <w:pPr>
        <w:tabs>
          <w:tab w:val="left" w:pos="3141"/>
        </w:tabs>
        <w:ind w:left="2551" w:hanging="850"/>
      </w:pPr>
    </w:lvl>
    <w:lvl w:ilvl="5" w:tentative="0">
      <w:start w:val="1"/>
      <w:numFmt w:val="decimal"/>
      <w:pStyle w:val="8"/>
      <w:lvlText w:val="%1.%2.%3.%4.%5.%6"/>
      <w:lvlJc w:val="left"/>
      <w:pPr>
        <w:tabs>
          <w:tab w:val="left" w:pos="3926"/>
        </w:tabs>
        <w:ind w:left="3260" w:hanging="1134"/>
      </w:pPr>
    </w:lvl>
    <w:lvl w:ilvl="6" w:tentative="0">
      <w:start w:val="1"/>
      <w:numFmt w:val="decimal"/>
      <w:pStyle w:val="9"/>
      <w:lvlText w:val="%1.%2.%3.%4.%5.%6.%7"/>
      <w:lvlJc w:val="left"/>
      <w:pPr>
        <w:tabs>
          <w:tab w:val="left" w:pos="4711"/>
        </w:tabs>
        <w:ind w:left="3827" w:hanging="1276"/>
      </w:pPr>
    </w:lvl>
    <w:lvl w:ilvl="7" w:tentative="0">
      <w:start w:val="1"/>
      <w:numFmt w:val="decimal"/>
      <w:pStyle w:val="10"/>
      <w:lvlText w:val="%1.%2.%3.%4.%5.%6.%7.%8"/>
      <w:lvlJc w:val="left"/>
      <w:pPr>
        <w:tabs>
          <w:tab w:val="left" w:pos="5136"/>
        </w:tabs>
        <w:ind w:left="4394" w:hanging="1418"/>
      </w:pPr>
    </w:lvl>
    <w:lvl w:ilvl="8" w:tentative="0">
      <w:start w:val="1"/>
      <w:numFmt w:val="decimal"/>
      <w:pStyle w:val="11"/>
      <w:lvlText w:val="%1.%2.%3.%4.%5.%6.%7.%8.%9"/>
      <w:lvlJc w:val="left"/>
      <w:pPr>
        <w:tabs>
          <w:tab w:val="left" w:pos="5922"/>
        </w:tabs>
        <w:ind w:left="5102" w:hanging="1700"/>
      </w:pPr>
    </w:lvl>
  </w:abstractNum>
  <w:abstractNum w:abstractNumId="2">
    <w:nsid w:val="1BF82B5F"/>
    <w:multiLevelType w:val="multilevel"/>
    <w:tmpl w:val="1BF82B5F"/>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AB4ADA"/>
    <w:multiLevelType w:val="multilevel"/>
    <w:tmpl w:val="30AB4ADA"/>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66"/>
      <w:lvlText w:val="%3."/>
      <w:lvlJc w:val="right"/>
      <w:pPr>
        <w:tabs>
          <w:tab w:val="left" w:pos="1260"/>
        </w:tabs>
        <w:ind w:left="1260" w:hanging="420"/>
      </w:pPr>
    </w:lvl>
    <w:lvl w:ilvl="3" w:tentative="0">
      <w:start w:val="1"/>
      <w:numFmt w:val="decimal"/>
      <w:pStyle w:val="6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2E15EC"/>
    <w:multiLevelType w:val="singleLevel"/>
    <w:tmpl w:val="372E15EC"/>
    <w:lvl w:ilvl="0" w:tentative="0">
      <w:start w:val="1"/>
      <w:numFmt w:val="decimal"/>
      <w:lvlText w:val="%1"/>
      <w:legacy w:legacy="1" w:legacySpace="0" w:legacyIndent="425"/>
      <w:lvlJc w:val="center"/>
    </w:lvl>
  </w:abstractNum>
  <w:abstractNum w:abstractNumId="5">
    <w:nsid w:val="5F946EB0"/>
    <w:multiLevelType w:val="multilevel"/>
    <w:tmpl w:val="5F946E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wOTI1ZjJiYTZkNjIyOTg0MDc0OGVhYTgyODc5NmEifQ=="/>
  </w:docVars>
  <w:rsids>
    <w:rsidRoot w:val="004D1ED6"/>
    <w:rsid w:val="00001C84"/>
    <w:rsid w:val="000161E0"/>
    <w:rsid w:val="00020F79"/>
    <w:rsid w:val="00024ABC"/>
    <w:rsid w:val="000401F8"/>
    <w:rsid w:val="00055735"/>
    <w:rsid w:val="00065963"/>
    <w:rsid w:val="000849A2"/>
    <w:rsid w:val="000C7C7E"/>
    <w:rsid w:val="000D20B4"/>
    <w:rsid w:val="000D71EB"/>
    <w:rsid w:val="000F1341"/>
    <w:rsid w:val="00107AB4"/>
    <w:rsid w:val="00114D62"/>
    <w:rsid w:val="00122420"/>
    <w:rsid w:val="00122B21"/>
    <w:rsid w:val="00123A0C"/>
    <w:rsid w:val="001257A0"/>
    <w:rsid w:val="001536A8"/>
    <w:rsid w:val="001577EE"/>
    <w:rsid w:val="00166A0E"/>
    <w:rsid w:val="001706BB"/>
    <w:rsid w:val="00175374"/>
    <w:rsid w:val="0018040B"/>
    <w:rsid w:val="001A07BC"/>
    <w:rsid w:val="001A3C8D"/>
    <w:rsid w:val="001A6E1F"/>
    <w:rsid w:val="001B68C1"/>
    <w:rsid w:val="001C78B0"/>
    <w:rsid w:val="001D5A0A"/>
    <w:rsid w:val="00203B10"/>
    <w:rsid w:val="00206C94"/>
    <w:rsid w:val="00207590"/>
    <w:rsid w:val="00212B64"/>
    <w:rsid w:val="002A4D23"/>
    <w:rsid w:val="002B6E52"/>
    <w:rsid w:val="002B7DAA"/>
    <w:rsid w:val="002C51C5"/>
    <w:rsid w:val="002D6214"/>
    <w:rsid w:val="002E2983"/>
    <w:rsid w:val="002F7CB5"/>
    <w:rsid w:val="0030099E"/>
    <w:rsid w:val="00314AD7"/>
    <w:rsid w:val="00316871"/>
    <w:rsid w:val="00322341"/>
    <w:rsid w:val="00327D0E"/>
    <w:rsid w:val="00330F74"/>
    <w:rsid w:val="00354DFA"/>
    <w:rsid w:val="0035630B"/>
    <w:rsid w:val="003665AC"/>
    <w:rsid w:val="003716E3"/>
    <w:rsid w:val="00372F4E"/>
    <w:rsid w:val="00380626"/>
    <w:rsid w:val="0039387D"/>
    <w:rsid w:val="004047F5"/>
    <w:rsid w:val="00422D5F"/>
    <w:rsid w:val="00423231"/>
    <w:rsid w:val="0042527F"/>
    <w:rsid w:val="0044320D"/>
    <w:rsid w:val="004805E8"/>
    <w:rsid w:val="00483559"/>
    <w:rsid w:val="00485EE1"/>
    <w:rsid w:val="004C2B34"/>
    <w:rsid w:val="004D1ED6"/>
    <w:rsid w:val="004E5FEF"/>
    <w:rsid w:val="00510661"/>
    <w:rsid w:val="00545855"/>
    <w:rsid w:val="005676A7"/>
    <w:rsid w:val="005700D0"/>
    <w:rsid w:val="005746DA"/>
    <w:rsid w:val="00575E55"/>
    <w:rsid w:val="005A7066"/>
    <w:rsid w:val="005B1B5E"/>
    <w:rsid w:val="005B2D80"/>
    <w:rsid w:val="005D1036"/>
    <w:rsid w:val="005D2D1B"/>
    <w:rsid w:val="005E32C2"/>
    <w:rsid w:val="00606808"/>
    <w:rsid w:val="0061342C"/>
    <w:rsid w:val="00627DBE"/>
    <w:rsid w:val="006358A8"/>
    <w:rsid w:val="00646AB1"/>
    <w:rsid w:val="00651F18"/>
    <w:rsid w:val="006570A0"/>
    <w:rsid w:val="00674211"/>
    <w:rsid w:val="006B1BC1"/>
    <w:rsid w:val="006C482B"/>
    <w:rsid w:val="007023A1"/>
    <w:rsid w:val="00715F47"/>
    <w:rsid w:val="00720314"/>
    <w:rsid w:val="00724452"/>
    <w:rsid w:val="0075152C"/>
    <w:rsid w:val="0078163B"/>
    <w:rsid w:val="00795908"/>
    <w:rsid w:val="00796EBE"/>
    <w:rsid w:val="007B734C"/>
    <w:rsid w:val="008053FE"/>
    <w:rsid w:val="0084692F"/>
    <w:rsid w:val="008514D6"/>
    <w:rsid w:val="00860C2F"/>
    <w:rsid w:val="00861B7C"/>
    <w:rsid w:val="00874CEF"/>
    <w:rsid w:val="0088172C"/>
    <w:rsid w:val="00892023"/>
    <w:rsid w:val="008B089D"/>
    <w:rsid w:val="009114FE"/>
    <w:rsid w:val="00913468"/>
    <w:rsid w:val="00916DBF"/>
    <w:rsid w:val="0092280A"/>
    <w:rsid w:val="00935B5E"/>
    <w:rsid w:val="009472C6"/>
    <w:rsid w:val="00992887"/>
    <w:rsid w:val="009B539E"/>
    <w:rsid w:val="009C6469"/>
    <w:rsid w:val="009C71D2"/>
    <w:rsid w:val="009C7ED6"/>
    <w:rsid w:val="009D3AC4"/>
    <w:rsid w:val="009E0543"/>
    <w:rsid w:val="009F5AD9"/>
    <w:rsid w:val="00A11EB5"/>
    <w:rsid w:val="00A2386B"/>
    <w:rsid w:val="00A243BD"/>
    <w:rsid w:val="00A24958"/>
    <w:rsid w:val="00A321CC"/>
    <w:rsid w:val="00AA4C92"/>
    <w:rsid w:val="00AE2379"/>
    <w:rsid w:val="00AE663A"/>
    <w:rsid w:val="00AF6688"/>
    <w:rsid w:val="00B12855"/>
    <w:rsid w:val="00B32354"/>
    <w:rsid w:val="00B463AA"/>
    <w:rsid w:val="00B52652"/>
    <w:rsid w:val="00B52A93"/>
    <w:rsid w:val="00B76C3D"/>
    <w:rsid w:val="00B91C4E"/>
    <w:rsid w:val="00BA1196"/>
    <w:rsid w:val="00BA78A8"/>
    <w:rsid w:val="00BD5E10"/>
    <w:rsid w:val="00BD6041"/>
    <w:rsid w:val="00BF4A51"/>
    <w:rsid w:val="00C626EB"/>
    <w:rsid w:val="00C7046D"/>
    <w:rsid w:val="00C80119"/>
    <w:rsid w:val="00CA56DD"/>
    <w:rsid w:val="00CB0F9A"/>
    <w:rsid w:val="00CC4C37"/>
    <w:rsid w:val="00CD2461"/>
    <w:rsid w:val="00CE3F1B"/>
    <w:rsid w:val="00CF42F4"/>
    <w:rsid w:val="00D0346C"/>
    <w:rsid w:val="00D4539B"/>
    <w:rsid w:val="00D71599"/>
    <w:rsid w:val="00D82ECF"/>
    <w:rsid w:val="00DA714C"/>
    <w:rsid w:val="00DB1B29"/>
    <w:rsid w:val="00DB73D1"/>
    <w:rsid w:val="00DB7E03"/>
    <w:rsid w:val="00DD66EA"/>
    <w:rsid w:val="00DD6C78"/>
    <w:rsid w:val="00DE22EE"/>
    <w:rsid w:val="00DE672B"/>
    <w:rsid w:val="00E1773D"/>
    <w:rsid w:val="00E621F1"/>
    <w:rsid w:val="00E63DD0"/>
    <w:rsid w:val="00E87BD2"/>
    <w:rsid w:val="00E93311"/>
    <w:rsid w:val="00F158C3"/>
    <w:rsid w:val="00F67A20"/>
    <w:rsid w:val="00F961F9"/>
    <w:rsid w:val="00FA3CE6"/>
    <w:rsid w:val="00FC0A90"/>
    <w:rsid w:val="00FC78C5"/>
    <w:rsid w:val="00FE0211"/>
    <w:rsid w:val="00FF46B1"/>
    <w:rsid w:val="00FF564E"/>
    <w:rsid w:val="098F7F23"/>
    <w:rsid w:val="4D0F1DAD"/>
    <w:rsid w:val="52C323C6"/>
    <w:rsid w:val="59BA435D"/>
    <w:rsid w:val="5CC8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340" w:after="330" w:line="578" w:lineRule="atLeast"/>
      <w:jc w:val="left"/>
      <w:outlineLvl w:val="0"/>
    </w:pPr>
    <w:rPr>
      <w:b/>
      <w:kern w:val="44"/>
      <w:sz w:val="36"/>
      <w:szCs w:val="20"/>
    </w:rPr>
  </w:style>
  <w:style w:type="paragraph" w:styleId="3">
    <w:name w:val="heading 2"/>
    <w:basedOn w:val="1"/>
    <w:next w:val="4"/>
    <w:link w:val="42"/>
    <w:qFormat/>
    <w:uiPriority w:val="0"/>
    <w:pPr>
      <w:keepNext/>
      <w:keepLines/>
      <w:spacing w:before="260" w:after="260" w:line="416" w:lineRule="auto"/>
      <w:outlineLvl w:val="1"/>
    </w:pPr>
    <w:rPr>
      <w:b/>
      <w:sz w:val="32"/>
      <w:szCs w:val="20"/>
    </w:rPr>
  </w:style>
  <w:style w:type="paragraph" w:styleId="5">
    <w:name w:val="heading 3"/>
    <w:basedOn w:val="1"/>
    <w:next w:val="1"/>
    <w:link w:val="43"/>
    <w:qFormat/>
    <w:uiPriority w:val="0"/>
    <w:pPr>
      <w:keepNext/>
      <w:keepLines/>
      <w:spacing w:before="260" w:after="260" w:line="416" w:lineRule="atLeast"/>
      <w:outlineLvl w:val="2"/>
    </w:pPr>
    <w:rPr>
      <w:b/>
      <w:sz w:val="28"/>
      <w:szCs w:val="20"/>
    </w:rPr>
  </w:style>
  <w:style w:type="paragraph" w:styleId="6">
    <w:name w:val="heading 4"/>
    <w:basedOn w:val="1"/>
    <w:next w:val="1"/>
    <w:link w:val="44"/>
    <w:qFormat/>
    <w:uiPriority w:val="0"/>
    <w:pPr>
      <w:keepNext/>
      <w:widowControl/>
      <w:tabs>
        <w:tab w:val="left" w:pos="2356"/>
      </w:tabs>
      <w:spacing w:before="240" w:after="60" w:line="360" w:lineRule="auto"/>
      <w:outlineLvl w:val="3"/>
    </w:pPr>
    <w:rPr>
      <w:rFonts w:ascii="宋体" w:hAnsi="Arial"/>
      <w:b/>
      <w:kern w:val="0"/>
      <w:sz w:val="24"/>
      <w:szCs w:val="20"/>
    </w:rPr>
  </w:style>
  <w:style w:type="paragraph" w:styleId="7">
    <w:name w:val="heading 5"/>
    <w:basedOn w:val="1"/>
    <w:next w:val="1"/>
    <w:link w:val="45"/>
    <w:qFormat/>
    <w:uiPriority w:val="0"/>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b/>
      <w:kern w:val="0"/>
      <w:sz w:val="28"/>
      <w:szCs w:val="20"/>
    </w:rPr>
  </w:style>
  <w:style w:type="paragraph" w:styleId="8">
    <w:name w:val="heading 6"/>
    <w:basedOn w:val="1"/>
    <w:next w:val="1"/>
    <w:link w:val="46"/>
    <w:qFormat/>
    <w:uiPriority w:val="0"/>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hAnsi="Arial" w:eastAsia="黑体"/>
      <w:b/>
      <w:kern w:val="0"/>
      <w:sz w:val="24"/>
      <w:szCs w:val="20"/>
    </w:rPr>
  </w:style>
  <w:style w:type="paragraph" w:styleId="9">
    <w:name w:val="heading 7"/>
    <w:basedOn w:val="1"/>
    <w:next w:val="1"/>
    <w:link w:val="47"/>
    <w:qFormat/>
    <w:uiPriority w:val="0"/>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b/>
      <w:kern w:val="0"/>
      <w:sz w:val="24"/>
      <w:szCs w:val="20"/>
    </w:rPr>
  </w:style>
  <w:style w:type="paragraph" w:styleId="10">
    <w:name w:val="heading 8"/>
    <w:basedOn w:val="1"/>
    <w:next w:val="1"/>
    <w:link w:val="48"/>
    <w:qFormat/>
    <w:uiPriority w:val="0"/>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hAnsi="Arial" w:eastAsia="黑体"/>
      <w:kern w:val="0"/>
      <w:sz w:val="24"/>
      <w:szCs w:val="20"/>
    </w:rPr>
  </w:style>
  <w:style w:type="paragraph" w:styleId="11">
    <w:name w:val="heading 9"/>
    <w:basedOn w:val="1"/>
    <w:next w:val="1"/>
    <w:link w:val="49"/>
    <w:qFormat/>
    <w:uiPriority w:val="0"/>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hAnsi="Arial" w:eastAsia="黑体"/>
      <w:kern w:val="0"/>
      <w:sz w:val="28"/>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2"/>
    <w:qFormat/>
    <w:uiPriority w:val="0"/>
    <w:pPr>
      <w:ind w:firstLine="425"/>
    </w:pPr>
    <w:rPr>
      <w:szCs w:val="20"/>
    </w:rPr>
  </w:style>
  <w:style w:type="paragraph" w:styleId="12">
    <w:name w:val="Document Map"/>
    <w:basedOn w:val="1"/>
    <w:link w:val="50"/>
    <w:semiHidden/>
    <w:qFormat/>
    <w:uiPriority w:val="0"/>
    <w:pPr>
      <w:shd w:val="clear" w:color="auto" w:fill="000080"/>
    </w:pPr>
  </w:style>
  <w:style w:type="paragraph" w:styleId="13">
    <w:name w:val="annotation text"/>
    <w:basedOn w:val="1"/>
    <w:link w:val="51"/>
    <w:unhideWhenUsed/>
    <w:qFormat/>
    <w:uiPriority w:val="0"/>
    <w:pPr>
      <w:jc w:val="left"/>
    </w:pPr>
    <w:rPr>
      <w:rFonts w:asciiTheme="minorHAnsi" w:hAnsiTheme="minorHAnsi" w:eastAsiaTheme="minorEastAsia" w:cstheme="minorBidi"/>
    </w:rPr>
  </w:style>
  <w:style w:type="paragraph" w:styleId="14">
    <w:name w:val="Body Text 3"/>
    <w:basedOn w:val="1"/>
    <w:link w:val="52"/>
    <w:qFormat/>
    <w:uiPriority w:val="0"/>
    <w:pPr>
      <w:spacing w:after="120"/>
    </w:pPr>
    <w:rPr>
      <w:sz w:val="16"/>
      <w:szCs w:val="16"/>
    </w:rPr>
  </w:style>
  <w:style w:type="paragraph" w:styleId="15">
    <w:name w:val="Body Text"/>
    <w:basedOn w:val="1"/>
    <w:link w:val="53"/>
    <w:qFormat/>
    <w:uiPriority w:val="0"/>
    <w:pPr>
      <w:widowControl/>
      <w:spacing w:line="320" w:lineRule="atLeast"/>
    </w:pPr>
    <w:rPr>
      <w:rFonts w:eastAsia="隶书"/>
      <w:b/>
      <w:kern w:val="0"/>
      <w:sz w:val="44"/>
      <w:szCs w:val="20"/>
    </w:rPr>
  </w:style>
  <w:style w:type="paragraph" w:styleId="16">
    <w:name w:val="Body Text Indent"/>
    <w:basedOn w:val="1"/>
    <w:link w:val="54"/>
    <w:qFormat/>
    <w:uiPriority w:val="99"/>
    <w:pPr>
      <w:ind w:firstLine="570"/>
    </w:pPr>
    <w:rPr>
      <w:rFonts w:ascii="宋体"/>
      <w:sz w:val="28"/>
      <w:szCs w:val="20"/>
    </w:rPr>
  </w:style>
  <w:style w:type="paragraph" w:styleId="17">
    <w:name w:val="List 2"/>
    <w:basedOn w:val="1"/>
    <w:qFormat/>
    <w:uiPriority w:val="0"/>
    <w:pPr>
      <w:ind w:left="100" w:leftChars="200" w:hanging="200" w:hangingChars="200"/>
    </w:pPr>
    <w:rPr>
      <w:sz w:val="28"/>
    </w:rPr>
  </w:style>
  <w:style w:type="paragraph" w:styleId="18">
    <w:name w:val="Plain Text"/>
    <w:basedOn w:val="1"/>
    <w:link w:val="55"/>
    <w:qFormat/>
    <w:uiPriority w:val="0"/>
    <w:rPr>
      <w:rFonts w:ascii="宋体" w:hAnsi="Courier New"/>
      <w:szCs w:val="20"/>
    </w:rPr>
  </w:style>
  <w:style w:type="paragraph" w:styleId="19">
    <w:name w:val="Date"/>
    <w:basedOn w:val="1"/>
    <w:next w:val="1"/>
    <w:link w:val="56"/>
    <w:qFormat/>
    <w:uiPriority w:val="0"/>
    <w:rPr>
      <w:szCs w:val="20"/>
    </w:rPr>
  </w:style>
  <w:style w:type="paragraph" w:styleId="20">
    <w:name w:val="Body Text Indent 2"/>
    <w:basedOn w:val="1"/>
    <w:link w:val="57"/>
    <w:qFormat/>
    <w:uiPriority w:val="0"/>
    <w:pPr>
      <w:spacing w:after="120" w:line="480" w:lineRule="auto"/>
      <w:ind w:left="420" w:leftChars="200"/>
    </w:pPr>
  </w:style>
  <w:style w:type="paragraph" w:styleId="21">
    <w:name w:val="Balloon Text"/>
    <w:basedOn w:val="1"/>
    <w:link w:val="58"/>
    <w:semiHidden/>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sz w:val="18"/>
      <w:szCs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Subtitle"/>
    <w:basedOn w:val="1"/>
    <w:next w:val="1"/>
    <w:link w:val="61"/>
    <w:qFormat/>
    <w:uiPriority w:val="0"/>
    <w:pPr>
      <w:spacing w:before="240" w:after="60" w:line="312" w:lineRule="auto"/>
      <w:jc w:val="center"/>
      <w:outlineLvl w:val="1"/>
    </w:pPr>
    <w:rPr>
      <w:rFonts w:ascii="黑体" w:hAnsi="黑体" w:eastAsia="黑体" w:cstheme="minorBidi"/>
      <w:bCs/>
      <w:kern w:val="28"/>
      <w:sz w:val="24"/>
      <w:szCs w:val="32"/>
    </w:rPr>
  </w:style>
  <w:style w:type="paragraph" w:styleId="26">
    <w:name w:val="List"/>
    <w:basedOn w:val="1"/>
    <w:qFormat/>
    <w:uiPriority w:val="0"/>
    <w:pPr>
      <w:ind w:left="200" w:hanging="200" w:hangingChars="200"/>
    </w:pPr>
  </w:style>
  <w:style w:type="paragraph" w:styleId="27">
    <w:name w:val="Body Text Indent 3"/>
    <w:basedOn w:val="1"/>
    <w:link w:val="62"/>
    <w:unhideWhenUsed/>
    <w:qFormat/>
    <w:uiPriority w:val="0"/>
    <w:pPr>
      <w:spacing w:after="120"/>
      <w:ind w:left="420" w:leftChars="200"/>
    </w:pPr>
    <w:rPr>
      <w:rFonts w:ascii="宋体" w:hAnsi="宋体" w:eastAsiaTheme="minorEastAsia" w:cstheme="minorBidi"/>
      <w:sz w:val="24"/>
      <w:szCs w:val="22"/>
    </w:rPr>
  </w:style>
  <w:style w:type="paragraph" w:styleId="28">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9">
    <w:name w:val="Normal (Web)"/>
    <w:basedOn w:val="1"/>
    <w:qFormat/>
    <w:uiPriority w:val="34"/>
    <w:pPr>
      <w:widowControl/>
      <w:spacing w:before="100" w:beforeAutospacing="1" w:after="100" w:afterAutospacing="1"/>
      <w:jc w:val="left"/>
    </w:pPr>
    <w:rPr>
      <w:rFonts w:ascii="宋体" w:hAnsi="宋体"/>
      <w:kern w:val="0"/>
      <w:sz w:val="24"/>
    </w:rPr>
  </w:style>
  <w:style w:type="paragraph" w:styleId="30">
    <w:name w:val="Title"/>
    <w:basedOn w:val="1"/>
    <w:next w:val="1"/>
    <w:link w:val="64"/>
    <w:qFormat/>
    <w:uiPriority w:val="0"/>
    <w:pPr>
      <w:spacing w:before="240" w:after="60"/>
      <w:jc w:val="center"/>
      <w:outlineLvl w:val="0"/>
    </w:pPr>
    <w:rPr>
      <w:rFonts w:ascii="Cambria" w:hAnsi="Cambria" w:eastAsiaTheme="minorEastAsia" w:cstheme="minorBidi"/>
      <w:b/>
      <w:bCs/>
      <w:sz w:val="32"/>
      <w:szCs w:val="32"/>
    </w:rPr>
  </w:style>
  <w:style w:type="paragraph" w:styleId="31">
    <w:name w:val="annotation subject"/>
    <w:basedOn w:val="13"/>
    <w:next w:val="13"/>
    <w:link w:val="65"/>
    <w:unhideWhenUsed/>
    <w:qFormat/>
    <w:uiPriority w:val="0"/>
    <w:rPr>
      <w:b/>
      <w:bCs/>
    </w:rPr>
  </w:style>
  <w:style w:type="table" w:styleId="33">
    <w:name w:val="Table Grid"/>
    <w:basedOn w:val="3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unhideWhenUsed/>
    <w:qFormat/>
    <w:uiPriority w:val="0"/>
    <w:rPr>
      <w:sz w:val="21"/>
      <w:szCs w:val="21"/>
    </w:rPr>
  </w:style>
  <w:style w:type="character" w:customStyle="1" w:styleId="41">
    <w:name w:val="标题 1 字符"/>
    <w:basedOn w:val="34"/>
    <w:link w:val="2"/>
    <w:qFormat/>
    <w:uiPriority w:val="9"/>
    <w:rPr>
      <w:rFonts w:ascii="Times New Roman" w:hAnsi="Times New Roman" w:eastAsia="宋体" w:cs="Times New Roman"/>
      <w:b/>
      <w:kern w:val="44"/>
      <w:sz w:val="36"/>
      <w:szCs w:val="20"/>
    </w:rPr>
  </w:style>
  <w:style w:type="character" w:customStyle="1" w:styleId="42">
    <w:name w:val="标题 2 字符"/>
    <w:basedOn w:val="34"/>
    <w:link w:val="3"/>
    <w:qFormat/>
    <w:uiPriority w:val="0"/>
    <w:rPr>
      <w:rFonts w:ascii="Times New Roman" w:hAnsi="Times New Roman" w:eastAsia="宋体" w:cs="Times New Roman"/>
      <w:b/>
      <w:sz w:val="32"/>
      <w:szCs w:val="20"/>
    </w:rPr>
  </w:style>
  <w:style w:type="character" w:customStyle="1" w:styleId="43">
    <w:name w:val="标题 3 字符"/>
    <w:basedOn w:val="34"/>
    <w:link w:val="5"/>
    <w:qFormat/>
    <w:uiPriority w:val="0"/>
    <w:rPr>
      <w:rFonts w:ascii="Times New Roman" w:hAnsi="Times New Roman" w:eastAsia="宋体" w:cs="Times New Roman"/>
      <w:b/>
      <w:sz w:val="28"/>
      <w:szCs w:val="20"/>
    </w:rPr>
  </w:style>
  <w:style w:type="character" w:customStyle="1" w:styleId="44">
    <w:name w:val="标题 4 字符"/>
    <w:basedOn w:val="34"/>
    <w:link w:val="6"/>
    <w:qFormat/>
    <w:uiPriority w:val="0"/>
    <w:rPr>
      <w:rFonts w:ascii="宋体" w:hAnsi="Arial" w:eastAsia="宋体" w:cs="Times New Roman"/>
      <w:b/>
      <w:kern w:val="0"/>
      <w:sz w:val="24"/>
      <w:szCs w:val="20"/>
    </w:rPr>
  </w:style>
  <w:style w:type="character" w:customStyle="1" w:styleId="45">
    <w:name w:val="标题 5 字符"/>
    <w:basedOn w:val="34"/>
    <w:link w:val="7"/>
    <w:qFormat/>
    <w:uiPriority w:val="0"/>
    <w:rPr>
      <w:rFonts w:ascii="宋体" w:hAnsi="Times New Roman" w:eastAsia="仿宋_GB2312" w:cs="Times New Roman"/>
      <w:b/>
      <w:kern w:val="0"/>
      <w:sz w:val="28"/>
      <w:szCs w:val="20"/>
    </w:rPr>
  </w:style>
  <w:style w:type="character" w:customStyle="1" w:styleId="46">
    <w:name w:val="标题 6 字符"/>
    <w:basedOn w:val="34"/>
    <w:link w:val="8"/>
    <w:qFormat/>
    <w:uiPriority w:val="0"/>
    <w:rPr>
      <w:rFonts w:ascii="Arial" w:hAnsi="Arial" w:eastAsia="黑体" w:cs="Times New Roman"/>
      <w:b/>
      <w:kern w:val="0"/>
      <w:sz w:val="24"/>
      <w:szCs w:val="20"/>
    </w:rPr>
  </w:style>
  <w:style w:type="character" w:customStyle="1" w:styleId="47">
    <w:name w:val="标题 7 字符"/>
    <w:basedOn w:val="34"/>
    <w:link w:val="9"/>
    <w:qFormat/>
    <w:uiPriority w:val="0"/>
    <w:rPr>
      <w:rFonts w:ascii="宋体" w:hAnsi="Times New Roman" w:eastAsia="仿宋_GB2312" w:cs="Times New Roman"/>
      <w:b/>
      <w:kern w:val="0"/>
      <w:sz w:val="24"/>
      <w:szCs w:val="20"/>
    </w:rPr>
  </w:style>
  <w:style w:type="character" w:customStyle="1" w:styleId="48">
    <w:name w:val="标题 8 字符"/>
    <w:basedOn w:val="34"/>
    <w:link w:val="10"/>
    <w:qFormat/>
    <w:uiPriority w:val="0"/>
    <w:rPr>
      <w:rFonts w:ascii="Arial" w:hAnsi="Arial" w:eastAsia="黑体" w:cs="Times New Roman"/>
      <w:kern w:val="0"/>
      <w:sz w:val="24"/>
      <w:szCs w:val="20"/>
    </w:rPr>
  </w:style>
  <w:style w:type="character" w:customStyle="1" w:styleId="49">
    <w:name w:val="标题 9 字符"/>
    <w:basedOn w:val="34"/>
    <w:link w:val="11"/>
    <w:qFormat/>
    <w:uiPriority w:val="0"/>
    <w:rPr>
      <w:rFonts w:ascii="Arial" w:hAnsi="Arial" w:eastAsia="黑体" w:cs="Times New Roman"/>
      <w:kern w:val="0"/>
      <w:sz w:val="28"/>
      <w:szCs w:val="20"/>
    </w:rPr>
  </w:style>
  <w:style w:type="character" w:customStyle="1" w:styleId="50">
    <w:name w:val="文档结构图 字符"/>
    <w:basedOn w:val="34"/>
    <w:link w:val="12"/>
    <w:semiHidden/>
    <w:qFormat/>
    <w:uiPriority w:val="0"/>
    <w:rPr>
      <w:rFonts w:ascii="Times New Roman" w:hAnsi="Times New Roman" w:eastAsia="宋体" w:cs="Times New Roman"/>
      <w:szCs w:val="24"/>
      <w:shd w:val="clear" w:color="auto" w:fill="000080"/>
    </w:rPr>
  </w:style>
  <w:style w:type="character" w:customStyle="1" w:styleId="51">
    <w:name w:val="批注文字 字符"/>
    <w:basedOn w:val="34"/>
    <w:link w:val="13"/>
    <w:qFormat/>
    <w:uiPriority w:val="0"/>
    <w:rPr>
      <w:szCs w:val="24"/>
    </w:rPr>
  </w:style>
  <w:style w:type="character" w:customStyle="1" w:styleId="52">
    <w:name w:val="正文文本 3 字符"/>
    <w:basedOn w:val="34"/>
    <w:link w:val="14"/>
    <w:qFormat/>
    <w:uiPriority w:val="0"/>
    <w:rPr>
      <w:rFonts w:ascii="Times New Roman" w:hAnsi="Times New Roman" w:eastAsia="宋体" w:cs="Times New Roman"/>
      <w:sz w:val="16"/>
      <w:szCs w:val="16"/>
    </w:rPr>
  </w:style>
  <w:style w:type="character" w:customStyle="1" w:styleId="53">
    <w:name w:val="正文文本 字符"/>
    <w:basedOn w:val="34"/>
    <w:link w:val="15"/>
    <w:qFormat/>
    <w:uiPriority w:val="0"/>
    <w:rPr>
      <w:rFonts w:ascii="Times New Roman" w:hAnsi="Times New Roman" w:eastAsia="隶书" w:cs="Times New Roman"/>
      <w:b/>
      <w:kern w:val="0"/>
      <w:sz w:val="44"/>
      <w:szCs w:val="20"/>
    </w:rPr>
  </w:style>
  <w:style w:type="character" w:customStyle="1" w:styleId="54">
    <w:name w:val="正文文本缩进 字符"/>
    <w:basedOn w:val="34"/>
    <w:link w:val="16"/>
    <w:qFormat/>
    <w:uiPriority w:val="99"/>
    <w:rPr>
      <w:rFonts w:ascii="宋体" w:hAnsi="Times New Roman" w:eastAsia="宋体" w:cs="Times New Roman"/>
      <w:sz w:val="28"/>
      <w:szCs w:val="20"/>
    </w:rPr>
  </w:style>
  <w:style w:type="character" w:customStyle="1" w:styleId="55">
    <w:name w:val="纯文本 字符"/>
    <w:basedOn w:val="34"/>
    <w:link w:val="18"/>
    <w:qFormat/>
    <w:uiPriority w:val="0"/>
    <w:rPr>
      <w:rFonts w:ascii="宋体" w:hAnsi="Courier New" w:eastAsia="宋体" w:cs="Times New Roman"/>
      <w:szCs w:val="20"/>
    </w:rPr>
  </w:style>
  <w:style w:type="character" w:customStyle="1" w:styleId="56">
    <w:name w:val="日期 字符"/>
    <w:basedOn w:val="34"/>
    <w:link w:val="19"/>
    <w:qFormat/>
    <w:uiPriority w:val="0"/>
    <w:rPr>
      <w:rFonts w:ascii="Times New Roman" w:hAnsi="Times New Roman" w:eastAsia="宋体" w:cs="Times New Roman"/>
      <w:szCs w:val="20"/>
    </w:rPr>
  </w:style>
  <w:style w:type="character" w:customStyle="1" w:styleId="57">
    <w:name w:val="正文文本缩进 2 字符"/>
    <w:basedOn w:val="34"/>
    <w:link w:val="20"/>
    <w:qFormat/>
    <w:uiPriority w:val="0"/>
    <w:rPr>
      <w:rFonts w:ascii="Times New Roman" w:hAnsi="Times New Roman" w:eastAsia="宋体" w:cs="Times New Roman"/>
      <w:szCs w:val="24"/>
    </w:rPr>
  </w:style>
  <w:style w:type="character" w:customStyle="1" w:styleId="58">
    <w:name w:val="批注框文本 字符"/>
    <w:basedOn w:val="34"/>
    <w:link w:val="21"/>
    <w:semiHidden/>
    <w:qFormat/>
    <w:uiPriority w:val="0"/>
    <w:rPr>
      <w:rFonts w:ascii="Times New Roman" w:hAnsi="Times New Roman" w:eastAsia="宋体" w:cs="Times New Roman"/>
      <w:sz w:val="18"/>
      <w:szCs w:val="18"/>
    </w:rPr>
  </w:style>
  <w:style w:type="character" w:customStyle="1" w:styleId="59">
    <w:name w:val="页脚 字符"/>
    <w:basedOn w:val="34"/>
    <w:link w:val="22"/>
    <w:qFormat/>
    <w:uiPriority w:val="99"/>
    <w:rPr>
      <w:rFonts w:ascii="Times New Roman" w:hAnsi="Times New Roman" w:eastAsia="宋体" w:cs="Times New Roman"/>
      <w:sz w:val="18"/>
      <w:szCs w:val="18"/>
    </w:rPr>
  </w:style>
  <w:style w:type="character" w:customStyle="1" w:styleId="60">
    <w:name w:val="页眉 字符"/>
    <w:basedOn w:val="34"/>
    <w:link w:val="23"/>
    <w:qFormat/>
    <w:uiPriority w:val="0"/>
    <w:rPr>
      <w:rFonts w:ascii="Times New Roman" w:hAnsi="Times New Roman" w:eastAsia="宋体" w:cs="Times New Roman"/>
      <w:sz w:val="18"/>
      <w:szCs w:val="18"/>
    </w:rPr>
  </w:style>
  <w:style w:type="character" w:customStyle="1" w:styleId="61">
    <w:name w:val="副标题 字符"/>
    <w:basedOn w:val="34"/>
    <w:link w:val="25"/>
    <w:qFormat/>
    <w:uiPriority w:val="0"/>
    <w:rPr>
      <w:rFonts w:ascii="黑体" w:hAnsi="黑体" w:eastAsia="黑体"/>
      <w:bCs/>
      <w:kern w:val="28"/>
      <w:sz w:val="24"/>
      <w:szCs w:val="32"/>
    </w:rPr>
  </w:style>
  <w:style w:type="character" w:customStyle="1" w:styleId="62">
    <w:name w:val="正文文本缩进 3 字符"/>
    <w:basedOn w:val="34"/>
    <w:link w:val="27"/>
    <w:qFormat/>
    <w:uiPriority w:val="0"/>
    <w:rPr>
      <w:rFonts w:ascii="宋体" w:hAnsi="宋体"/>
      <w:sz w:val="24"/>
    </w:rPr>
  </w:style>
  <w:style w:type="character" w:customStyle="1" w:styleId="63">
    <w:name w:val="HTML 预设格式 字符"/>
    <w:basedOn w:val="34"/>
    <w:link w:val="28"/>
    <w:qFormat/>
    <w:uiPriority w:val="0"/>
    <w:rPr>
      <w:rFonts w:ascii="Arial" w:hAnsi="Arial" w:eastAsia="宋体" w:cs="Arial"/>
      <w:kern w:val="0"/>
      <w:szCs w:val="21"/>
    </w:rPr>
  </w:style>
  <w:style w:type="character" w:customStyle="1" w:styleId="64">
    <w:name w:val="标题 字符"/>
    <w:basedOn w:val="34"/>
    <w:link w:val="30"/>
    <w:qFormat/>
    <w:uiPriority w:val="0"/>
    <w:rPr>
      <w:rFonts w:ascii="Cambria" w:hAnsi="Cambria"/>
      <w:b/>
      <w:bCs/>
      <w:sz w:val="32"/>
      <w:szCs w:val="32"/>
    </w:rPr>
  </w:style>
  <w:style w:type="character" w:customStyle="1" w:styleId="65">
    <w:name w:val="批注主题 字符"/>
    <w:basedOn w:val="51"/>
    <w:link w:val="31"/>
    <w:qFormat/>
    <w:uiPriority w:val="0"/>
    <w:rPr>
      <w:b/>
      <w:bCs/>
      <w:szCs w:val="24"/>
    </w:rPr>
  </w:style>
  <w:style w:type="paragraph" w:customStyle="1" w:styleId="66">
    <w:name w:val="一级条标题"/>
    <w:basedOn w:val="1"/>
    <w:next w:val="1"/>
    <w:qFormat/>
    <w:uiPriority w:val="0"/>
    <w:pPr>
      <w:widowControl/>
      <w:numPr>
        <w:ilvl w:val="2"/>
        <w:numId w:val="2"/>
      </w:numPr>
      <w:outlineLvl w:val="2"/>
    </w:pPr>
    <w:rPr>
      <w:rFonts w:ascii="黑体" w:eastAsia="黑体"/>
      <w:kern w:val="0"/>
      <w:sz w:val="24"/>
      <w:szCs w:val="20"/>
    </w:rPr>
  </w:style>
  <w:style w:type="paragraph" w:customStyle="1" w:styleId="67">
    <w:name w:val="二级条标题"/>
    <w:basedOn w:val="66"/>
    <w:next w:val="1"/>
    <w:qFormat/>
    <w:uiPriority w:val="0"/>
    <w:pPr>
      <w:numPr>
        <w:ilvl w:val="3"/>
      </w:numPr>
      <w:tabs>
        <w:tab w:val="left" w:pos="1290"/>
      </w:tabs>
      <w:ind w:left="1290" w:hanging="720"/>
      <w:outlineLvl w:val="3"/>
    </w:pPr>
  </w:style>
  <w:style w:type="paragraph" w:customStyle="1" w:styleId="68">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69">
    <w:name w:val="样式 标题 2 + 小二 段前: 0.5 行 段后: 0.5 行"/>
    <w:basedOn w:val="3"/>
    <w:qFormat/>
    <w:uiPriority w:val="0"/>
    <w:pPr>
      <w:keepLines w:val="0"/>
      <w:spacing w:beforeLines="50" w:afterLines="50" w:line="360" w:lineRule="auto"/>
    </w:pPr>
    <w:rPr>
      <w:rFonts w:ascii="宋体"/>
      <w:bCs/>
      <w:sz w:val="30"/>
      <w:szCs w:val="30"/>
    </w:rPr>
  </w:style>
  <w:style w:type="paragraph" w:customStyle="1" w:styleId="70">
    <w:name w:val="样式 标题 4 + 左侧:  0 厘米 悬挂缩进: 8.64 字符 行距: 最小值 18.8 磅"/>
    <w:basedOn w:val="6"/>
    <w:qFormat/>
    <w:uiPriority w:val="0"/>
    <w:pPr>
      <w:keepLines/>
      <w:widowControl w:val="0"/>
      <w:tabs>
        <w:tab w:val="clear" w:pos="2356"/>
      </w:tabs>
      <w:spacing w:before="120" w:after="120"/>
      <w:ind w:left="862" w:hanging="862"/>
    </w:pPr>
    <w:rPr>
      <w:rFonts w:ascii="Arial"/>
      <w:bCs/>
      <w:kern w:val="2"/>
      <w:szCs w:val="24"/>
    </w:rPr>
  </w:style>
  <w:style w:type="paragraph" w:customStyle="1" w:styleId="71">
    <w:name w:val="规范正文 Char Char Char"/>
    <w:basedOn w:val="1"/>
    <w:qFormat/>
    <w:uiPriority w:val="0"/>
    <w:pPr>
      <w:adjustRightInd w:val="0"/>
      <w:spacing w:line="360" w:lineRule="auto"/>
      <w:ind w:left="227" w:firstLine="454"/>
      <w:textAlignment w:val="baseline"/>
    </w:pPr>
    <w:rPr>
      <w:sz w:val="24"/>
    </w:rPr>
  </w:style>
  <w:style w:type="paragraph" w:customStyle="1" w:styleId="72">
    <w:name w:val="样式 首行缩进:  2 字符"/>
    <w:basedOn w:val="1"/>
    <w:qFormat/>
    <w:uiPriority w:val="0"/>
    <w:pPr>
      <w:spacing w:line="360" w:lineRule="auto"/>
      <w:ind w:firstLine="200" w:firstLineChars="200"/>
    </w:pPr>
    <w:rPr>
      <w:sz w:val="24"/>
    </w:rPr>
  </w:style>
  <w:style w:type="character" w:customStyle="1" w:styleId="73">
    <w:name w:val="规范正文 Char Char Char Char"/>
    <w:qFormat/>
    <w:uiPriority w:val="0"/>
    <w:rPr>
      <w:rFonts w:eastAsia="宋体"/>
      <w:kern w:val="2"/>
      <w:sz w:val="24"/>
      <w:szCs w:val="24"/>
      <w:lang w:val="en-US" w:eastAsia="zh-CN" w:bidi="ar-SA"/>
    </w:rPr>
  </w:style>
  <w:style w:type="paragraph" w:customStyle="1" w:styleId="74">
    <w:name w:val="规范正文 Char Char"/>
    <w:basedOn w:val="1"/>
    <w:qFormat/>
    <w:uiPriority w:val="0"/>
    <w:pPr>
      <w:adjustRightInd w:val="0"/>
      <w:spacing w:line="360" w:lineRule="auto"/>
      <w:ind w:left="227" w:firstLine="454"/>
      <w:textAlignment w:val="baseline"/>
    </w:pPr>
    <w:rPr>
      <w:kern w:val="0"/>
      <w:sz w:val="24"/>
      <w:szCs w:val="20"/>
    </w:rPr>
  </w:style>
  <w:style w:type="paragraph" w:customStyle="1" w:styleId="75">
    <w:name w:val="样式 标题 2 + 左侧:  0 厘米 首行缩进:  0 厘米 右侧:  2 字符"/>
    <w:basedOn w:val="3"/>
    <w:qFormat/>
    <w:uiPriority w:val="0"/>
    <w:pPr>
      <w:spacing w:before="120" w:after="120" w:line="360" w:lineRule="auto"/>
      <w:ind w:right="420" w:rightChars="200"/>
    </w:pPr>
    <w:rPr>
      <w:rFonts w:ascii="Arial" w:hAnsi="Arial" w:eastAsia="黑体"/>
      <w:bCs/>
      <w:sz w:val="24"/>
    </w:rPr>
  </w:style>
  <w:style w:type="paragraph" w:customStyle="1" w:styleId="76">
    <w:name w:val="Default Text"/>
    <w:basedOn w:val="1"/>
    <w:uiPriority w:val="0"/>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77">
    <w:name w:val="缺省文本"/>
    <w:basedOn w:val="1"/>
    <w:uiPriority w:val="0"/>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78">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80">
    <w:name w:val="font7"/>
    <w:basedOn w:val="1"/>
    <w:uiPriority w:val="0"/>
    <w:pPr>
      <w:widowControl/>
      <w:spacing w:before="100" w:beforeAutospacing="1" w:after="100" w:afterAutospacing="1"/>
      <w:jc w:val="left"/>
    </w:pPr>
    <w:rPr>
      <w:kern w:val="0"/>
      <w:sz w:val="20"/>
      <w:szCs w:val="20"/>
    </w:rPr>
  </w:style>
  <w:style w:type="paragraph" w:customStyle="1" w:styleId="81">
    <w:name w:val="font8"/>
    <w:basedOn w:val="1"/>
    <w:uiPriority w:val="0"/>
    <w:pPr>
      <w:widowControl/>
      <w:spacing w:before="100" w:beforeAutospacing="1" w:after="100" w:afterAutospacing="1"/>
      <w:jc w:val="left"/>
    </w:pPr>
    <w:rPr>
      <w:rFonts w:hint="eastAsia" w:ascii="宋体" w:hAnsi="宋体"/>
      <w:b/>
      <w:bCs/>
      <w:kern w:val="0"/>
      <w:sz w:val="20"/>
      <w:szCs w:val="20"/>
    </w:rPr>
  </w:style>
  <w:style w:type="paragraph" w:customStyle="1" w:styleId="82">
    <w:name w:val="font9"/>
    <w:basedOn w:val="1"/>
    <w:qFormat/>
    <w:uiPriority w:val="0"/>
    <w:pPr>
      <w:widowControl/>
      <w:spacing w:before="100" w:beforeAutospacing="1" w:after="100" w:afterAutospacing="1"/>
      <w:jc w:val="left"/>
    </w:pPr>
    <w:rPr>
      <w:b/>
      <w:bCs/>
      <w:kern w:val="0"/>
      <w:sz w:val="20"/>
      <w:szCs w:val="20"/>
    </w:rPr>
  </w:style>
  <w:style w:type="paragraph" w:customStyle="1" w:styleId="83">
    <w:name w:val="font10"/>
    <w:basedOn w:val="1"/>
    <w:uiPriority w:val="0"/>
    <w:pPr>
      <w:widowControl/>
      <w:spacing w:before="100" w:beforeAutospacing="1" w:after="100" w:afterAutospacing="1"/>
      <w:jc w:val="left"/>
    </w:pPr>
    <w:rPr>
      <w:rFonts w:ascii="Arial Narrow" w:hAnsi="Arial Narrow"/>
      <w:kern w:val="0"/>
      <w:sz w:val="20"/>
      <w:szCs w:val="20"/>
    </w:rPr>
  </w:style>
  <w:style w:type="paragraph" w:customStyle="1" w:styleId="84">
    <w:name w:val="font11"/>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85">
    <w:name w:val="font12"/>
    <w:basedOn w:val="1"/>
    <w:uiPriority w:val="0"/>
    <w:pPr>
      <w:widowControl/>
      <w:spacing w:before="100" w:beforeAutospacing="1" w:after="100" w:afterAutospacing="1"/>
      <w:jc w:val="left"/>
    </w:pPr>
    <w:rPr>
      <w:kern w:val="0"/>
      <w:sz w:val="20"/>
      <w:szCs w:val="20"/>
    </w:rPr>
  </w:style>
  <w:style w:type="paragraph" w:customStyle="1" w:styleId="8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8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9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9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kern w:val="0"/>
      <w:sz w:val="20"/>
      <w:szCs w:val="20"/>
    </w:rPr>
  </w:style>
  <w:style w:type="paragraph" w:customStyle="1" w:styleId="9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7">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0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02">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20"/>
      <w:szCs w:val="20"/>
    </w:rPr>
  </w:style>
  <w:style w:type="paragraph" w:customStyle="1" w:styleId="10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04">
    <w:name w:val="xl4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5">
    <w:name w:val="xl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106">
    <w:name w:val="xl4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7">
    <w:name w:val="xl4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8">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109">
    <w:name w:val="xl4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0">
    <w:name w:val="xl4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0"/>
      <w:szCs w:val="20"/>
    </w:rPr>
  </w:style>
  <w:style w:type="paragraph" w:customStyle="1" w:styleId="111">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2">
    <w:name w:val="xl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
    <w:name w:val="xl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4">
    <w:name w:val="xl5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5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6">
    <w:name w:val="xl54"/>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1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kern w:val="0"/>
      <w:sz w:val="20"/>
      <w:szCs w:val="20"/>
    </w:rPr>
  </w:style>
  <w:style w:type="paragraph" w:customStyle="1" w:styleId="119">
    <w:name w:val="xl5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0">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1">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6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3">
    <w:name w:val="xl6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12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1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5">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36">
    <w:name w:val="IBM 正文"/>
    <w:basedOn w:val="1"/>
    <w:qFormat/>
    <w:uiPriority w:val="0"/>
    <w:pPr>
      <w:spacing w:line="400" w:lineRule="exact"/>
    </w:pPr>
    <w:rPr>
      <w:spacing w:val="20"/>
      <w:sz w:val="24"/>
    </w:rPr>
  </w:style>
  <w:style w:type="character" w:customStyle="1" w:styleId="137">
    <w:name w:val="纯文本 Char"/>
    <w:basedOn w:val="34"/>
    <w:semiHidden/>
    <w:qFormat/>
    <w:uiPriority w:val="99"/>
    <w:rPr>
      <w:rFonts w:ascii="宋体" w:hAnsi="Courier New" w:eastAsia="宋体" w:cs="Courier New"/>
      <w:szCs w:val="21"/>
    </w:rPr>
  </w:style>
  <w:style w:type="paragraph" w:customStyle="1" w:styleId="138">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139">
    <w:name w:val="样式 标题 2 + Times New Roman 四号 非加粗 段前: 5 磅 段后: 0 磅 行距: 固定值 20..."/>
    <w:basedOn w:val="3"/>
    <w:qFormat/>
    <w:uiPriority w:val="0"/>
    <w:pPr>
      <w:spacing w:before="100" w:after="0" w:line="400" w:lineRule="exact"/>
    </w:pPr>
    <w:rPr>
      <w:rFonts w:eastAsia="黑体" w:cs="宋体"/>
      <w:b w:val="0"/>
      <w:sz w:val="28"/>
    </w:rPr>
  </w:style>
  <w:style w:type="character" w:customStyle="1" w:styleId="140">
    <w:name w:val="msoins"/>
    <w:basedOn w:val="34"/>
    <w:qFormat/>
    <w:uiPriority w:val="0"/>
  </w:style>
  <w:style w:type="paragraph" w:customStyle="1" w:styleId="141">
    <w:name w:val="默认段落字体 Para Char Char Char Char Char Char Char Char Char1 Char Char Char Char"/>
    <w:basedOn w:val="1"/>
    <w:qFormat/>
    <w:uiPriority w:val="0"/>
    <w:rPr>
      <w:rFonts w:ascii="Tahoma" w:hAnsi="Tahoma"/>
      <w:sz w:val="24"/>
      <w:szCs w:val="20"/>
    </w:rPr>
  </w:style>
  <w:style w:type="paragraph" w:customStyle="1" w:styleId="142">
    <w:name w:val="_Style 1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3">
    <w:name w:val="List Paragraph"/>
    <w:basedOn w:val="1"/>
    <w:link w:val="169"/>
    <w:qFormat/>
    <w:uiPriority w:val="0"/>
    <w:pPr>
      <w:ind w:firstLine="420" w:firstLineChars="200"/>
    </w:pPr>
    <w:rPr>
      <w:rFonts w:ascii="Calibri" w:hAnsi="Calibri"/>
      <w:szCs w:val="22"/>
    </w:rPr>
  </w:style>
  <w:style w:type="paragraph" w:customStyle="1" w:styleId="144">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Char Char1 Char Char Char Char Char1 Char Char Char Char"/>
    <w:basedOn w:val="12"/>
    <w:qFormat/>
    <w:uiPriority w:val="0"/>
    <w:rPr>
      <w:rFonts w:ascii="Tahoma" w:hAnsi="Tahoma" w:eastAsia="仿宋_GB2312"/>
      <w:sz w:val="30"/>
      <w:szCs w:val="30"/>
    </w:rPr>
  </w:style>
  <w:style w:type="character" w:customStyle="1" w:styleId="146">
    <w:name w:val="批注文字 Char1"/>
    <w:basedOn w:val="34"/>
    <w:qFormat/>
    <w:uiPriority w:val="0"/>
    <w:rPr>
      <w:rFonts w:ascii="Times New Roman" w:hAnsi="Times New Roman" w:eastAsia="宋体" w:cs="Times New Roman"/>
      <w:szCs w:val="24"/>
    </w:rPr>
  </w:style>
  <w:style w:type="character" w:customStyle="1" w:styleId="147">
    <w:name w:val="标题 Char1"/>
    <w:basedOn w:val="34"/>
    <w:qFormat/>
    <w:uiPriority w:val="0"/>
    <w:rPr>
      <w:rFonts w:eastAsia="宋体" w:asciiTheme="majorHAnsi" w:hAnsiTheme="majorHAnsi" w:cstheme="majorBidi"/>
      <w:b/>
      <w:bCs/>
      <w:sz w:val="32"/>
      <w:szCs w:val="32"/>
    </w:rPr>
  </w:style>
  <w:style w:type="character" w:customStyle="1" w:styleId="148">
    <w:name w:val="副标题 Char1"/>
    <w:basedOn w:val="34"/>
    <w:qFormat/>
    <w:uiPriority w:val="0"/>
    <w:rPr>
      <w:rFonts w:eastAsia="宋体" w:asciiTheme="majorHAnsi" w:hAnsiTheme="majorHAnsi" w:cstheme="majorBidi"/>
      <w:b/>
      <w:bCs/>
      <w:kern w:val="28"/>
      <w:sz w:val="32"/>
      <w:szCs w:val="32"/>
    </w:rPr>
  </w:style>
  <w:style w:type="character" w:customStyle="1" w:styleId="149">
    <w:name w:val="正文文本缩进 3 Char1"/>
    <w:basedOn w:val="34"/>
    <w:qFormat/>
    <w:uiPriority w:val="0"/>
    <w:rPr>
      <w:rFonts w:ascii="Times New Roman" w:hAnsi="Times New Roman" w:eastAsia="宋体" w:cs="Times New Roman"/>
      <w:sz w:val="16"/>
      <w:szCs w:val="16"/>
    </w:rPr>
  </w:style>
  <w:style w:type="character" w:customStyle="1" w:styleId="150">
    <w:name w:val="批注主题 Char1"/>
    <w:basedOn w:val="146"/>
    <w:qFormat/>
    <w:uiPriority w:val="0"/>
    <w:rPr>
      <w:rFonts w:ascii="Times New Roman" w:hAnsi="Times New Roman" w:eastAsia="宋体" w:cs="Times New Roman"/>
      <w:b/>
      <w:bCs/>
      <w:szCs w:val="24"/>
    </w:rPr>
  </w:style>
  <w:style w:type="paragraph" w:customStyle="1" w:styleId="151">
    <w:name w:val="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表格文字"/>
    <w:basedOn w:val="1"/>
    <w:qFormat/>
    <w:uiPriority w:val="0"/>
    <w:pPr>
      <w:adjustRightInd w:val="0"/>
      <w:spacing w:line="420" w:lineRule="atLeast"/>
      <w:jc w:val="left"/>
    </w:pPr>
    <w:rPr>
      <w:kern w:val="0"/>
      <w:szCs w:val="20"/>
    </w:rPr>
  </w:style>
  <w:style w:type="paragraph" w:customStyle="1" w:styleId="153">
    <w:name w:val="bb"/>
    <w:basedOn w:val="1"/>
    <w:qFormat/>
    <w:uiPriority w:val="0"/>
    <w:pPr>
      <w:widowControl/>
      <w:spacing w:before="100" w:beforeAutospacing="1" w:after="100" w:afterAutospacing="1"/>
      <w:jc w:val="left"/>
    </w:pPr>
    <w:rPr>
      <w:rFonts w:ascii="宋体" w:hAnsi="宋体" w:cs="宋体"/>
      <w:b/>
      <w:bCs/>
      <w:color w:val="990000"/>
      <w:kern w:val="0"/>
      <w:szCs w:val="21"/>
    </w:rPr>
  </w:style>
  <w:style w:type="paragraph" w:customStyle="1" w:styleId="154">
    <w:name w:val="样式7"/>
    <w:basedOn w:val="1"/>
    <w:qFormat/>
    <w:uiPriority w:val="0"/>
    <w:pPr>
      <w:spacing w:line="500" w:lineRule="exact"/>
      <w:jc w:val="center"/>
    </w:pPr>
    <w:rPr>
      <w:rFonts w:ascii="宋体"/>
      <w:b/>
      <w:sz w:val="32"/>
      <w:szCs w:val="20"/>
    </w:rPr>
  </w:style>
  <w:style w:type="paragraph" w:customStyle="1" w:styleId="155">
    <w:name w:val="Char2"/>
    <w:basedOn w:val="1"/>
    <w:qFormat/>
    <w:uiPriority w:val="0"/>
    <w:pPr>
      <w:spacing w:line="400" w:lineRule="exact"/>
    </w:pPr>
    <w:rPr>
      <w:rFonts w:ascii="Tahoma" w:hAnsi="Tahoma"/>
      <w:sz w:val="24"/>
      <w:szCs w:val="20"/>
    </w:rPr>
  </w:style>
  <w:style w:type="paragraph" w:customStyle="1" w:styleId="156">
    <w:name w:val="Char1 Char Char Char Char Char Char"/>
    <w:basedOn w:val="1"/>
    <w:qFormat/>
    <w:uiPriority w:val="0"/>
    <w:pPr>
      <w:ind w:firstLine="360" w:firstLineChars="150"/>
    </w:pPr>
    <w:rPr>
      <w:rFonts w:ascii="Tahoma" w:hAnsi="Tahoma"/>
      <w:sz w:val="24"/>
      <w:szCs w:val="20"/>
    </w:rPr>
  </w:style>
  <w:style w:type="character" w:customStyle="1" w:styleId="157">
    <w:name w:val="style18"/>
    <w:basedOn w:val="34"/>
    <w:qFormat/>
    <w:uiPriority w:val="0"/>
  </w:style>
  <w:style w:type="character" w:customStyle="1" w:styleId="158">
    <w:name w:val="普通文字 Char Char2"/>
    <w:qFormat/>
    <w:locked/>
    <w:uiPriority w:val="0"/>
    <w:rPr>
      <w:rFonts w:ascii="宋体" w:hAnsi="Courier New" w:eastAsia="宋体"/>
    </w:rPr>
  </w:style>
  <w:style w:type="paragraph" w:customStyle="1" w:styleId="159">
    <w:name w:val="列出段落1"/>
    <w:basedOn w:val="1"/>
    <w:qFormat/>
    <w:uiPriority w:val="34"/>
    <w:pPr>
      <w:ind w:firstLine="420" w:firstLineChars="200"/>
    </w:pPr>
    <w:rPr>
      <w:rFonts w:ascii="Calibri" w:hAnsi="Calibri"/>
      <w:szCs w:val="22"/>
    </w:rPr>
  </w:style>
  <w:style w:type="paragraph" w:customStyle="1" w:styleId="16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61">
    <w:name w:val="正文2"/>
    <w:basedOn w:val="1"/>
    <w:qFormat/>
    <w:uiPriority w:val="0"/>
    <w:pPr>
      <w:spacing w:before="156" w:line="360" w:lineRule="auto"/>
      <w:ind w:firstLine="510" w:firstLineChars="200"/>
    </w:pPr>
    <w:rPr>
      <w:rFonts w:ascii="Calibri" w:hAnsi="Calibri"/>
      <w:sz w:val="24"/>
      <w:szCs w:val="20"/>
    </w:rPr>
  </w:style>
  <w:style w:type="character" w:customStyle="1" w:styleId="162">
    <w:name w:val="正文缩进 字符"/>
    <w:link w:val="4"/>
    <w:qFormat/>
    <w:uiPriority w:val="0"/>
    <w:rPr>
      <w:rFonts w:ascii="Times New Roman" w:hAnsi="Times New Roman" w:eastAsia="宋体" w:cs="Times New Roman"/>
      <w:szCs w:val="20"/>
    </w:rPr>
  </w:style>
  <w:style w:type="paragraph" w:customStyle="1" w:styleId="163">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flName"/>
    <w:basedOn w:val="164"/>
    <w:qFormat/>
    <w:uiPriority w:val="0"/>
    <w:rPr>
      <w:sz w:val="32"/>
    </w:rPr>
  </w:style>
  <w:style w:type="character" w:customStyle="1" w:styleId="166">
    <w:name w:val="未处理的提及1"/>
    <w:basedOn w:val="34"/>
    <w:semiHidden/>
    <w:unhideWhenUsed/>
    <w:qFormat/>
    <w:uiPriority w:val="99"/>
    <w:rPr>
      <w:color w:val="808080"/>
      <w:shd w:val="clear" w:color="auto" w:fill="E6E6E6"/>
    </w:rPr>
  </w:style>
  <w:style w:type="character" w:customStyle="1" w:styleId="167">
    <w:name w:val="font21"/>
    <w:basedOn w:val="34"/>
    <w:qFormat/>
    <w:uiPriority w:val="0"/>
    <w:rPr>
      <w:rFonts w:hint="eastAsia" w:ascii="宋体" w:hAnsi="宋体" w:eastAsia="宋体" w:cs="宋体"/>
      <w:color w:val="000000"/>
      <w:sz w:val="22"/>
      <w:szCs w:val="22"/>
      <w:u w:val="none"/>
    </w:rPr>
  </w:style>
  <w:style w:type="character" w:customStyle="1" w:styleId="168">
    <w:name w:val="font01"/>
    <w:basedOn w:val="34"/>
    <w:qFormat/>
    <w:uiPriority w:val="0"/>
    <w:rPr>
      <w:rFonts w:hint="eastAsia" w:ascii="宋体" w:hAnsi="宋体" w:eastAsia="宋体" w:cs="宋体"/>
      <w:color w:val="000000"/>
      <w:sz w:val="22"/>
      <w:szCs w:val="22"/>
      <w:u w:val="none"/>
    </w:rPr>
  </w:style>
  <w:style w:type="character" w:customStyle="1" w:styleId="169">
    <w:name w:val="列表段落 字符"/>
    <w:link w:val="143"/>
    <w:qFormat/>
    <w:uiPriority w:val="0"/>
    <w:rPr>
      <w:rFonts w:ascii="Calibri" w:hAnsi="Calibri" w:eastAsia="宋体" w:cs="Times New Roman"/>
    </w:rPr>
  </w:style>
  <w:style w:type="paragraph" w:customStyle="1" w:styleId="17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1">
    <w:name w:val="列出段落 字符"/>
    <w:qFormat/>
    <w:uiPriority w:val="0"/>
    <w:rPr>
      <w:rFonts w:ascii="Calibri" w:hAnsi="Calibri"/>
      <w:kern w:val="2"/>
      <w:sz w:val="21"/>
      <w:szCs w:val="22"/>
    </w:rPr>
  </w:style>
  <w:style w:type="paragraph" w:customStyle="1" w:styleId="17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73">
    <w:name w:val="列出段落 Char"/>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C6BD-45D7-4919-B7FF-6EF3A246137D}">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3942</Words>
  <Characters>4428</Characters>
  <Lines>34</Lines>
  <Paragraphs>9</Paragraphs>
  <TotalTime>2</TotalTime>
  <ScaleCrop>false</ScaleCrop>
  <LinksUpToDate>false</LinksUpToDate>
  <CharactersWithSpaces>4474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2023-05-24T02:17:00Z</dcterms:created>
  <dc:creator>TOTO</dc:creator>
  <cp:lastModifiedBy>仲杰</cp:lastModifiedBy>
  <cp:lastPrinted>2022-07-18T08:00:00Z</cp:lastPrinted>
  <dcterms:modified xsi:type="dcterms:W3CDTF">2023-05-31T01:28:27Z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705D7B17E41C43B9974DE649F9927397_13</vt:lpwstr>
  </property>
</Properties>
</file>