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6A561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36"/>
          <w:highlight w:val="none"/>
          <w:lang w:val="en-US" w:eastAsia="zh-CN"/>
        </w:rPr>
      </w:pPr>
    </w:p>
    <w:p w14:paraId="05F143FD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36"/>
          <w:highlight w:val="none"/>
          <w:lang w:val="en-US" w:eastAsia="zh-CN"/>
        </w:rPr>
      </w:pPr>
    </w:p>
    <w:p w14:paraId="7C29A4C3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36"/>
          <w:highlight w:val="none"/>
          <w:lang w:val="en-US" w:eastAsia="zh-CN"/>
        </w:rPr>
      </w:pPr>
    </w:p>
    <w:p w14:paraId="75D3CC17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  <w:t>材料分析用金相显微镜</w:t>
      </w:r>
    </w:p>
    <w:p w14:paraId="3A6F3C59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  <w:t>比选文件</w:t>
      </w:r>
    </w:p>
    <w:p w14:paraId="746E0DD5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  <w:bookmarkStart w:id="4" w:name="_GoBack"/>
      <w:bookmarkEnd w:id="4"/>
    </w:p>
    <w:p w14:paraId="7F5B1C2D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0B84232F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  <w:t>项目编号：</w:t>
      </w:r>
      <w:r>
        <w:rPr>
          <w:rFonts w:hint="eastAsia" w:ascii="方正兰亭黑简体" w:hAnsi="方正兰亭黑简体" w:eastAsia="方正兰亭黑简体" w:cs="方正兰亭黑简体"/>
          <w:color w:val="auto"/>
          <w:sz w:val="28"/>
          <w:szCs w:val="28"/>
          <w:highlight w:val="none"/>
          <w:lang w:val="en-US" w:eastAsia="zh-CN"/>
        </w:rPr>
        <w:t>HFBX2026076</w:t>
      </w:r>
    </w:p>
    <w:p w14:paraId="43E1A511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564BAADD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1CBECD87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77AEA8DD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6AFBFE6C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18A2CE08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69F671C1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0E2559B5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采购人：上海海事大学</w:t>
      </w:r>
    </w:p>
    <w:p w14:paraId="64BB9721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二〇二六年八月</w:t>
      </w:r>
    </w:p>
    <w:p w14:paraId="4258C5C0">
      <w:pP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br w:type="page"/>
      </w:r>
    </w:p>
    <w:p w14:paraId="5637B82A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第一章 比选公告</w:t>
      </w:r>
    </w:p>
    <w:p w14:paraId="54E46ED1">
      <w:pPr>
        <w:ind w:firstLine="440" w:firstLineChars="20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为公开、公正、公平地做好各项货物与服务的采购工作，进一步提高采购过程的透明度，有利于我校选择性价比更高的产品及更优质的服务，欢迎各供应单位本着务实友好的工作态度，积极参与，并做好成本核算，进行一次性报价。我校将本着公开、公正、公平的工作原则，对各供应单位所提供的资料，进行综合评议，择优选购。为确保本次比选采购项目采购工作的顺利开展，请各报价单位按照下述要求提供报价单等相关资料。具体要求及相关注意事项如下：</w:t>
      </w:r>
    </w:p>
    <w:p w14:paraId="5694D68E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一、项目基本情况</w:t>
      </w:r>
    </w:p>
    <w:p w14:paraId="6ED9240D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项目编号：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HFBX2026076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；</w:t>
      </w:r>
    </w:p>
    <w:p w14:paraId="40680CD9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项目名称：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材料分析用金相显微镜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；</w:t>
      </w:r>
    </w:p>
    <w:p w14:paraId="49D3EF92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采购方式：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学校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比选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；</w:t>
      </w:r>
    </w:p>
    <w:p w14:paraId="11D14FFE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预算金额（亦是最高限价）：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人民币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17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万元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；</w:t>
      </w:r>
    </w:p>
    <w:p w14:paraId="192657F0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采购需求：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本项目拟采购一台金相显微镜，用于对材料显微组织、低倍组织和断口组织等进行分析研究和表征。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（具体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要求详见比选文件—第二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章节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采购需求）</w:t>
      </w:r>
    </w:p>
    <w:p w14:paraId="07A4D9AA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交付地址：上海市海港大道1550号。</w:t>
      </w:r>
    </w:p>
    <w:p w14:paraId="1B7A6D3F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交付时间：合同签订后45日内完成产品交付。</w:t>
      </w:r>
    </w:p>
    <w:p w14:paraId="52623BFF">
      <w:pPr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质保时间：提供不少于1年的产品质保服务。</w:t>
      </w:r>
    </w:p>
    <w:p w14:paraId="27BDE804">
      <w:pP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付款方式：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货到验收合格后的一个月内，甲方一次性支付合同全款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。合同内全部款项均以“银行转账”方式予以支付。</w:t>
      </w:r>
    </w:p>
    <w:p w14:paraId="41BEA8D1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二、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报价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人的资格要求</w:t>
      </w:r>
    </w:p>
    <w:p w14:paraId="022E8766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1、符合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《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中华人民共和国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政府采购法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》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第二十二条之供应商资格规定。</w:t>
      </w:r>
    </w:p>
    <w:p w14:paraId="6441606B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2、供应商未被列入“信用中国”网站（www.creditchina.gov.cn）失信执行人名单、重大税收违法案件当事人名单和中国政府采购网（www.ccgp.gov.cn）政府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采购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严重违法失信行为记录名单的供应商。</w:t>
      </w:r>
    </w:p>
    <w:p w14:paraId="3A3BF07A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3、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经营范围及拟投标货物（服务）符合本次比选要求，具有与本次投标货物（服务）相应的经营、代理（经销）资质，能全程参与并完成本项目，且具有较强的服务能力，以及畅通的问题响应机制和渠道等；</w:t>
      </w:r>
    </w:p>
    <w:p w14:paraId="3710B34B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三、报名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要求</w:t>
      </w:r>
    </w:p>
    <w:p w14:paraId="04917284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报名邮箱、时间：不单独组织报名，意向单位可在截止日期前递交响应文件。</w:t>
      </w:r>
    </w:p>
    <w:p w14:paraId="24CD6CDE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四、获取采购文件</w:t>
      </w:r>
    </w:p>
    <w:p w14:paraId="5050A625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获取方式：公告页面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下方自行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下载</w:t>
      </w:r>
    </w:p>
    <w:p w14:paraId="4D745344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bookmarkStart w:id="0" w:name="_Toc28359005"/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五、现场踏勘</w:t>
      </w:r>
      <w:bookmarkEnd w:id="0"/>
    </w:p>
    <w:p w14:paraId="2C262256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不组织。</w:t>
      </w:r>
    </w:p>
    <w:p w14:paraId="213C8131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六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、响应文件提交</w:t>
      </w:r>
    </w:p>
    <w:p w14:paraId="231DF229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</w:pPr>
      <w:bookmarkStart w:id="1" w:name="_Toc35393795"/>
      <w:bookmarkEnd w:id="1"/>
      <w:bookmarkStart w:id="2" w:name="_Toc35393626"/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截止</w:t>
      </w:r>
      <w:bookmarkEnd w:id="2"/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时间：202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6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年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9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月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4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日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（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周五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）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上午11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时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00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分</w:t>
      </w:r>
    </w:p>
    <w:p w14:paraId="52EA2719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提交方式：发送盖章扫描版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PDF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到指定邮箱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，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邮件名称：项目编号+公司名称</w:t>
      </w:r>
    </w:p>
    <w:p w14:paraId="45738F2D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邮箱地址：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u w:val="none"/>
        </w:rPr>
        <w:t>quotation@shmtu.edu.cn</w:t>
      </w:r>
    </w:p>
    <w:p w14:paraId="7C16205B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七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、其他补充事宜</w:t>
      </w:r>
    </w:p>
    <w:p w14:paraId="3C9CF2D2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1.中标结果将通过发布比选公告的媒介进行公示，公示期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为1个工作日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，公示期内如对中标结果有异议可向校方提出书面质疑。</w:t>
      </w:r>
      <w:bookmarkStart w:id="3" w:name="_Toc35393627"/>
    </w:p>
    <w:p w14:paraId="17FB2B9E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2.</w:t>
      </w:r>
      <w:bookmarkEnd w:id="3"/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凡对本次采购提出询问，请按以下方式联系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：</w:t>
      </w:r>
    </w:p>
    <w:p w14:paraId="53930B0F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商务信息：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仲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老师021-3828470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7、13764131075</w:t>
      </w:r>
    </w:p>
    <w:p w14:paraId="1CEF1F38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技术信息：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郭老师021-38284810、18817771283</w:t>
      </w:r>
    </w:p>
    <w:p w14:paraId="52A47FAD">
      <w:pP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br w:type="page"/>
      </w:r>
    </w:p>
    <w:p w14:paraId="4B9C0EF3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第二章 采购需求</w:t>
      </w:r>
    </w:p>
    <w:p w14:paraId="2B6E113B">
      <w:pPr>
        <w:spacing w:line="360" w:lineRule="auto"/>
        <w:rPr>
          <w:rFonts w:hint="default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  <w:t>一、项目概况</w:t>
      </w:r>
    </w:p>
    <w:tbl>
      <w:tblPr>
        <w:tblStyle w:val="14"/>
        <w:tblW w:w="4994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2148"/>
        <w:gridCol w:w="1320"/>
        <w:gridCol w:w="1161"/>
        <w:gridCol w:w="733"/>
        <w:gridCol w:w="3916"/>
      </w:tblGrid>
      <w:tr w14:paraId="3F880A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38" w:type="pct"/>
            <w:vAlign w:val="center"/>
          </w:tcPr>
          <w:p w14:paraId="7D900C02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079" w:type="pct"/>
            <w:vAlign w:val="center"/>
          </w:tcPr>
          <w:p w14:paraId="3E4654E1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663" w:type="pct"/>
            <w:vAlign w:val="center"/>
          </w:tcPr>
          <w:p w14:paraId="4B165F61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进口/国产</w:t>
            </w:r>
          </w:p>
        </w:tc>
        <w:tc>
          <w:tcPr>
            <w:tcW w:w="583" w:type="pct"/>
            <w:vAlign w:val="center"/>
          </w:tcPr>
          <w:p w14:paraId="18C0592B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单位</w:t>
            </w:r>
          </w:p>
        </w:tc>
        <w:tc>
          <w:tcPr>
            <w:tcW w:w="368" w:type="pct"/>
            <w:vAlign w:val="center"/>
          </w:tcPr>
          <w:p w14:paraId="14DCCB81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数量</w:t>
            </w:r>
          </w:p>
        </w:tc>
        <w:tc>
          <w:tcPr>
            <w:tcW w:w="1967" w:type="pct"/>
            <w:vAlign w:val="center"/>
          </w:tcPr>
          <w:p w14:paraId="5375C4DA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主要规格</w:t>
            </w:r>
          </w:p>
        </w:tc>
      </w:tr>
      <w:tr w14:paraId="49DAE2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38" w:type="pct"/>
            <w:vAlign w:val="center"/>
          </w:tcPr>
          <w:p w14:paraId="7DEF8C0B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079" w:type="pct"/>
            <w:vAlign w:val="center"/>
          </w:tcPr>
          <w:p w14:paraId="27DFD86A">
            <w:pPr>
              <w:spacing w:line="360" w:lineRule="auto"/>
              <w:jc w:val="center"/>
              <w:rPr>
                <w:rFonts w:hint="eastAsia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材料分析用金相显微镜</w:t>
            </w:r>
          </w:p>
        </w:tc>
        <w:tc>
          <w:tcPr>
            <w:tcW w:w="663" w:type="pct"/>
            <w:vAlign w:val="center"/>
          </w:tcPr>
          <w:p w14:paraId="0ECC29C6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583" w:type="pct"/>
            <w:vAlign w:val="center"/>
          </w:tcPr>
          <w:p w14:paraId="5A208F7B">
            <w:pPr>
              <w:spacing w:line="360" w:lineRule="auto"/>
              <w:jc w:val="center"/>
              <w:rPr>
                <w:rFonts w:hint="eastAsia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368" w:type="pct"/>
            <w:vAlign w:val="center"/>
          </w:tcPr>
          <w:p w14:paraId="59847C04">
            <w:pPr>
              <w:spacing w:line="360" w:lineRule="auto"/>
              <w:jc w:val="center"/>
              <w:rPr>
                <w:rFonts w:hint="eastAsia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67" w:type="pct"/>
            <w:vAlign w:val="center"/>
          </w:tcPr>
          <w:p w14:paraId="653ED931">
            <w:pPr>
              <w:spacing w:line="360" w:lineRule="auto"/>
              <w:jc w:val="left"/>
              <w:rPr>
                <w:rFonts w:hint="eastAsia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透反射显微镜</w:t>
            </w:r>
          </w:p>
          <w:p w14:paraId="4642674F">
            <w:pPr>
              <w:spacing w:line="360" w:lineRule="auto"/>
              <w:jc w:val="left"/>
              <w:rPr>
                <w:rFonts w:hint="eastAsia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2</w:t>
            </w:r>
            <w:r>
              <w:rPr>
                <w:rFonts w:hint="eastAsia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物镜转盘：5孔位编码型物镜转盘。4孔位编码型功能转盘</w:t>
            </w:r>
          </w:p>
          <w:p w14:paraId="2E91292B">
            <w:pPr>
              <w:spacing w:line="360" w:lineRule="auto"/>
              <w:jc w:val="left"/>
              <w:rPr>
                <w:rFonts w:hint="eastAsia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</w:t>
            </w:r>
            <w:r>
              <w:rPr>
                <w:rFonts w:hint="eastAsia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调焦旋钮支持三段式调焦</w:t>
            </w:r>
          </w:p>
          <w:p w14:paraId="7A8148F6">
            <w:pPr>
              <w:spacing w:line="360" w:lineRule="auto"/>
              <w:jc w:val="left"/>
              <w:rPr>
                <w:rFonts w:hint="eastAsia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4</w:t>
            </w:r>
            <w:r>
              <w:rPr>
                <w:rFonts w:hint="eastAsia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5x10x20x50x100x明暗场物镜</w:t>
            </w:r>
          </w:p>
          <w:p w14:paraId="44E1416A">
            <w:pPr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5</w:t>
            </w:r>
            <w:r>
              <w:rPr>
                <w:rFonts w:hint="eastAsia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同品牌1200万像素成像系统（含测量图像拼接，景深拓展功能）</w:t>
            </w:r>
          </w:p>
        </w:tc>
      </w:tr>
    </w:tbl>
    <w:p w14:paraId="6FF11E11">
      <w:pPr>
        <w:widowControl/>
        <w:shd w:val="clear" w:color="auto" w:fill="FFFFFF"/>
        <w:spacing w:line="360" w:lineRule="auto"/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kern w:val="0"/>
          <w:sz w:val="22"/>
          <w:szCs w:val="22"/>
          <w:highlight w:val="none"/>
          <w:lang w:val="en-US" w:eastAsia="zh-CN"/>
        </w:rPr>
      </w:pPr>
    </w:p>
    <w:p w14:paraId="7DE6D34A">
      <w:pPr>
        <w:spacing w:line="360" w:lineRule="auto"/>
        <w:rPr>
          <w:rFonts w:hint="default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  <w:t>二、技术要求</w:t>
      </w:r>
    </w:p>
    <w:p w14:paraId="47D79F3C">
      <w:pPr>
        <w:spacing w:line="360" w:lineRule="auto"/>
        <w:ind w:firstLine="440" w:firstLineChars="200"/>
        <w:rPr>
          <w:rFonts w:hint="default" w:ascii="Times New Roman" w:hAnsi="Times New Roman" w:eastAsia="方正兰亭黑简体" w:cs="Times New Roman"/>
          <w:color w:val="auto"/>
          <w:sz w:val="22"/>
          <w:szCs w:val="22"/>
          <w:highlight w:val="none"/>
        </w:rPr>
      </w:pPr>
      <w:r>
        <w:rPr>
          <w:rFonts w:hint="eastAsia" w:ascii="Times New Roman" w:hAnsi="Times New Roman" w:eastAsia="方正兰亭黑简体" w:cs="Times New Roman"/>
          <w:color w:val="auto"/>
          <w:sz w:val="22"/>
          <w:szCs w:val="22"/>
          <w:highlight w:val="none"/>
        </w:rPr>
        <w:t>能实现 明场 暗场 透射 偏光观察并实时显示结合软件测量分析</w:t>
      </w:r>
    </w:p>
    <w:tbl>
      <w:tblPr>
        <w:tblStyle w:val="14"/>
        <w:tblW w:w="4998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1668"/>
        <w:gridCol w:w="5874"/>
        <w:gridCol w:w="1454"/>
      </w:tblGrid>
      <w:tr w14:paraId="1314EB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83" w:type="pct"/>
            <w:vAlign w:val="center"/>
          </w:tcPr>
          <w:p w14:paraId="526FD412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b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837" w:type="pct"/>
            <w:vAlign w:val="center"/>
          </w:tcPr>
          <w:p w14:paraId="7D0831EB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b/>
                <w:color w:val="auto"/>
                <w:sz w:val="21"/>
                <w:szCs w:val="21"/>
                <w:highlight w:val="none"/>
              </w:rPr>
              <w:t>指标名称</w:t>
            </w:r>
          </w:p>
        </w:tc>
        <w:tc>
          <w:tcPr>
            <w:tcW w:w="2948" w:type="pct"/>
            <w:vAlign w:val="center"/>
          </w:tcPr>
          <w:p w14:paraId="0C605F97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b/>
                <w:color w:val="auto"/>
                <w:sz w:val="21"/>
                <w:szCs w:val="21"/>
                <w:highlight w:val="none"/>
              </w:rPr>
              <w:t>指标要求</w:t>
            </w:r>
          </w:p>
        </w:tc>
        <w:tc>
          <w:tcPr>
            <w:tcW w:w="730" w:type="pct"/>
            <w:vAlign w:val="center"/>
          </w:tcPr>
          <w:p w14:paraId="4C05515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b/>
                <w:color w:val="auto"/>
                <w:sz w:val="21"/>
                <w:szCs w:val="21"/>
                <w:highlight w:val="none"/>
              </w:rPr>
              <w:t>是否需要</w:t>
            </w:r>
          </w:p>
          <w:p w14:paraId="0B11E6BB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b/>
                <w:color w:val="auto"/>
                <w:sz w:val="21"/>
                <w:szCs w:val="21"/>
                <w:highlight w:val="none"/>
              </w:rPr>
              <w:t>证明材料</w:t>
            </w:r>
          </w:p>
        </w:tc>
      </w:tr>
      <w:tr w14:paraId="12D195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83" w:type="pct"/>
            <w:vAlign w:val="center"/>
          </w:tcPr>
          <w:p w14:paraId="22295F17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837" w:type="pct"/>
            <w:vAlign w:val="center"/>
          </w:tcPr>
          <w:p w14:paraId="31CB73ED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显微镜主机</w:t>
            </w:r>
          </w:p>
        </w:tc>
        <w:tc>
          <w:tcPr>
            <w:tcW w:w="2948" w:type="pct"/>
            <w:vAlign w:val="center"/>
          </w:tcPr>
          <w:p w14:paraId="57EC56CC">
            <w:pPr>
              <w:widowControl/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透反射显微镜主机：支持反射-明场、反射-暗场，预留透射光路后期可升级，主机具备透射和反射光电动按钮；</w:t>
            </w:r>
          </w:p>
        </w:tc>
        <w:tc>
          <w:tcPr>
            <w:tcW w:w="730" w:type="pct"/>
            <w:vAlign w:val="center"/>
          </w:tcPr>
          <w:p w14:paraId="2D05E101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需要</w:t>
            </w:r>
          </w:p>
        </w:tc>
      </w:tr>
      <w:tr w14:paraId="11BBC1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83" w:type="pct"/>
            <w:vAlign w:val="center"/>
          </w:tcPr>
          <w:p w14:paraId="24996235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837" w:type="pct"/>
            <w:vAlign w:val="center"/>
          </w:tcPr>
          <w:p w14:paraId="0378F8EA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光学系统</w:t>
            </w:r>
          </w:p>
        </w:tc>
        <w:tc>
          <w:tcPr>
            <w:tcW w:w="2948" w:type="pct"/>
            <w:vAlign w:val="center"/>
          </w:tcPr>
          <w:p w14:paraId="204E3711">
            <w:pPr>
              <w:widowControl/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  <w:t>模块化设计研究级正置式材料显微镜,第三代无限远光学设计及色差校正光学系统，整体设计符合人机工程学原理；</w:t>
            </w:r>
          </w:p>
        </w:tc>
        <w:tc>
          <w:tcPr>
            <w:tcW w:w="730" w:type="pct"/>
            <w:vAlign w:val="center"/>
          </w:tcPr>
          <w:p w14:paraId="0067E4EE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1043C7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83" w:type="pct"/>
            <w:vAlign w:val="center"/>
          </w:tcPr>
          <w:p w14:paraId="7302EA25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837" w:type="pct"/>
            <w:vAlign w:val="center"/>
          </w:tcPr>
          <w:p w14:paraId="053743DF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显微镜机身</w:t>
            </w:r>
          </w:p>
        </w:tc>
        <w:tc>
          <w:tcPr>
            <w:tcW w:w="2948" w:type="pct"/>
            <w:vAlign w:val="center"/>
          </w:tcPr>
          <w:p w14:paraId="09006586">
            <w:pPr>
              <w:widowControl/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  <w:t>机身底部具备一键拍照按键，支持快速采集图像</w:t>
            </w:r>
          </w:p>
        </w:tc>
        <w:tc>
          <w:tcPr>
            <w:tcW w:w="730" w:type="pct"/>
            <w:vAlign w:val="center"/>
          </w:tcPr>
          <w:p w14:paraId="72E4528A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  <w:t>需要</w:t>
            </w:r>
          </w:p>
        </w:tc>
      </w:tr>
      <w:tr w14:paraId="3464DD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83" w:type="pct"/>
            <w:vAlign w:val="center"/>
          </w:tcPr>
          <w:p w14:paraId="76E2ACC3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837" w:type="pct"/>
            <w:vAlign w:val="center"/>
          </w:tcPr>
          <w:p w14:paraId="710AA4B5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显微镜头部</w:t>
            </w:r>
          </w:p>
        </w:tc>
        <w:tc>
          <w:tcPr>
            <w:tcW w:w="2948" w:type="pct"/>
            <w:vAlign w:val="center"/>
          </w:tcPr>
          <w:p w14:paraId="6127854A">
            <w:pPr>
              <w:widowControl/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  <w:t>人机工学三目镜筒，</w:t>
            </w: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  <w:shd w:val="clear" w:color="auto" w:fill="FFFFFF"/>
              </w:rPr>
              <w:t>30°观察角度，瞳距可调55-75mm，50%/50%分光比例</w:t>
            </w:r>
          </w:p>
        </w:tc>
        <w:tc>
          <w:tcPr>
            <w:tcW w:w="730" w:type="pct"/>
            <w:vAlign w:val="center"/>
          </w:tcPr>
          <w:p w14:paraId="44315A60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6B9631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83" w:type="pct"/>
            <w:vAlign w:val="center"/>
          </w:tcPr>
          <w:p w14:paraId="19E7E449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837" w:type="pct"/>
            <w:vAlign w:val="center"/>
          </w:tcPr>
          <w:p w14:paraId="702D8541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  <w:t>物镜转盘：</w:t>
            </w:r>
          </w:p>
        </w:tc>
        <w:tc>
          <w:tcPr>
            <w:tcW w:w="2948" w:type="pct"/>
            <w:vAlign w:val="center"/>
          </w:tcPr>
          <w:p w14:paraId="0C44C262">
            <w:pPr>
              <w:widowControl/>
              <w:spacing w:line="360" w:lineRule="auto"/>
              <w:ind w:firstLine="105" w:firstLineChars="50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  <w:t>5孔位编码型物镜转盘</w:t>
            </w: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，软件可自动识别当前物镜倍率，加载对应比例尺；</w:t>
            </w:r>
          </w:p>
          <w:p w14:paraId="2DC09482">
            <w:pPr>
              <w:widowControl/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30" w:type="pct"/>
            <w:vAlign w:val="center"/>
          </w:tcPr>
          <w:p w14:paraId="2FC31F58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  <w:t>需要</w:t>
            </w:r>
          </w:p>
        </w:tc>
      </w:tr>
      <w:tr w14:paraId="112938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83" w:type="pct"/>
            <w:vAlign w:val="center"/>
          </w:tcPr>
          <w:p w14:paraId="46C24F84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6</w:t>
            </w:r>
          </w:p>
        </w:tc>
        <w:tc>
          <w:tcPr>
            <w:tcW w:w="837" w:type="pct"/>
            <w:vAlign w:val="center"/>
          </w:tcPr>
          <w:p w14:paraId="27714535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  <w:t>反射光功能转盘</w:t>
            </w:r>
          </w:p>
        </w:tc>
        <w:tc>
          <w:tcPr>
            <w:tcW w:w="2948" w:type="pct"/>
            <w:vAlign w:val="center"/>
          </w:tcPr>
          <w:p w14:paraId="1AA8F601">
            <w:pPr>
              <w:widowControl/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  <w:t>4孔位编码型功能转盘，支持同时安装四种反射光滤块，明暗场模块切换后软件自动识别</w:t>
            </w:r>
          </w:p>
        </w:tc>
        <w:tc>
          <w:tcPr>
            <w:tcW w:w="730" w:type="pct"/>
            <w:vAlign w:val="center"/>
          </w:tcPr>
          <w:p w14:paraId="5EF2516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  <w:t>需要</w:t>
            </w:r>
          </w:p>
        </w:tc>
      </w:tr>
      <w:tr w14:paraId="6176E4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83" w:type="pct"/>
            <w:vAlign w:val="center"/>
          </w:tcPr>
          <w:p w14:paraId="2B010BC9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7</w:t>
            </w:r>
          </w:p>
        </w:tc>
        <w:tc>
          <w:tcPr>
            <w:tcW w:w="837" w:type="pct"/>
            <w:vAlign w:val="center"/>
          </w:tcPr>
          <w:p w14:paraId="622DF529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目镜</w:t>
            </w:r>
          </w:p>
        </w:tc>
        <w:tc>
          <w:tcPr>
            <w:tcW w:w="2948" w:type="pct"/>
            <w:vAlign w:val="center"/>
          </w:tcPr>
          <w:p w14:paraId="1326B08C">
            <w:pPr>
              <w:widowControl/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  <w:t>10倍22毫米标准视野，专用目镜，带眼罩，可调屈光度</w:t>
            </w:r>
          </w:p>
        </w:tc>
        <w:tc>
          <w:tcPr>
            <w:tcW w:w="730" w:type="pct"/>
            <w:vAlign w:val="center"/>
          </w:tcPr>
          <w:p w14:paraId="4E4FAB99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1C6ACC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83" w:type="pct"/>
            <w:vAlign w:val="center"/>
          </w:tcPr>
          <w:p w14:paraId="1826E296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8</w:t>
            </w:r>
          </w:p>
        </w:tc>
        <w:tc>
          <w:tcPr>
            <w:tcW w:w="837" w:type="pct"/>
            <w:vAlign w:val="center"/>
          </w:tcPr>
          <w:p w14:paraId="26CF459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显微镜光源</w:t>
            </w:r>
          </w:p>
        </w:tc>
        <w:tc>
          <w:tcPr>
            <w:tcW w:w="2948" w:type="pct"/>
            <w:vAlign w:val="center"/>
          </w:tcPr>
          <w:p w14:paraId="17F0EA18">
            <w:pPr>
              <w:widowControl/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  <w:t>LED白光照明光源，工作寿命不小于75000小时，具备光强记忆功能，切换不同物镜后自动调整光照强度</w:t>
            </w:r>
          </w:p>
        </w:tc>
        <w:tc>
          <w:tcPr>
            <w:tcW w:w="730" w:type="pct"/>
            <w:vAlign w:val="center"/>
          </w:tcPr>
          <w:p w14:paraId="10515D09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12DDDC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83" w:type="pct"/>
            <w:vAlign w:val="center"/>
          </w:tcPr>
          <w:p w14:paraId="70DCC447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9</w:t>
            </w:r>
          </w:p>
        </w:tc>
        <w:tc>
          <w:tcPr>
            <w:tcW w:w="837" w:type="pct"/>
            <w:vAlign w:val="center"/>
          </w:tcPr>
          <w:p w14:paraId="6062DDFD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显微镜</w:t>
            </w:r>
            <w:r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  <w:t>载物台</w:t>
            </w:r>
          </w:p>
        </w:tc>
        <w:tc>
          <w:tcPr>
            <w:tcW w:w="2948" w:type="pct"/>
            <w:vAlign w:val="center"/>
          </w:tcPr>
          <w:p w14:paraId="152C5E37">
            <w:pPr>
              <w:widowControl/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  <w:t>载物台具有防下滑的自动锁定的齿轮装置,物台高度限位可调整，支持76*50mm移动行程，配备样品夹具；</w:t>
            </w:r>
          </w:p>
        </w:tc>
        <w:tc>
          <w:tcPr>
            <w:tcW w:w="730" w:type="pct"/>
            <w:vAlign w:val="center"/>
          </w:tcPr>
          <w:p w14:paraId="622725B1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6FA690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83" w:type="pct"/>
            <w:vAlign w:val="center"/>
          </w:tcPr>
          <w:p w14:paraId="20D707AA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10</w:t>
            </w:r>
          </w:p>
        </w:tc>
        <w:tc>
          <w:tcPr>
            <w:tcW w:w="837" w:type="pct"/>
            <w:vAlign w:val="center"/>
          </w:tcPr>
          <w:p w14:paraId="708DF08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  <w:t>调焦机构</w:t>
            </w:r>
          </w:p>
        </w:tc>
        <w:tc>
          <w:tcPr>
            <w:tcW w:w="2948" w:type="pct"/>
            <w:vAlign w:val="center"/>
          </w:tcPr>
          <w:p w14:paraId="7F7D02A3">
            <w:pPr>
              <w:widowControl/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  <w:t>调焦旋钮的扭力可调，支持三段式调焦（1um精细微调/4μm微调/粗调）</w:t>
            </w:r>
          </w:p>
        </w:tc>
        <w:tc>
          <w:tcPr>
            <w:tcW w:w="730" w:type="pct"/>
            <w:vAlign w:val="center"/>
          </w:tcPr>
          <w:p w14:paraId="5A393FD5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  <w:t>需要</w:t>
            </w:r>
          </w:p>
        </w:tc>
      </w:tr>
      <w:tr w14:paraId="53F99D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83" w:type="pct"/>
            <w:vAlign w:val="center"/>
          </w:tcPr>
          <w:p w14:paraId="7B779BA3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11</w:t>
            </w:r>
          </w:p>
        </w:tc>
        <w:tc>
          <w:tcPr>
            <w:tcW w:w="837" w:type="pct"/>
            <w:vAlign w:val="center"/>
          </w:tcPr>
          <w:p w14:paraId="6EEACA7A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物镜</w:t>
            </w:r>
          </w:p>
        </w:tc>
        <w:tc>
          <w:tcPr>
            <w:tcW w:w="2948" w:type="pct"/>
            <w:vAlign w:val="center"/>
          </w:tcPr>
          <w:p w14:paraId="7F08EE42">
            <w:pPr>
              <w:spacing w:line="360" w:lineRule="auto"/>
              <w:ind w:firstLine="210" w:firstLineChars="100"/>
              <w:jc w:val="left"/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  <w:t>5X明暗场多功能物镜，带EPI反差增强型标识，NA≥0.12，</w:t>
            </w:r>
          </w:p>
          <w:p w14:paraId="006C0104">
            <w:pPr>
              <w:spacing w:line="360" w:lineRule="auto"/>
              <w:ind w:firstLine="210" w:firstLineChars="100"/>
              <w:jc w:val="left"/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  <w:t>10X明暗场多功能物镜，带EPI反差增强型标识，NA≥0.25，</w:t>
            </w:r>
          </w:p>
          <w:p w14:paraId="28617021">
            <w:pPr>
              <w:spacing w:line="360" w:lineRule="auto"/>
              <w:ind w:firstLine="210" w:firstLineChars="100"/>
              <w:jc w:val="left"/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  <w:t>20X反差增强型明暗场多功能物镜，带EPI反差增强型标识，NA≥0.40</w:t>
            </w:r>
          </w:p>
          <w:p w14:paraId="3D176BF1">
            <w:pPr>
              <w:spacing w:line="360" w:lineRule="auto"/>
              <w:ind w:firstLine="210" w:firstLineChars="100"/>
              <w:jc w:val="left"/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  <w:t>50X反差增强型明暗场多功能物镜，带EPI反差增强型标识，NA≥0.75</w:t>
            </w:r>
          </w:p>
          <w:p w14:paraId="4694E11B">
            <w:pPr>
              <w:spacing w:line="360" w:lineRule="auto"/>
              <w:ind w:firstLine="210" w:firstLineChars="100"/>
              <w:jc w:val="left"/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  <w:t>100X反差增强型明暗场多功能物镜，带EPI反差增强型标识，NA≥0.85</w:t>
            </w:r>
          </w:p>
          <w:p w14:paraId="0822C065">
            <w:pPr>
              <w:widowControl/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30" w:type="pct"/>
            <w:vAlign w:val="center"/>
          </w:tcPr>
          <w:p w14:paraId="3E07395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45B2DA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83" w:type="pct"/>
            <w:vAlign w:val="center"/>
          </w:tcPr>
          <w:p w14:paraId="36D4218D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12</w:t>
            </w:r>
          </w:p>
        </w:tc>
        <w:tc>
          <w:tcPr>
            <w:tcW w:w="837" w:type="pct"/>
            <w:vAlign w:val="center"/>
          </w:tcPr>
          <w:p w14:paraId="0035CA43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成像系统</w:t>
            </w:r>
          </w:p>
        </w:tc>
        <w:tc>
          <w:tcPr>
            <w:tcW w:w="2948" w:type="pct"/>
            <w:vAlign w:val="center"/>
          </w:tcPr>
          <w:p w14:paraId="4C4B4616">
            <w:pPr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显微镜同品牌原厂图像采集相机：</w:t>
            </w:r>
          </w:p>
          <w:p w14:paraId="566018B7">
            <w:pPr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物理像素≥1200万物理像素支持4k模式，摄像头具备USB，网口，HDMI</w:t>
            </w:r>
          </w:p>
        </w:tc>
        <w:tc>
          <w:tcPr>
            <w:tcW w:w="730" w:type="pct"/>
            <w:vAlign w:val="center"/>
          </w:tcPr>
          <w:p w14:paraId="78064CFD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  <w:t>需要</w:t>
            </w:r>
          </w:p>
        </w:tc>
      </w:tr>
      <w:tr w14:paraId="57CB04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83" w:type="pct"/>
            <w:vAlign w:val="center"/>
          </w:tcPr>
          <w:p w14:paraId="21C0706C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13</w:t>
            </w:r>
          </w:p>
        </w:tc>
        <w:tc>
          <w:tcPr>
            <w:tcW w:w="837" w:type="pct"/>
            <w:vAlign w:val="center"/>
          </w:tcPr>
          <w:p w14:paraId="216C5331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分析软件</w:t>
            </w:r>
          </w:p>
        </w:tc>
        <w:tc>
          <w:tcPr>
            <w:tcW w:w="2948" w:type="pct"/>
            <w:vAlign w:val="center"/>
          </w:tcPr>
          <w:p w14:paraId="692D95E1">
            <w:pPr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配备显微镜同品牌原厂显微镜分析软件，配有独立加密狗，软件功能包含：</w:t>
            </w:r>
          </w:p>
          <w:p w14:paraId="570EA50E">
            <w:pPr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支持实时活图预览、图像采集功能；</w:t>
            </w:r>
          </w:p>
          <w:p w14:paraId="67DEFC6D">
            <w:pPr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支持实时调用本地硬盘或局域网内的图像文件，设置图像存储路径；</w:t>
            </w:r>
          </w:p>
          <w:p w14:paraId="7086C27A">
            <w:pPr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支持相机白平衡、RGB、曝光等参数调节；</w:t>
            </w:r>
          </w:p>
          <w:p w14:paraId="7CDFBD33">
            <w:pPr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支持根据物镜切换自动加载对应比例尺；</w:t>
            </w:r>
          </w:p>
          <w:p w14:paraId="5EF21BFE">
            <w:pPr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支持2D测量功能，测量参数包括长度，距离，面积，周长，半径和角度等；</w:t>
            </w:r>
          </w:p>
          <w:p w14:paraId="3E93D7EC">
            <w:pPr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支持图像拼接功能；</w:t>
            </w:r>
          </w:p>
          <w:p w14:paraId="48CF59B1">
            <w:pPr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支持景深拓展功能；</w:t>
            </w:r>
          </w:p>
          <w:p w14:paraId="01F91E49">
            <w:pPr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支持层厚量测功能；</w:t>
            </w:r>
          </w:p>
        </w:tc>
        <w:tc>
          <w:tcPr>
            <w:tcW w:w="730" w:type="pct"/>
            <w:vAlign w:val="center"/>
          </w:tcPr>
          <w:p w14:paraId="45A3809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6F9C49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83" w:type="pct"/>
            <w:vAlign w:val="center"/>
          </w:tcPr>
          <w:p w14:paraId="6A36C0A8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14</w:t>
            </w:r>
          </w:p>
        </w:tc>
        <w:tc>
          <w:tcPr>
            <w:tcW w:w="837" w:type="pct"/>
            <w:vAlign w:val="center"/>
          </w:tcPr>
          <w:p w14:paraId="483454B1">
            <w:pPr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偏光组件</w:t>
            </w:r>
          </w:p>
        </w:tc>
        <w:tc>
          <w:tcPr>
            <w:tcW w:w="2948" w:type="pct"/>
            <w:vAlign w:val="center"/>
          </w:tcPr>
          <w:p w14:paraId="4DA9B7AB">
            <w:pPr>
              <w:spacing w:line="360" w:lineRule="auto"/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启偏器，180°可旋转检偏器</w:t>
            </w:r>
          </w:p>
        </w:tc>
        <w:tc>
          <w:tcPr>
            <w:tcW w:w="730" w:type="pct"/>
            <w:vAlign w:val="center"/>
          </w:tcPr>
          <w:p w14:paraId="3B304A4D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34E97200">
      <w:pPr>
        <w:widowControl/>
        <w:shd w:val="clear" w:color="auto" w:fill="FFFFFF"/>
        <w:spacing w:line="360" w:lineRule="auto"/>
        <w:jc w:val="left"/>
        <w:rPr>
          <w:rFonts w:hint="eastAsia" w:ascii="方正兰亭黑简体" w:hAnsi="方正兰亭黑简体" w:eastAsia="方正兰亭黑简体" w:cs="方正兰亭黑简体"/>
          <w:color w:val="auto"/>
          <w:kern w:val="0"/>
          <w:sz w:val="22"/>
          <w:szCs w:val="2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kern w:val="0"/>
          <w:sz w:val="22"/>
          <w:szCs w:val="22"/>
          <w:highlight w:val="none"/>
          <w:lang w:val="en-US" w:eastAsia="zh-CN"/>
        </w:rPr>
        <w:t>三</w:t>
      </w:r>
      <w:r>
        <w:rPr>
          <w:rFonts w:hint="default" w:ascii="方正兰亭黑简体" w:hAnsi="方正兰亭黑简体" w:eastAsia="方正兰亭黑简体" w:cs="方正兰亭黑简体"/>
          <w:b/>
          <w:bCs/>
          <w:color w:val="auto"/>
          <w:kern w:val="0"/>
          <w:sz w:val="22"/>
          <w:szCs w:val="22"/>
          <w:highlight w:val="none"/>
          <w:lang w:val="en-US" w:eastAsia="zh-CN"/>
        </w:rPr>
        <w:t>、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kern w:val="0"/>
          <w:sz w:val="22"/>
          <w:szCs w:val="22"/>
          <w:highlight w:val="none"/>
          <w:lang w:val="en-US" w:eastAsia="zh-CN"/>
        </w:rPr>
        <w:t>其他要求</w:t>
      </w:r>
    </w:p>
    <w:p w14:paraId="11A3F1E2">
      <w:pPr>
        <w:spacing w:line="360" w:lineRule="auto"/>
        <w:ind w:left="0" w:leftChars="0" w:firstLine="0" w:firstLineChars="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1.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  <w:t>由供货方提供合适的包装及运输方式。</w:t>
      </w:r>
    </w:p>
    <w:p w14:paraId="27935752">
      <w:pPr>
        <w:spacing w:line="360" w:lineRule="auto"/>
        <w:ind w:left="0" w:leftChars="0" w:firstLine="0" w:firstLineChars="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2.履约验收：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  <w:t>安装调试结束后7个工作日内验收，验收人员包括发展规划与质量管理处、项目经费负责人、设备使用人，验收方式采取实际操作验收，验收内容主要针对核心关键参数进行验收。</w:t>
      </w:r>
    </w:p>
    <w:p w14:paraId="403C348F">
      <w:pPr>
        <w:spacing w:line="360" w:lineRule="auto"/>
        <w:ind w:left="0" w:leftChars="0" w:firstLine="0" w:firstLineChars="0"/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3.售后服务：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  <w:t>所有硬件1年免费保修、所有软件1年免费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维护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  <w:t>升级、电话报修后24小时上门服务、48小时内排除故障。所有硬件过免费保修期后按原价维修（按投标货物价格数量表所列价格，更换零部件的按合同签订时的零部件价格）、所有软件过免费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维护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  <w:t>升级期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后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  <w:t>按按原价的进行维修升级，响应速度同保修期响应速度。</w:t>
      </w:r>
    </w:p>
    <w:p w14:paraId="104324FB">
      <w:pP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br w:type="page"/>
      </w:r>
    </w:p>
    <w:p w14:paraId="6F08D747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第三章 评审办法</w:t>
      </w:r>
    </w:p>
    <w:p w14:paraId="69EFEE19">
      <w:pPr>
        <w:ind w:firstLine="440" w:firstLineChars="20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综合本项目的特点，根据相关法律法规的规定，本着保护竞争，维护采购工作公开、公平、公正原则，特制定本评审办法，作为选定本次采购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中标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人的依据。</w:t>
      </w:r>
    </w:p>
    <w:p w14:paraId="117C4525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1、成立比选评审小组</w:t>
      </w:r>
    </w:p>
    <w:p w14:paraId="49C58FDA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采购人将根据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货物与服务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的特点，依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规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组建比选小组，比选小组由3人或以上的单数组成。</w:t>
      </w:r>
    </w:p>
    <w:p w14:paraId="123C9161">
      <w:pPr>
        <w:numPr>
          <w:ilvl w:val="0"/>
          <w:numId w:val="0"/>
        </w:num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2、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具体评分细则如下：</w:t>
      </w:r>
    </w:p>
    <w:tbl>
      <w:tblPr>
        <w:tblStyle w:val="14"/>
        <w:tblW w:w="498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734"/>
        <w:gridCol w:w="713"/>
        <w:gridCol w:w="6830"/>
      </w:tblGrid>
      <w:tr w14:paraId="64002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742FB554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  <w:t>序号</w:t>
            </w:r>
          </w:p>
        </w:tc>
        <w:tc>
          <w:tcPr>
            <w:tcW w:w="873" w:type="pct"/>
            <w:noWrap w:val="0"/>
            <w:vAlign w:val="center"/>
          </w:tcPr>
          <w:p w14:paraId="5F54B63A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  <w:t>评审因素</w:t>
            </w:r>
          </w:p>
        </w:tc>
        <w:tc>
          <w:tcPr>
            <w:tcW w:w="359" w:type="pct"/>
            <w:noWrap w:val="0"/>
            <w:vAlign w:val="center"/>
          </w:tcPr>
          <w:p w14:paraId="25FE165D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3436" w:type="pct"/>
            <w:noWrap w:val="0"/>
            <w:vAlign w:val="center"/>
          </w:tcPr>
          <w:p w14:paraId="1A737473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  <w:t>评分说明</w:t>
            </w:r>
          </w:p>
        </w:tc>
      </w:tr>
      <w:tr w14:paraId="41C4C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3FFFCA77">
            <w:pPr>
              <w:spacing w:line="360" w:lineRule="auto"/>
              <w:jc w:val="left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一、价格部分</w:t>
            </w:r>
          </w:p>
        </w:tc>
      </w:tr>
      <w:tr w14:paraId="7E29D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10CE2961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873" w:type="pct"/>
            <w:noWrap w:val="0"/>
            <w:vAlign w:val="center"/>
          </w:tcPr>
          <w:p w14:paraId="69DFDD83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价格得分</w:t>
            </w:r>
          </w:p>
          <w:p w14:paraId="5224EE0B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客观分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4CB6FE52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3436" w:type="pct"/>
            <w:noWrap w:val="0"/>
            <w:vAlign w:val="center"/>
          </w:tcPr>
          <w:p w14:paraId="7EE17ECD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采用低价优先法计算，即满足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比选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文件要求且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最低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的报价为基准价，其价格分为满分30分。其他报价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单位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的报价得分计算公式如下：</w:t>
            </w:r>
          </w:p>
          <w:p w14:paraId="00A2DA11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报价得分＝30×（评标基准价/投标报价）。</w:t>
            </w:r>
          </w:p>
        </w:tc>
      </w:tr>
      <w:tr w14:paraId="1CE67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14AC1211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二、商务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、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技术部分</w:t>
            </w:r>
          </w:p>
        </w:tc>
      </w:tr>
      <w:tr w14:paraId="603C3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69B44514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pct"/>
            <w:noWrap w:val="0"/>
            <w:vAlign w:val="center"/>
          </w:tcPr>
          <w:p w14:paraId="4BAF2162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经验业绩</w:t>
            </w:r>
          </w:p>
          <w:p w14:paraId="654A2B2C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客观分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7C2DAE44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1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3436" w:type="pct"/>
            <w:noWrap w:val="0"/>
            <w:vAlign w:val="center"/>
          </w:tcPr>
          <w:p w14:paraId="4A5A3383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提供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近3年（合同签订日期自202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月起至今）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业绩案例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。（每提供1个得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分；最高得1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分）注：需提供相关业绩的合同复印件，否则将不予认可。</w:t>
            </w:r>
          </w:p>
        </w:tc>
      </w:tr>
      <w:tr w14:paraId="4674D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147D3766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73" w:type="pct"/>
            <w:noWrap w:val="0"/>
            <w:vAlign w:val="center"/>
          </w:tcPr>
          <w:p w14:paraId="069DEA50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技术响应程度</w:t>
            </w:r>
          </w:p>
          <w:p w14:paraId="1793C67A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客观分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70332D36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30</w:t>
            </w:r>
          </w:p>
        </w:tc>
        <w:tc>
          <w:tcPr>
            <w:tcW w:w="3436" w:type="pct"/>
            <w:shd w:val="clear" w:color="auto" w:fill="auto"/>
            <w:noWrap w:val="0"/>
            <w:vAlign w:val="center"/>
          </w:tcPr>
          <w:p w14:paraId="7461B042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针对第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二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章中的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采购需求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：不满足技术条款的，每项扣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分；扣完为止。</w:t>
            </w:r>
          </w:p>
        </w:tc>
      </w:tr>
      <w:tr w14:paraId="32155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67884245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87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83A718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产品性能介绍</w:t>
            </w:r>
          </w:p>
          <w:p w14:paraId="1A5865D0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主观分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3662F0A0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3436" w:type="pct"/>
            <w:noWrap w:val="0"/>
            <w:vAlign w:val="center"/>
          </w:tcPr>
          <w:p w14:paraId="37F6985E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优秀（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8～10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分）：详细介绍了产品的各项性能参数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。</w:t>
            </w:r>
          </w:p>
          <w:p w14:paraId="62A7189F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良好（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5～7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分）：较全面地介绍了产品的性能参数。</w:t>
            </w:r>
          </w:p>
          <w:p w14:paraId="70A493C7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一般（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2～4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分）：介绍了部分性能参数，但不够全面或详细。</w:t>
            </w:r>
          </w:p>
          <w:p w14:paraId="0BEE09AF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较差（0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～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分）：性能参数介绍不完整或存在明显错误。</w:t>
            </w:r>
          </w:p>
        </w:tc>
      </w:tr>
      <w:tr w14:paraId="261A6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063649C8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pct"/>
            <w:noWrap w:val="0"/>
            <w:vAlign w:val="center"/>
          </w:tcPr>
          <w:p w14:paraId="555CFAE5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技术支持与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售后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服务</w:t>
            </w:r>
          </w:p>
          <w:p w14:paraId="1F53F634">
            <w:pPr>
              <w:pStyle w:val="13"/>
              <w:spacing w:line="360" w:lineRule="auto"/>
              <w:ind w:firstLine="200" w:firstLineChars="100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主观分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7D753253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3436" w:type="pct"/>
            <w:noWrap w:val="0"/>
            <w:vAlign w:val="center"/>
          </w:tcPr>
          <w:p w14:paraId="566D5B29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优秀（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12～15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分）：提供了详尽的技术支持方案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以及售后服务方案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，包括快速响应机制、服务承诺等。</w:t>
            </w:r>
          </w:p>
          <w:p w14:paraId="1B650857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良好（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8～11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分）：提供了较为全面的技术支持方案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和售后服务方案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，但计划不够详细。</w:t>
            </w:r>
          </w:p>
          <w:p w14:paraId="2E6A021F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一般（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4～7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分）：方案较为简单，缺乏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具体的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计划。</w:t>
            </w:r>
          </w:p>
          <w:p w14:paraId="4BA27702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较差（0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～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分）：未提供技术支持方案或售后服务承诺。</w:t>
            </w:r>
          </w:p>
        </w:tc>
      </w:tr>
    </w:tbl>
    <w:p w14:paraId="71E5B026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sectPr>
          <w:footerReference r:id="rId3" w:type="default"/>
          <w:type w:val="continuous"/>
          <w:pgSz w:w="11906" w:h="16838"/>
          <w:pgMar w:top="1440" w:right="1080" w:bottom="1440" w:left="1080" w:header="851" w:footer="992" w:gutter="0"/>
          <w:pgNumType w:fmt="decimal"/>
          <w:cols w:space="425" w:num="1"/>
          <w:docGrid w:type="lines" w:linePitch="312" w:charSpace="0"/>
        </w:sectPr>
      </w:pPr>
    </w:p>
    <w:p w14:paraId="3E74C2BD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第四章 格式附件</w:t>
      </w:r>
    </w:p>
    <w:p w14:paraId="636BB61B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附件1：报价单</w:t>
      </w:r>
    </w:p>
    <w:p w14:paraId="52D9A168">
      <w:pPr>
        <w:spacing w:line="440" w:lineRule="exact"/>
        <w:jc w:val="center"/>
        <w:rPr>
          <w:rFonts w:hint="default" w:ascii="宋体" w:hAnsi="宋体" w:eastAsia="宋体"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</w:rPr>
        <w:t>报   价   单</w:t>
      </w:r>
    </w:p>
    <w:p w14:paraId="50E6B72B">
      <w:pPr>
        <w:spacing w:line="440" w:lineRule="exact"/>
        <w:jc w:val="left"/>
        <w:rPr>
          <w:rFonts w:hint="default" w:ascii="黑体" w:hAnsi="华文楷体" w:eastAsia="黑体"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 xml:space="preserve">TO: </w:t>
      </w:r>
      <w:r>
        <w:rPr>
          <w:rFonts w:hint="eastAsia" w:ascii="黑体" w:hAnsi="华文楷体" w:eastAsia="黑体"/>
          <w:color w:val="auto"/>
          <w:sz w:val="24"/>
          <w:highlight w:val="none"/>
        </w:rPr>
        <w:t xml:space="preserve"> 上海海事大学 </w:t>
      </w:r>
      <w:r>
        <w:rPr>
          <w:rFonts w:hint="eastAsia" w:ascii="黑体" w:hAnsi="华文楷体" w:eastAsia="黑体"/>
          <w:color w:val="auto"/>
          <w:sz w:val="24"/>
          <w:highlight w:val="none"/>
          <w:lang w:val="en-US" w:eastAsia="zh-CN"/>
        </w:rPr>
        <w:t>采购与招投标管理中心</w:t>
      </w: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</w:rPr>
        <w:t xml:space="preserve">   </w:t>
      </w: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  <w:lang w:val="en-US" w:eastAsia="zh-CN"/>
        </w:rPr>
        <w:t xml:space="preserve">          </w:t>
      </w:r>
      <w:r>
        <w:rPr>
          <w:rFonts w:hint="eastAsia" w:ascii="黑体" w:hAnsi="华文楷体" w:eastAsia="黑体"/>
          <w:color w:val="auto"/>
          <w:sz w:val="24"/>
          <w:highlight w:val="none"/>
          <w:lang w:val="en-US" w:eastAsia="zh-CN"/>
        </w:rPr>
        <w:t>项目编号：HFBX2026076</w:t>
      </w: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</w:rPr>
        <w:t xml:space="preserve">               </w:t>
      </w: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  <w:lang w:val="en-US" w:eastAsia="zh-CN"/>
        </w:rPr>
        <w:t xml:space="preserve">                    </w:t>
      </w:r>
    </w:p>
    <w:p w14:paraId="192C9FAF">
      <w:pPr>
        <w:spacing w:line="440" w:lineRule="exact"/>
        <w:rPr>
          <w:rFonts w:hint="eastAsia" w:ascii="方正仿宋_GB2312" w:hAnsi="方正仿宋_GB2312" w:eastAsia="方正仿宋_GB2312" w:cs="方正仿宋_GB2312"/>
          <w:b/>
          <w:color w:val="auto"/>
          <w:sz w:val="24"/>
          <w:highlight w:val="none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>电子邮箱：</w:t>
      </w:r>
      <w:r>
        <w:rPr>
          <w:rFonts w:ascii="黑体" w:hAnsi="华文楷体" w:eastAsia="黑体"/>
          <w:b/>
          <w:color w:val="auto"/>
          <w:sz w:val="24"/>
          <w:highlight w:val="none"/>
        </w:rPr>
        <w:fldChar w:fldCharType="begin"/>
      </w:r>
      <w:r>
        <w:rPr>
          <w:rFonts w:ascii="黑体" w:hAnsi="华文楷体" w:eastAsia="黑体"/>
          <w:b/>
          <w:color w:val="auto"/>
          <w:sz w:val="24"/>
          <w:highlight w:val="none"/>
        </w:rPr>
        <w:instrText xml:space="preserve"> HYPERLINK "mailto:quotation@shmtu.edu.cn" </w:instrText>
      </w:r>
      <w:r>
        <w:rPr>
          <w:rFonts w:ascii="黑体" w:hAnsi="华文楷体" w:eastAsia="黑体"/>
          <w:b/>
          <w:color w:val="auto"/>
          <w:sz w:val="24"/>
          <w:highlight w:val="none"/>
        </w:rPr>
        <w:fldChar w:fldCharType="separate"/>
      </w:r>
      <w:r>
        <w:rPr>
          <w:rStyle w:val="18"/>
          <w:rFonts w:ascii="黑体" w:hAnsi="华文楷体" w:eastAsia="黑体"/>
          <w:b/>
          <w:color w:val="auto"/>
          <w:sz w:val="24"/>
          <w:highlight w:val="none"/>
        </w:rPr>
        <w:t>quotation@shmtu.edu.cn</w:t>
      </w:r>
      <w:r>
        <w:rPr>
          <w:rFonts w:ascii="黑体" w:hAnsi="华文楷体" w:eastAsia="黑体"/>
          <w:b/>
          <w:color w:val="auto"/>
          <w:sz w:val="24"/>
          <w:highlight w:val="none"/>
        </w:rPr>
        <w:fldChar w:fldCharType="end"/>
      </w:r>
    </w:p>
    <w:p w14:paraId="1D25A65B">
      <w:pPr>
        <w:spacing w:line="440" w:lineRule="exact"/>
        <w:rPr>
          <w:rFonts w:ascii="黑体" w:hAnsi="华文楷体" w:eastAsia="黑体"/>
          <w:b/>
          <w:color w:val="auto"/>
          <w:sz w:val="24"/>
          <w:highlight w:val="none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>公司名称：</w:t>
      </w:r>
      <w:r>
        <w:rPr>
          <w:rFonts w:hint="eastAsia" w:ascii="黑体" w:hAnsi="华文楷体" w:eastAsia="黑体"/>
          <w:color w:val="auto"/>
          <w:sz w:val="24"/>
          <w:highlight w:val="none"/>
        </w:rPr>
        <w:t xml:space="preserve">                                                </w:t>
      </w:r>
      <w:r>
        <w:rPr>
          <w:rFonts w:hint="eastAsia" w:ascii="黑体" w:hAnsi="华文楷体" w:eastAsia="黑体"/>
          <w:b/>
          <w:color w:val="auto"/>
          <w:sz w:val="24"/>
          <w:highlight w:val="none"/>
        </w:rPr>
        <w:t>联系人：</w:t>
      </w:r>
    </w:p>
    <w:p w14:paraId="0416696A">
      <w:pPr>
        <w:spacing w:line="440" w:lineRule="exact"/>
        <w:rPr>
          <w:rFonts w:ascii="黑体" w:hAnsi="华文楷体" w:eastAsia="黑体"/>
          <w:b/>
          <w:color w:val="auto"/>
          <w:sz w:val="24"/>
          <w:highlight w:val="none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>电子邮箱：                                                公司地址：</w:t>
      </w:r>
    </w:p>
    <w:p w14:paraId="096E10B9">
      <w:pPr>
        <w:spacing w:line="440" w:lineRule="exact"/>
        <w:rPr>
          <w:rFonts w:hint="eastAsia" w:ascii="黑体" w:hAnsi="华文楷体" w:eastAsia="黑体"/>
          <w:b/>
          <w:color w:val="auto"/>
          <w:sz w:val="24"/>
          <w:highlight w:val="none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>电话：                                                    联系人手机：</w:t>
      </w:r>
    </w:p>
    <w:p w14:paraId="35F2988C">
      <w:pPr>
        <w:spacing w:line="440" w:lineRule="exact"/>
        <w:rPr>
          <w:rFonts w:hint="eastAsia" w:ascii="黑体" w:hAnsi="华文楷体" w:eastAsia="黑体"/>
          <w:b/>
          <w:color w:val="auto"/>
          <w:sz w:val="24"/>
          <w:highlight w:val="none"/>
        </w:rPr>
      </w:pPr>
    </w:p>
    <w:tbl>
      <w:tblPr>
        <w:tblStyle w:val="14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2062"/>
        <w:gridCol w:w="971"/>
        <w:gridCol w:w="1463"/>
        <w:gridCol w:w="581"/>
        <w:gridCol w:w="876"/>
        <w:gridCol w:w="876"/>
        <w:gridCol w:w="1230"/>
        <w:gridCol w:w="1397"/>
      </w:tblGrid>
      <w:tr w14:paraId="48147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top w:val="single" w:color="auto" w:sz="12" w:space="0"/>
              <w:left w:val="single" w:color="auto" w:sz="12" w:space="0"/>
              <w:bottom w:val="double" w:color="auto" w:sz="4" w:space="0"/>
            </w:tcBorders>
            <w:noWrap w:val="0"/>
            <w:vAlign w:val="center"/>
          </w:tcPr>
          <w:p w14:paraId="67E92170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1036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5FFC86E8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产品名称</w:t>
            </w:r>
          </w:p>
        </w:tc>
        <w:tc>
          <w:tcPr>
            <w:tcW w:w="488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5F8969CF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品牌</w:t>
            </w:r>
          </w:p>
        </w:tc>
        <w:tc>
          <w:tcPr>
            <w:tcW w:w="733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16AB36D0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型号规格</w:t>
            </w:r>
          </w:p>
        </w:tc>
        <w:tc>
          <w:tcPr>
            <w:tcW w:w="292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7A41A9BF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数量</w:t>
            </w:r>
          </w:p>
        </w:tc>
        <w:tc>
          <w:tcPr>
            <w:tcW w:w="440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22044959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单价</w:t>
            </w:r>
          </w:p>
        </w:tc>
        <w:tc>
          <w:tcPr>
            <w:tcW w:w="440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61A1F830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金额</w:t>
            </w:r>
          </w:p>
        </w:tc>
        <w:tc>
          <w:tcPr>
            <w:tcW w:w="618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2F9A1E62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质保时间</w:t>
            </w:r>
          </w:p>
        </w:tc>
        <w:tc>
          <w:tcPr>
            <w:tcW w:w="700" w:type="pct"/>
            <w:tcBorders>
              <w:top w:val="single" w:color="auto" w:sz="12" w:space="0"/>
              <w:bottom w:val="double" w:color="auto" w:sz="4" w:space="0"/>
              <w:right w:val="single" w:color="auto" w:sz="12" w:space="0"/>
            </w:tcBorders>
            <w:noWrap w:val="0"/>
            <w:vAlign w:val="center"/>
          </w:tcPr>
          <w:p w14:paraId="09E42E8D">
            <w:pPr>
              <w:spacing w:line="440" w:lineRule="exact"/>
              <w:jc w:val="center"/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  <w:t>最快供货</w:t>
            </w: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  <w:lang w:val="en-US" w:eastAsia="zh-CN"/>
              </w:rPr>
              <w:t>时间</w:t>
            </w:r>
          </w:p>
        </w:tc>
      </w:tr>
      <w:tr w14:paraId="6076E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top w:val="double" w:color="auto" w:sz="4" w:space="0"/>
              <w:left w:val="single" w:color="auto" w:sz="12" w:space="0"/>
            </w:tcBorders>
            <w:noWrap w:val="0"/>
            <w:vAlign w:val="top"/>
          </w:tcPr>
          <w:p w14:paraId="6904F50E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1</w:t>
            </w:r>
          </w:p>
        </w:tc>
        <w:tc>
          <w:tcPr>
            <w:tcW w:w="1036" w:type="pct"/>
            <w:tcBorders>
              <w:top w:val="double" w:color="auto" w:sz="4" w:space="0"/>
            </w:tcBorders>
            <w:noWrap w:val="0"/>
            <w:vAlign w:val="center"/>
          </w:tcPr>
          <w:p w14:paraId="2716FB82">
            <w:pPr>
              <w:ind w:left="-63" w:leftChars="-30" w:right="-63" w:rightChars="-3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8" w:type="pct"/>
            <w:tcBorders>
              <w:top w:val="double" w:color="auto" w:sz="4" w:space="0"/>
            </w:tcBorders>
            <w:noWrap w:val="0"/>
            <w:vAlign w:val="top"/>
          </w:tcPr>
          <w:p w14:paraId="68C63CC3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tcBorders>
              <w:top w:val="double" w:color="auto" w:sz="4" w:space="0"/>
            </w:tcBorders>
            <w:noWrap w:val="0"/>
            <w:vAlign w:val="top"/>
          </w:tcPr>
          <w:p w14:paraId="2062DBE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tcBorders>
              <w:top w:val="double" w:color="auto" w:sz="4" w:space="0"/>
            </w:tcBorders>
            <w:noWrap w:val="0"/>
            <w:vAlign w:val="top"/>
          </w:tcPr>
          <w:p w14:paraId="5576A539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top w:val="double" w:color="auto" w:sz="4" w:space="0"/>
            </w:tcBorders>
            <w:noWrap w:val="0"/>
            <w:vAlign w:val="top"/>
          </w:tcPr>
          <w:p w14:paraId="3366DAB2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top w:val="double" w:color="auto" w:sz="4" w:space="0"/>
            </w:tcBorders>
            <w:noWrap w:val="0"/>
            <w:vAlign w:val="top"/>
          </w:tcPr>
          <w:p w14:paraId="45D03D7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tcBorders>
              <w:top w:val="double" w:color="auto" w:sz="4" w:space="0"/>
            </w:tcBorders>
            <w:noWrap w:val="0"/>
            <w:vAlign w:val="top"/>
          </w:tcPr>
          <w:p w14:paraId="014679F0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top w:val="double" w:color="auto" w:sz="4" w:space="0"/>
              <w:right w:val="single" w:color="auto" w:sz="12" w:space="0"/>
            </w:tcBorders>
            <w:noWrap w:val="0"/>
            <w:vAlign w:val="top"/>
          </w:tcPr>
          <w:p w14:paraId="605E89B2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32388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8" w:type="pct"/>
            <w:tcBorders>
              <w:left w:val="single" w:color="auto" w:sz="12" w:space="0"/>
            </w:tcBorders>
            <w:noWrap w:val="0"/>
            <w:vAlign w:val="top"/>
          </w:tcPr>
          <w:p w14:paraId="29977C73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2</w:t>
            </w:r>
          </w:p>
        </w:tc>
        <w:tc>
          <w:tcPr>
            <w:tcW w:w="1036" w:type="pct"/>
            <w:noWrap w:val="0"/>
            <w:vAlign w:val="center"/>
          </w:tcPr>
          <w:p w14:paraId="2866E2D0">
            <w:pPr>
              <w:ind w:left="-63" w:leftChars="-30" w:right="-63" w:rightChars="-3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8" w:type="pct"/>
            <w:noWrap w:val="0"/>
            <w:vAlign w:val="top"/>
          </w:tcPr>
          <w:p w14:paraId="0669C2FF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noWrap w:val="0"/>
            <w:vAlign w:val="top"/>
          </w:tcPr>
          <w:p w14:paraId="4D504156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noWrap w:val="0"/>
            <w:vAlign w:val="top"/>
          </w:tcPr>
          <w:p w14:paraId="74F4D8E1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noWrap w:val="0"/>
            <w:vAlign w:val="top"/>
          </w:tcPr>
          <w:p w14:paraId="27571361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noWrap w:val="0"/>
            <w:vAlign w:val="top"/>
          </w:tcPr>
          <w:p w14:paraId="45E1288F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noWrap w:val="0"/>
            <w:vAlign w:val="top"/>
          </w:tcPr>
          <w:p w14:paraId="5DDB1CC9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right w:val="single" w:color="auto" w:sz="12" w:space="0"/>
            </w:tcBorders>
            <w:noWrap w:val="0"/>
            <w:vAlign w:val="top"/>
          </w:tcPr>
          <w:p w14:paraId="6BB70514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66928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left w:val="single" w:color="auto" w:sz="12" w:space="0"/>
              <w:bottom w:val="single" w:color="auto" w:sz="4" w:space="0"/>
            </w:tcBorders>
            <w:noWrap w:val="0"/>
            <w:vAlign w:val="top"/>
          </w:tcPr>
          <w:p w14:paraId="5E49ACAD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3</w:t>
            </w:r>
          </w:p>
        </w:tc>
        <w:tc>
          <w:tcPr>
            <w:tcW w:w="1036" w:type="pct"/>
            <w:tcBorders>
              <w:bottom w:val="single" w:color="auto" w:sz="4" w:space="0"/>
            </w:tcBorders>
            <w:noWrap w:val="0"/>
            <w:vAlign w:val="center"/>
          </w:tcPr>
          <w:p w14:paraId="2D958EE1">
            <w:pPr>
              <w:ind w:left="-42" w:leftChars="-20" w:right="-42" w:rightChars="-2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8" w:type="pct"/>
            <w:tcBorders>
              <w:bottom w:val="single" w:color="auto" w:sz="4" w:space="0"/>
            </w:tcBorders>
            <w:noWrap w:val="0"/>
            <w:vAlign w:val="top"/>
          </w:tcPr>
          <w:p w14:paraId="6B0A81D6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tcBorders>
              <w:bottom w:val="single" w:color="auto" w:sz="4" w:space="0"/>
            </w:tcBorders>
            <w:noWrap w:val="0"/>
            <w:vAlign w:val="top"/>
          </w:tcPr>
          <w:p w14:paraId="58841A2F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tcBorders>
              <w:bottom w:val="single" w:color="auto" w:sz="4" w:space="0"/>
            </w:tcBorders>
            <w:noWrap w:val="0"/>
            <w:vAlign w:val="top"/>
          </w:tcPr>
          <w:p w14:paraId="26802B6E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2ECBBA3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747E5F99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tcBorders>
              <w:bottom w:val="single" w:color="auto" w:sz="4" w:space="0"/>
            </w:tcBorders>
            <w:noWrap w:val="0"/>
            <w:vAlign w:val="top"/>
          </w:tcPr>
          <w:p w14:paraId="5140F715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7F3F6EF0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5A9D0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left w:val="single" w:color="auto" w:sz="12" w:space="0"/>
              <w:bottom w:val="single" w:color="auto" w:sz="4" w:space="0"/>
            </w:tcBorders>
            <w:noWrap w:val="0"/>
            <w:vAlign w:val="top"/>
          </w:tcPr>
          <w:p w14:paraId="22131CE2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4</w:t>
            </w:r>
          </w:p>
        </w:tc>
        <w:tc>
          <w:tcPr>
            <w:tcW w:w="1036" w:type="pct"/>
            <w:tcBorders>
              <w:bottom w:val="single" w:color="auto" w:sz="4" w:space="0"/>
            </w:tcBorders>
            <w:noWrap w:val="0"/>
            <w:vAlign w:val="top"/>
          </w:tcPr>
          <w:p w14:paraId="6938BE08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88" w:type="pct"/>
            <w:tcBorders>
              <w:bottom w:val="single" w:color="auto" w:sz="4" w:space="0"/>
            </w:tcBorders>
            <w:noWrap w:val="0"/>
            <w:vAlign w:val="top"/>
          </w:tcPr>
          <w:p w14:paraId="4CD1A541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tcBorders>
              <w:bottom w:val="single" w:color="auto" w:sz="4" w:space="0"/>
            </w:tcBorders>
            <w:noWrap w:val="0"/>
            <w:vAlign w:val="top"/>
          </w:tcPr>
          <w:p w14:paraId="337FC115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tcBorders>
              <w:bottom w:val="single" w:color="auto" w:sz="4" w:space="0"/>
            </w:tcBorders>
            <w:noWrap w:val="0"/>
            <w:vAlign w:val="top"/>
          </w:tcPr>
          <w:p w14:paraId="3C03B4F1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47DA722A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76A33D3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tcBorders>
              <w:bottom w:val="single" w:color="auto" w:sz="4" w:space="0"/>
            </w:tcBorders>
            <w:noWrap w:val="0"/>
            <w:vAlign w:val="top"/>
          </w:tcPr>
          <w:p w14:paraId="751F0F09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0B4D1DA3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72A11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left w:val="single" w:color="auto" w:sz="12" w:space="0"/>
              <w:bottom w:val="single" w:color="auto" w:sz="4" w:space="0"/>
            </w:tcBorders>
            <w:noWrap w:val="0"/>
            <w:vAlign w:val="top"/>
          </w:tcPr>
          <w:p w14:paraId="6A9F333C">
            <w:pPr>
              <w:spacing w:line="440" w:lineRule="exact"/>
              <w:jc w:val="center"/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5</w:t>
            </w:r>
          </w:p>
        </w:tc>
        <w:tc>
          <w:tcPr>
            <w:tcW w:w="1036" w:type="pct"/>
            <w:tcBorders>
              <w:bottom w:val="single" w:color="auto" w:sz="4" w:space="0"/>
            </w:tcBorders>
            <w:noWrap w:val="0"/>
            <w:vAlign w:val="top"/>
          </w:tcPr>
          <w:p w14:paraId="5ED63A4B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88" w:type="pct"/>
            <w:tcBorders>
              <w:bottom w:val="single" w:color="auto" w:sz="4" w:space="0"/>
            </w:tcBorders>
            <w:noWrap w:val="0"/>
            <w:vAlign w:val="top"/>
          </w:tcPr>
          <w:p w14:paraId="49A78B8A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tcBorders>
              <w:bottom w:val="single" w:color="auto" w:sz="4" w:space="0"/>
            </w:tcBorders>
            <w:noWrap w:val="0"/>
            <w:vAlign w:val="top"/>
          </w:tcPr>
          <w:p w14:paraId="2EEE3065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tcBorders>
              <w:bottom w:val="single" w:color="auto" w:sz="4" w:space="0"/>
            </w:tcBorders>
            <w:noWrap w:val="0"/>
            <w:vAlign w:val="top"/>
          </w:tcPr>
          <w:p w14:paraId="270F8717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2A4C7C00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6028EA0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tcBorders>
              <w:bottom w:val="single" w:color="auto" w:sz="4" w:space="0"/>
            </w:tcBorders>
            <w:noWrap w:val="0"/>
            <w:vAlign w:val="top"/>
          </w:tcPr>
          <w:p w14:paraId="7530FD9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1CF8882E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512FF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pct"/>
            <w:gridSpan w:val="4"/>
            <w:tcBorders>
              <w:top w:val="double" w:color="auto" w:sz="4" w:space="0"/>
              <w:left w:val="single" w:color="auto" w:sz="12" w:space="0"/>
              <w:bottom w:val="single" w:color="auto" w:sz="12" w:space="0"/>
            </w:tcBorders>
            <w:noWrap w:val="0"/>
            <w:vAlign w:val="top"/>
          </w:tcPr>
          <w:p w14:paraId="57ECA68A">
            <w:pPr>
              <w:spacing w:line="440" w:lineRule="exact"/>
              <w:jc w:val="center"/>
              <w:rPr>
                <w:rFonts w:hint="eastAsia" w:ascii="黑体" w:hAnsi="华文楷体" w:eastAsia="黑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 w:cs="Times New Roman"/>
                <w:color w:val="auto"/>
                <w:kern w:val="0"/>
                <w:sz w:val="24"/>
                <w:highlight w:val="none"/>
              </w:rPr>
              <w:t>合计金额（人民币）</w:t>
            </w:r>
          </w:p>
        </w:tc>
        <w:tc>
          <w:tcPr>
            <w:tcW w:w="2492" w:type="pct"/>
            <w:gridSpan w:val="5"/>
            <w:tcBorders>
              <w:top w:val="doub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5C538379">
            <w:pPr>
              <w:spacing w:line="440" w:lineRule="exact"/>
              <w:jc w:val="center"/>
              <w:rPr>
                <w:rFonts w:hint="eastAsia" w:ascii="黑体" w:hAnsi="华文楷体" w:eastAsia="黑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 w:cs="Times New Roman"/>
                <w:color w:val="auto"/>
                <w:kern w:val="0"/>
                <w:sz w:val="24"/>
                <w:highlight w:val="none"/>
              </w:rPr>
              <w:t xml:space="preserve">￥           （大写）：                               </w:t>
            </w:r>
          </w:p>
        </w:tc>
      </w:tr>
    </w:tbl>
    <w:p w14:paraId="655247D5">
      <w:pPr>
        <w:spacing w:line="440" w:lineRule="exact"/>
        <w:rPr>
          <w:rFonts w:hint="eastAsia" w:ascii="黑体" w:hAnsi="华文楷体" w:eastAsia="黑体"/>
          <w:b/>
          <w:color w:val="auto"/>
          <w:sz w:val="24"/>
          <w:highlight w:val="none"/>
        </w:rPr>
      </w:pPr>
    </w:p>
    <w:p w14:paraId="2181F384">
      <w:pPr>
        <w:spacing w:line="440" w:lineRule="exact"/>
        <w:rPr>
          <w:rFonts w:hint="eastAsia" w:ascii="黑体" w:hAnsi="华文楷体" w:eastAsia="黑体"/>
          <w:b/>
          <w:color w:val="auto"/>
          <w:sz w:val="24"/>
          <w:highlight w:val="none"/>
        </w:rPr>
      </w:pPr>
    </w:p>
    <w:p w14:paraId="5E23D6EF">
      <w:pPr>
        <w:pStyle w:val="13"/>
        <w:ind w:left="0" w:leftChars="0" w:firstLine="0" w:firstLineChars="0"/>
        <w:rPr>
          <w:rFonts w:hint="eastAsia"/>
          <w:color w:val="auto"/>
          <w:highlight w:val="none"/>
        </w:rPr>
      </w:pPr>
    </w:p>
    <w:p w14:paraId="296AA70E">
      <w:pPr>
        <w:spacing w:line="440" w:lineRule="exact"/>
        <w:rPr>
          <w:rFonts w:ascii="黑体" w:hAnsi="华文楷体" w:eastAsia="黑体"/>
          <w:color w:val="auto"/>
          <w:sz w:val="24"/>
          <w:highlight w:val="none"/>
        </w:rPr>
      </w:pPr>
      <w:r>
        <w:rPr>
          <w:rFonts w:hint="eastAsia" w:ascii="黑体" w:hAnsi="华文楷体" w:eastAsia="黑体"/>
          <w:color w:val="auto"/>
          <w:sz w:val="24"/>
          <w:highlight w:val="none"/>
        </w:rPr>
        <w:t>公司名称（盖章）：          委托代理人（签字）：        报价日期：      年    月   日</w:t>
      </w:r>
    </w:p>
    <w:p w14:paraId="345567A0">
      <w:pPr>
        <w:rPr>
          <w:rFonts w:hint="eastAsia" w:ascii="黑体" w:hAnsi="华文楷体" w:eastAsia="黑体"/>
          <w:color w:val="auto"/>
          <w:szCs w:val="21"/>
          <w:highlight w:val="none"/>
        </w:rPr>
      </w:pPr>
    </w:p>
    <w:p w14:paraId="24F3C11F">
      <w:pPr>
        <w:rPr>
          <w:rFonts w:ascii="黑体" w:hAnsi="华文楷体" w:eastAsia="黑体"/>
          <w:color w:val="auto"/>
          <w:szCs w:val="21"/>
          <w:highlight w:val="none"/>
        </w:rPr>
      </w:pPr>
      <w:r>
        <w:rPr>
          <w:rFonts w:hint="eastAsia" w:ascii="黑体" w:hAnsi="华文楷体" w:eastAsia="黑体"/>
          <w:color w:val="auto"/>
          <w:szCs w:val="21"/>
          <w:highlight w:val="none"/>
        </w:rPr>
        <w:t>报价说明：1、报价公司提供的上述产品，应完全满足或者优于我校提出的需求。</w:t>
      </w:r>
    </w:p>
    <w:p w14:paraId="6C546935">
      <w:pPr>
        <w:rPr>
          <w:rFonts w:ascii="黑体" w:hAnsi="华文楷体" w:eastAsia="黑体"/>
          <w:color w:val="auto"/>
          <w:szCs w:val="21"/>
          <w:highlight w:val="none"/>
        </w:rPr>
      </w:pPr>
      <w:r>
        <w:rPr>
          <w:rFonts w:hint="eastAsia" w:ascii="黑体" w:hAnsi="华文楷体" w:eastAsia="黑体"/>
          <w:color w:val="auto"/>
          <w:szCs w:val="21"/>
          <w:highlight w:val="none"/>
        </w:rPr>
        <w:t xml:space="preserve">          2、如属非标配产品，其技术指标（特别是优于我校需求的部分）请另行附页说明。</w:t>
      </w:r>
    </w:p>
    <w:p w14:paraId="360E75B8">
      <w:pPr>
        <w:rPr>
          <w:rFonts w:ascii="黑体" w:hAnsi="华文楷体" w:eastAsia="黑体"/>
          <w:color w:val="auto"/>
          <w:szCs w:val="21"/>
          <w:highlight w:val="none"/>
        </w:rPr>
      </w:pPr>
      <w:r>
        <w:rPr>
          <w:rFonts w:hint="eastAsia" w:ascii="黑体" w:hAnsi="华文楷体" w:eastAsia="黑体"/>
          <w:color w:val="auto"/>
          <w:szCs w:val="21"/>
          <w:highlight w:val="none"/>
        </w:rPr>
        <w:t xml:space="preserve">          3、特殊的售后服务措施、代理证明情况等需要说明的，请另行附页说明。</w:t>
      </w:r>
    </w:p>
    <w:p w14:paraId="4A21681F">
      <w:pPr>
        <w:rPr>
          <w:rFonts w:hint="eastAsia" w:ascii="黑体" w:hAnsi="华文楷体" w:eastAsia="黑体"/>
          <w:color w:val="auto"/>
          <w:szCs w:val="21"/>
          <w:highlight w:val="none"/>
        </w:rPr>
      </w:pPr>
      <w:r>
        <w:rPr>
          <w:rFonts w:hint="eastAsia" w:ascii="黑体" w:hAnsi="华文楷体" w:eastAsia="黑体"/>
          <w:color w:val="auto"/>
          <w:szCs w:val="21"/>
          <w:highlight w:val="none"/>
        </w:rPr>
        <w:t xml:space="preserve">          4、报价单附页（如有）共</w:t>
      </w:r>
      <w:r>
        <w:rPr>
          <w:rFonts w:hint="eastAsia" w:ascii="黑体" w:hAnsi="华文楷体" w:eastAsia="黑体"/>
          <w:color w:val="auto"/>
          <w:szCs w:val="21"/>
          <w:highlight w:val="none"/>
          <w:u w:val="single"/>
        </w:rPr>
        <w:t xml:space="preserve">      </w:t>
      </w:r>
      <w:r>
        <w:rPr>
          <w:rFonts w:hint="eastAsia" w:ascii="黑体" w:hAnsi="华文楷体" w:eastAsia="黑体"/>
          <w:color w:val="auto"/>
          <w:szCs w:val="21"/>
          <w:highlight w:val="none"/>
        </w:rPr>
        <w:t>页。</w:t>
      </w:r>
    </w:p>
    <w:p w14:paraId="4403A77C">
      <w:pPr>
        <w:rPr>
          <w:rFonts w:hint="eastAsia" w:ascii="仿宋" w:hAnsi="仿宋" w:eastAsia="仿宋"/>
          <w:b/>
          <w:bCs/>
          <w:color w:val="auto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/>
          <w:color w:val="auto"/>
          <w:kern w:val="0"/>
          <w:sz w:val="36"/>
          <w:szCs w:val="36"/>
          <w:highlight w:val="none"/>
          <w:lang w:val="en-US" w:eastAsia="zh-CN"/>
        </w:rPr>
        <w:br w:type="page"/>
      </w:r>
    </w:p>
    <w:p w14:paraId="0D7FB27B">
      <w:pPr>
        <w:spacing w:after="120" w:afterLines="50" w:line="240" w:lineRule="auto"/>
        <w:ind w:left="0" w:leftChars="0" w:firstLine="0" w:firstLineChars="0"/>
        <w:jc w:val="center"/>
        <w:rPr>
          <w:rFonts w:ascii="仿宋" w:hAnsi="仿宋" w:eastAsia="仿宋"/>
          <w:b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仿宋" w:hAnsi="仿宋" w:eastAsia="仿宋"/>
          <w:b/>
          <w:bCs/>
          <w:color w:val="auto"/>
          <w:kern w:val="0"/>
          <w:sz w:val="36"/>
          <w:szCs w:val="36"/>
          <w:highlight w:val="none"/>
          <w:lang w:val="en-US" w:eastAsia="zh-CN"/>
        </w:rPr>
        <w:t>报价</w:t>
      </w:r>
      <w:r>
        <w:rPr>
          <w:rFonts w:hint="eastAsia" w:ascii="仿宋" w:hAnsi="仿宋" w:eastAsia="仿宋"/>
          <w:b/>
          <w:bCs/>
          <w:color w:val="auto"/>
          <w:kern w:val="0"/>
          <w:sz w:val="36"/>
          <w:szCs w:val="36"/>
          <w:highlight w:val="none"/>
        </w:rPr>
        <w:t>承诺函</w:t>
      </w:r>
    </w:p>
    <w:p w14:paraId="154139ED">
      <w:pPr>
        <w:spacing w:after="120" w:afterLines="50" w:line="240" w:lineRule="auto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致：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上海海事大学</w:t>
      </w:r>
    </w:p>
    <w:p w14:paraId="37C42137">
      <w:pPr>
        <w:spacing w:after="120" w:afterLines="50" w:line="240" w:lineRule="auto"/>
        <w:ind w:left="0" w:leftChars="0" w:firstLine="480" w:firstLineChars="200"/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我</w:t>
      </w:r>
      <w:r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  <w:t>公司在参加本次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比选采购</w:t>
      </w:r>
      <w:r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  <w:t>活动中，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作出如下</w:t>
      </w:r>
      <w:r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  <w:t>承诺：</w:t>
      </w:r>
    </w:p>
    <w:p w14:paraId="46C0BB39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一、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具备独立法人资格，能够独立承担民事责任。</w:t>
      </w:r>
    </w:p>
    <w:p w14:paraId="50EE2300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二、我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财务状况良好，具备履行合同所需资金实力。</w:t>
      </w:r>
    </w:p>
    <w:p w14:paraId="3F8FCAE5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三、我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拥有履行项目所需的专业技术人员和先进的生产设备。</w:t>
      </w:r>
    </w:p>
    <w:p w14:paraId="45943AA8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四、我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依法纳税，并按时缴纳社会保险费。</w:t>
      </w:r>
    </w:p>
    <w:p w14:paraId="0F0C6E90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五、我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在最近三年内无任何违法违规行为，信誉良好。</w:t>
      </w:r>
    </w:p>
    <w:p w14:paraId="3EF4200C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六、我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完全符合政府采购法及其他相关法律法规的规定。</w:t>
      </w:r>
    </w:p>
    <w:p w14:paraId="072F3ABB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七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、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公司提供的相关文件均真实、有效。</w:t>
      </w:r>
    </w:p>
    <w:p w14:paraId="1E86BCEA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八、我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公司未挂靠、借用资质进行投标等违法违规行为。</w:t>
      </w:r>
    </w:p>
    <w:p w14:paraId="1961C25F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九、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我公司承诺在参加本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次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采购活动中，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不存在串标围标行为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，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不存在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损害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校方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或者其他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报价单位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利益的行为。</w:t>
      </w:r>
    </w:p>
    <w:p w14:paraId="1B3C8AA7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十、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公司管理层中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没有从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贵校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离职或退休3年以内的人员担任控股股东或实际控股人、董事、监事，也没有聘用从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贵校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离职或退休3年以内的人员。</w:t>
      </w:r>
    </w:p>
    <w:p w14:paraId="3FE2B1FA">
      <w:pPr>
        <w:spacing w:after="120" w:afterLines="50" w:line="240" w:lineRule="auto"/>
        <w:ind w:left="0" w:leftChars="0" w:firstLine="480" w:firstLineChars="200"/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我公司保证上述声明真实无误，如有不实，愿承担相应法律责任。</w:t>
      </w:r>
    </w:p>
    <w:p w14:paraId="2C38F8B9">
      <w:pPr>
        <w:spacing w:after="120" w:afterLines="50" w:line="240" w:lineRule="auto"/>
        <w:ind w:left="0" w:leftChars="0" w:firstLine="0" w:firstLineChars="0"/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</w:pPr>
    </w:p>
    <w:p w14:paraId="4A13A388">
      <w:pPr>
        <w:spacing w:after="120" w:afterLines="50" w:line="240" w:lineRule="auto"/>
        <w:ind w:left="0" w:leftChars="0" w:firstLine="0" w:firstLineChars="0"/>
        <w:rPr>
          <w:rFonts w:ascii="黑体" w:hAnsi="华文楷体" w:eastAsia="黑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黑体" w:hAnsi="华文楷体" w:eastAsia="黑体"/>
          <w:color w:val="auto"/>
          <w:sz w:val="24"/>
          <w:szCs w:val="24"/>
          <w:highlight w:val="none"/>
        </w:rPr>
        <w:t>公司名称（盖章）：                              委托代理人（签字）：</w:t>
      </w:r>
    </w:p>
    <w:p w14:paraId="476D3484">
      <w:pPr>
        <w:pStyle w:val="7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</w:p>
    <w:p w14:paraId="3F5F1DB4">
      <w:pPr>
        <w:pStyle w:val="7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</w:p>
    <w:p w14:paraId="086B01F9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sectPr>
          <w:pgSz w:w="11906" w:h="16838"/>
          <w:pgMar w:top="1440" w:right="1083" w:bottom="1440" w:left="1083" w:header="851" w:footer="992" w:gutter="0"/>
          <w:pgNumType w:fmt="decimal"/>
          <w:cols w:space="0" w:num="1"/>
          <w:rtlGutter w:val="0"/>
          <w:docGrid w:type="lines" w:linePitch="314" w:charSpace="0"/>
        </w:sectPr>
      </w:pPr>
    </w:p>
    <w:p w14:paraId="7CDE4BA2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附件2：其他材料</w:t>
      </w:r>
    </w:p>
    <w:p w14:paraId="7D103AD2">
      <w:pPr>
        <w:pStyle w:val="6"/>
        <w:ind w:left="0" w:leftChars="0" w:firstLine="0" w:firstLineChars="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包括但不限于：</w:t>
      </w:r>
    </w:p>
    <w:p w14:paraId="6163A2E2">
      <w:pPr>
        <w:pStyle w:val="6"/>
        <w:numPr>
          <w:ilvl w:val="0"/>
          <w:numId w:val="0"/>
        </w:numPr>
        <w:ind w:left="0" w:leftChars="0" w:firstLine="0" w:firstLineChars="0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1、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营业执照扫描件</w:t>
      </w:r>
    </w:p>
    <w:p w14:paraId="75BA9CDB">
      <w:pPr>
        <w:pStyle w:val="6"/>
        <w:numPr>
          <w:ilvl w:val="0"/>
          <w:numId w:val="0"/>
        </w:numPr>
        <w:ind w:left="0" w:leftChars="0" w:firstLine="0" w:firstLineChars="0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default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2、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产品资料（产品参数及性能）</w:t>
      </w:r>
    </w:p>
    <w:p w14:paraId="1BB2A8EF">
      <w:pPr>
        <w:pStyle w:val="6"/>
        <w:numPr>
          <w:ilvl w:val="0"/>
          <w:numId w:val="0"/>
        </w:numPr>
        <w:ind w:left="0" w:leftChars="0" w:firstLine="0" w:firstLineChars="0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default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3、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实施计划</w:t>
      </w:r>
    </w:p>
    <w:p w14:paraId="32423874">
      <w:pPr>
        <w:pStyle w:val="6"/>
        <w:numPr>
          <w:ilvl w:val="0"/>
          <w:numId w:val="0"/>
        </w:numPr>
        <w:ind w:left="0" w:leftChars="0" w:firstLine="0" w:firstLineChars="0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default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4、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售后方案</w:t>
      </w:r>
    </w:p>
    <w:p w14:paraId="47143B82">
      <w:pPr>
        <w:pStyle w:val="6"/>
        <w:numPr>
          <w:ilvl w:val="0"/>
          <w:numId w:val="0"/>
        </w:numPr>
        <w:ind w:left="0" w:leftChars="0" w:firstLine="0" w:firstLineChars="0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default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5、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业绩案例</w:t>
      </w:r>
    </w:p>
    <w:p w14:paraId="3644FF0B">
      <w:pPr>
        <w:pStyle w:val="6"/>
        <w:numPr>
          <w:ilvl w:val="0"/>
          <w:numId w:val="0"/>
        </w:numPr>
        <w:ind w:left="0" w:leftChars="0" w:firstLine="0" w:firstLineChars="0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6、其他所必需的相关材料</w:t>
      </w:r>
    </w:p>
    <w:sectPr>
      <w:pgSz w:w="11906" w:h="16838"/>
      <w:pgMar w:top="1440" w:right="1083" w:bottom="1440" w:left="1083" w:header="851" w:footer="992" w:gutter="0"/>
      <w:pgNumType w:fmt="decimal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7854087-A719-4B90-99A7-3374FA4F6B6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Times NR MT Pro Medium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宋?">
    <w:altName w:val="Malgun Gothic"/>
    <w:panose1 w:val="00000000000000000000"/>
    <w:charset w:val="81"/>
    <w:family w:val="roman"/>
    <w:pitch w:val="default"/>
    <w:sig w:usb0="00000000" w:usb1="00000000" w:usb2="0000000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兰亭黑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AA44C1F-1A03-4BBC-81DA-F6E206BD6AAF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D504402A-5CE3-47D3-B4E3-E74C5D0F28C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6F0303C0-AB62-4F8E-A8A6-D45FB454DD8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FC0A05D5-5277-4F4C-91D7-3AF8B11740A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04925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62FB9A">
                          <w:pPr>
                            <w:pStyle w:val="8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62FB9A">
                    <w:pPr>
                      <w:pStyle w:val="8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722401"/>
    <w:multiLevelType w:val="multilevel"/>
    <w:tmpl w:val="17722401"/>
    <w:lvl w:ilvl="0" w:tentative="0">
      <w:start w:val="1"/>
      <w:numFmt w:val="japaneseCounting"/>
      <w:pStyle w:val="2"/>
      <w:lvlText w:val="%1、"/>
      <w:lvlJc w:val="left"/>
      <w:pPr>
        <w:ind w:left="464" w:hanging="720"/>
      </w:pPr>
      <w:rPr>
        <w:rFonts w:hint="default"/>
      </w:rPr>
    </w:lvl>
    <w:lvl w:ilvl="1" w:tentative="0">
      <w:start w:val="1"/>
      <w:numFmt w:val="decimalEnclosedCircle"/>
      <w:lvlText w:val="%2"/>
      <w:lvlJc w:val="left"/>
      <w:pPr>
        <w:ind w:left="544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064" w:hanging="440"/>
      </w:pPr>
    </w:lvl>
    <w:lvl w:ilvl="3" w:tentative="0">
      <w:start w:val="1"/>
      <w:numFmt w:val="decimal"/>
      <w:lvlText w:val="%4."/>
      <w:lvlJc w:val="left"/>
      <w:pPr>
        <w:ind w:left="1504" w:hanging="440"/>
      </w:pPr>
    </w:lvl>
    <w:lvl w:ilvl="4" w:tentative="0">
      <w:start w:val="1"/>
      <w:numFmt w:val="lowerLetter"/>
      <w:lvlText w:val="%5)"/>
      <w:lvlJc w:val="left"/>
      <w:pPr>
        <w:ind w:left="1944" w:hanging="440"/>
      </w:pPr>
    </w:lvl>
    <w:lvl w:ilvl="5" w:tentative="0">
      <w:start w:val="1"/>
      <w:numFmt w:val="lowerRoman"/>
      <w:lvlText w:val="%6."/>
      <w:lvlJc w:val="right"/>
      <w:pPr>
        <w:ind w:left="2384" w:hanging="440"/>
      </w:pPr>
    </w:lvl>
    <w:lvl w:ilvl="6" w:tentative="0">
      <w:start w:val="1"/>
      <w:numFmt w:val="decimal"/>
      <w:lvlText w:val="%7."/>
      <w:lvlJc w:val="left"/>
      <w:pPr>
        <w:ind w:left="2824" w:hanging="440"/>
      </w:pPr>
    </w:lvl>
    <w:lvl w:ilvl="7" w:tentative="0">
      <w:start w:val="1"/>
      <w:numFmt w:val="lowerLetter"/>
      <w:lvlText w:val="%8)"/>
      <w:lvlJc w:val="left"/>
      <w:pPr>
        <w:ind w:left="3264" w:hanging="440"/>
      </w:pPr>
    </w:lvl>
    <w:lvl w:ilvl="8" w:tentative="0">
      <w:start w:val="1"/>
      <w:numFmt w:val="lowerRoman"/>
      <w:lvlText w:val="%9."/>
      <w:lvlJc w:val="right"/>
      <w:pPr>
        <w:ind w:left="3704" w:hanging="440"/>
      </w:pPr>
    </w:lvl>
  </w:abstractNum>
  <w:abstractNum w:abstractNumId="1">
    <w:nsid w:val="6EE46474"/>
    <w:multiLevelType w:val="multilevel"/>
    <w:tmpl w:val="6EE46474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75436"/>
    <w:rsid w:val="029C08D4"/>
    <w:rsid w:val="035A42B0"/>
    <w:rsid w:val="0875321F"/>
    <w:rsid w:val="09642E33"/>
    <w:rsid w:val="0AAB1FDD"/>
    <w:rsid w:val="0B7B6E53"/>
    <w:rsid w:val="0F8D526D"/>
    <w:rsid w:val="100D024F"/>
    <w:rsid w:val="146C6B60"/>
    <w:rsid w:val="15285D7F"/>
    <w:rsid w:val="157E6317"/>
    <w:rsid w:val="15D04D45"/>
    <w:rsid w:val="1B307278"/>
    <w:rsid w:val="1D197F1E"/>
    <w:rsid w:val="1D2B42FB"/>
    <w:rsid w:val="1DF9272E"/>
    <w:rsid w:val="22AA0589"/>
    <w:rsid w:val="24050543"/>
    <w:rsid w:val="244605D8"/>
    <w:rsid w:val="26C52776"/>
    <w:rsid w:val="2B71027C"/>
    <w:rsid w:val="2DAA3F84"/>
    <w:rsid w:val="2E691D1D"/>
    <w:rsid w:val="2FB07FD7"/>
    <w:rsid w:val="3A774F92"/>
    <w:rsid w:val="3CFB52B6"/>
    <w:rsid w:val="3D6469F5"/>
    <w:rsid w:val="3DBA1AA2"/>
    <w:rsid w:val="3E5C4869"/>
    <w:rsid w:val="3FCC680A"/>
    <w:rsid w:val="41007DAA"/>
    <w:rsid w:val="44CA6216"/>
    <w:rsid w:val="45DB0FAA"/>
    <w:rsid w:val="480A63EB"/>
    <w:rsid w:val="4A2362AE"/>
    <w:rsid w:val="4AFC4A60"/>
    <w:rsid w:val="4C115AA2"/>
    <w:rsid w:val="4CC21E26"/>
    <w:rsid w:val="4EFD134C"/>
    <w:rsid w:val="55CF5109"/>
    <w:rsid w:val="55ED3C3E"/>
    <w:rsid w:val="57117CB6"/>
    <w:rsid w:val="573107A3"/>
    <w:rsid w:val="5AEA704B"/>
    <w:rsid w:val="5CB31D19"/>
    <w:rsid w:val="5D66061F"/>
    <w:rsid w:val="5E8720EC"/>
    <w:rsid w:val="5EE9209B"/>
    <w:rsid w:val="62DD78C6"/>
    <w:rsid w:val="63DF4A20"/>
    <w:rsid w:val="6836555A"/>
    <w:rsid w:val="684F045C"/>
    <w:rsid w:val="699E1F48"/>
    <w:rsid w:val="6C3138A4"/>
    <w:rsid w:val="6E3767B2"/>
    <w:rsid w:val="6FC06751"/>
    <w:rsid w:val="73793F12"/>
    <w:rsid w:val="769D2894"/>
    <w:rsid w:val="794117F3"/>
    <w:rsid w:val="7BF21EE1"/>
    <w:rsid w:val="7C2C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numPr>
        <w:ilvl w:val="0"/>
        <w:numId w:val="1"/>
      </w:numPr>
      <w:spacing w:before="120" w:after="80"/>
      <w:ind w:firstLineChars="0"/>
      <w:outlineLvl w:val="0"/>
    </w:pPr>
    <w:rPr>
      <w:rFonts w:cs="Times NR MT Pro Medium" w:asciiTheme="majorHAnsi" w:hAnsiTheme="majorHAnsi"/>
      <w:b/>
      <w:bCs/>
      <w:sz w:val="28"/>
      <w:szCs w:val="48"/>
    </w:rPr>
  </w:style>
  <w:style w:type="paragraph" w:styleId="3">
    <w:name w:val="heading 2"/>
    <w:basedOn w:val="1"/>
    <w:next w:val="1"/>
    <w:unhideWhenUsed/>
    <w:qFormat/>
    <w:uiPriority w:val="9"/>
    <w:pPr>
      <w:numPr>
        <w:ilvl w:val="1"/>
        <w:numId w:val="2"/>
      </w:numPr>
      <w:spacing w:before="80" w:after="80"/>
      <w:ind w:firstLineChars="0"/>
      <w:outlineLvl w:val="1"/>
    </w:pPr>
    <w:rPr>
      <w:rFonts w:cs="Times NR MT Pro Medium" w:asciiTheme="majorHAnsi" w:hAnsiTheme="majorHAnsi"/>
      <w:b/>
      <w:bCs/>
      <w:color w:val="000000" w:themeColor="text1"/>
      <w:sz w:val="24"/>
      <w:szCs w:val="40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unhideWhenUsed/>
    <w:qFormat/>
    <w:uiPriority w:val="9"/>
    <w:pPr>
      <w:spacing w:before="160" w:after="80"/>
      <w:ind w:left="737" w:firstLine="0" w:firstLineChars="0"/>
      <w:outlineLvl w:val="2"/>
    </w:pPr>
    <w:rPr>
      <w:rFonts w:cs="Times NR MT Pro Medium" w:asciiTheme="majorHAnsi" w:hAnsiTheme="majorHAnsi"/>
      <w:sz w:val="24"/>
      <w:szCs w:val="32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unhideWhenUsed/>
    <w:qFormat/>
    <w:uiPriority w:val="39"/>
    <w:rPr>
      <w:rFonts w:ascii="Calibri" w:hAnsi="Calibri" w:eastAsia="宋体" w:cs="Times New Roman"/>
    </w:rPr>
  </w:style>
  <w:style w:type="paragraph" w:styleId="11">
    <w:name w:val="Body Text Indent 3"/>
    <w:basedOn w:val="1"/>
    <w:qFormat/>
    <w:uiPriority w:val="0"/>
    <w:pPr>
      <w:ind w:firstLine="600" w:firstLineChars="200"/>
    </w:pPr>
    <w:rPr>
      <w:color w:val="FF0000"/>
      <w:sz w:val="30"/>
      <w:szCs w:val="20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Body Text First Indent"/>
    <w:basedOn w:val="5"/>
    <w:qFormat/>
    <w:uiPriority w:val="0"/>
    <w:pPr>
      <w:widowControl/>
      <w:spacing w:after="120"/>
      <w:ind w:firstLine="420" w:firstLineChars="100"/>
      <w:jc w:val="left"/>
    </w:pPr>
    <w:rPr>
      <w:rFonts w:ascii="Times New Roman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Hyperlink"/>
    <w:basedOn w:val="16"/>
    <w:unhideWhenUsed/>
    <w:qFormat/>
    <w:uiPriority w:val="99"/>
    <w:rPr>
      <w:color w:val="0000FF"/>
      <w:u w:val="single"/>
    </w:rPr>
  </w:style>
  <w:style w:type="paragraph" w:customStyle="1" w:styleId="19">
    <w:name w:val="Body Text First Indent 21"/>
    <w:basedOn w:val="20"/>
    <w:autoRedefine/>
    <w:qFormat/>
    <w:uiPriority w:val="0"/>
    <w:pPr>
      <w:ind w:left="420" w:firstLine="420" w:firstLineChars="200"/>
    </w:pPr>
    <w:rPr>
      <w:rFonts w:eastAsia="宋?"/>
    </w:rPr>
  </w:style>
  <w:style w:type="paragraph" w:customStyle="1" w:styleId="20">
    <w:name w:val="Body Text Indent1"/>
    <w:basedOn w:val="1"/>
    <w:next w:val="21"/>
    <w:autoRedefine/>
    <w:qFormat/>
    <w:uiPriority w:val="0"/>
    <w:pPr>
      <w:ind w:left="200" w:leftChars="200"/>
    </w:pPr>
    <w:rPr>
      <w:rFonts w:ascii="Calibri" w:hAnsi="Calibri"/>
    </w:rPr>
  </w:style>
  <w:style w:type="paragraph" w:customStyle="1" w:styleId="21">
    <w:name w:val="envelope return1"/>
    <w:basedOn w:val="1"/>
    <w:autoRedefine/>
    <w:qFormat/>
    <w:uiPriority w:val="0"/>
    <w:rPr>
      <w:rFonts w:ascii="Arial" w:hAnsi="Arial"/>
    </w:r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" w:hAnsi="Times New Roman" w:eastAsia="楷体" w:cs="楷体"/>
      <w:color w:val="000000"/>
      <w:sz w:val="24"/>
      <w:szCs w:val="24"/>
      <w:lang w:val="en-US" w:eastAsia="zh-CN" w:bidi="ar-SA"/>
    </w:rPr>
  </w:style>
  <w:style w:type="paragraph" w:customStyle="1" w:styleId="23">
    <w:name w:val="列表段落1"/>
    <w:basedOn w:val="1"/>
    <w:qFormat/>
    <w:uiPriority w:val="0"/>
    <w:pPr>
      <w:ind w:firstLine="420" w:firstLineChars="200"/>
    </w:pPr>
  </w:style>
  <w:style w:type="character" w:customStyle="1" w:styleId="24">
    <w:name w:val="15"/>
    <w:basedOn w:val="16"/>
    <w:qFormat/>
    <w:uiPriority w:val="0"/>
    <w:rPr>
      <w:rFonts w:hint="default" w:ascii="Calibri" w:hAnsi="Calibri" w:cs="Calibri"/>
      <w:b/>
      <w:bCs/>
    </w:rPr>
  </w:style>
  <w:style w:type="paragraph" w:styleId="25">
    <w:name w:val="List Paragraph"/>
    <w:basedOn w:val="1"/>
    <w:qFormat/>
    <w:uiPriority w:val="34"/>
    <w:pPr>
      <w:ind w:left="720"/>
      <w:contextualSpacing/>
    </w:pPr>
  </w:style>
  <w:style w:type="character" w:customStyle="1" w:styleId="26">
    <w:name w:val="楷体 (中文) 楷体"/>
    <w:qFormat/>
    <w:uiPriority w:val="0"/>
    <w:rPr>
      <w:rFonts w:ascii="楷体" w:hAnsi="楷体" w:eastAsia="楷体"/>
      <w:kern w:val="1"/>
      <w:sz w:val="28"/>
    </w:rPr>
  </w:style>
  <w:style w:type="paragraph" w:customStyle="1" w:styleId="27">
    <w:name w:val="正文11"/>
    <w:basedOn w:val="1"/>
    <w:qFormat/>
    <w:uiPriority w:val="0"/>
    <w:pPr>
      <w:ind w:firstLine="560" w:firstLineChars="200"/>
    </w:pPr>
    <w:rPr>
      <w:rFonts w:ascii="宋体" w:hAnsi="宋体" w:eastAsia="宋体" w:cs="Times New Roman"/>
      <w:sz w:val="28"/>
      <w:szCs w:val="28"/>
    </w:rPr>
  </w:style>
  <w:style w:type="paragraph" w:customStyle="1" w:styleId="28">
    <w:name w:val="0正文"/>
    <w:qFormat/>
    <w:uiPriority w:val="0"/>
    <w:pPr>
      <w:spacing w:line="360" w:lineRule="exact"/>
      <w:ind w:firstLine="200" w:firstLineChars="20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982de89b-1713-4cf2-b15a-0936f1d08aab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22E8766</paraID>
      <start>0</start>
      <end>2</end>
      <status>unmodified</status>
      <modifiedWord/>
      <trackRevisions>false</trackRevisions>
    </reviewItem>
    <reviewItem>
      <errorID>6e6f408e-7b1c-4a54-903c-7ef3e7e0fc89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6441606B</paraID>
      <start>0</start>
      <end>2</end>
      <status>unmodified</status>
      <modifiedWord/>
      <trackRevisions>false</trackRevisions>
    </reviewItem>
    <reviewItem>
      <errorID>4367791a-001a-4901-8ad9-ee606367275a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3A3BF07A</paraID>
      <start>0</start>
      <end>2</end>
      <status>unmodified</status>
      <modifiedWord/>
      <trackRevisions>false</trackRevisions>
    </reviewItem>
    <reviewItem>
      <errorID>08beaf9c-bb8c-4076-955c-69072b362545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4139060B</paraID>
      <start>104</start>
      <end>105</end>
      <status>unmodified</status>
      <modifiedWord/>
      <trackRevisions>false</trackRevisions>
    </reviewItem>
    <reviewItem>
      <errorID>d5407e11-114b-4fdb-b6a3-863c4eef9f7d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4139060B</paraID>
      <start>113</start>
      <end>114</end>
      <status>unmodified</status>
      <modifiedWord/>
      <trackRevisions>false</trackRevisions>
    </reviewItem>
    <reviewItem>
      <errorID>1dea9e55-c9ce-46e3-8883-7e4e1c062920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20065B4B</paraID>
      <start>5</start>
      <end>6</end>
      <status>unmodified</status>
      <modifiedWord/>
      <trackRevisions>false</trackRevisions>
    </reviewItem>
    <reviewItem>
      <errorID>d226fc0f-e3ae-4f78-a1f6-68d7ab9e1dcc</errorID>
      <errorWord>震动</errorWord>
      <group>L1_Word</group>
      <groupName>字词问题</groupName>
      <ability>L2_Typo</ability>
      <abilityName>字词错误</abilityName>
      <candidateList>
        <item>振动</item>
      </candidateList>
      <explain>存在发音相同字词的误用。</explain>
      <paraID>2F4F1B47</paraID>
      <start>2</start>
      <end>4</end>
      <status>unmodified</status>
      <modifiedWord/>
      <trackRevisions>false</trackRevisions>
    </reviewItem>
    <reviewItem>
      <errorID>b9139fee-8f4b-4f63-a989-c115ae15314e</errorID>
      <errorWord>～</errorWord>
      <group>L1_Format</group>
      <groupName>格式问题</groupName>
      <ability>L2_HalfPunc_CN</ability>
      <abilityName>全半角问题</abilityName>
      <candidateList>
        <item>~</item>
      </candidateList>
      <explain>文本全半角错误。</explain>
      <paraID>44CF0BF7</paraID>
      <start>2</start>
      <end>3</end>
      <status>unmodified</status>
      <modifiedWord/>
      <trackRevisions>false</trackRevisions>
    </reviewItem>
    <reviewItem>
      <errorID>93a15543-eedc-464c-85fa-4b2c414a286c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5983229F</paraID>
      <start>53</start>
      <end>54</end>
      <status>unmodified</status>
      <modifiedWord/>
      <trackRevisions>false</trackRevisions>
    </reviewItem>
    <reviewItem>
      <errorID>c6054b61-db20-48b0-b622-88b7a8a7f7df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5983229F</paraID>
      <start>63</start>
      <end>64</end>
      <status>unmodified</status>
      <modifiedWord/>
      <trackRevisions>false</trackRevisions>
    </reviewItem>
    <reviewItem>
      <errorID>5b5aa9af-1da8-4029-801a-c85a891dc2ec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117C4525</paraID>
      <start>0</start>
      <end>2</end>
      <status>unmodified</status>
      <modifiedWord/>
      <trackRevisions>false</trackRevisions>
    </reviewItem>
    <reviewItem>
      <errorID>8a678b64-be24-4c10-8b64-d08a0fde3ca2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123C9161</paraID>
      <start>0</start>
      <end>2</end>
      <status>unmodified</status>
      <modifiedWord/>
      <trackRevisions>false</trackRevisions>
    </reviewItem>
    <reviewItem>
      <errorID>a3830e96-7b7c-4bfa-8d70-fa5f435adde9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6163A2E2</paraID>
      <start>0</start>
      <end>2</end>
      <status>unmodified</status>
      <modifiedWord/>
      <trackRevisions>false</trackRevisions>
    </reviewItem>
    <reviewItem>
      <errorID>e03615a2-ceed-4f4b-be9a-a866f9c3fa5a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75BA9CDB</paraID>
      <start>0</start>
      <end>2</end>
      <status>unmodified</status>
      <modifiedWord/>
      <trackRevisions>false</trackRevisions>
    </reviewItem>
    <reviewItem>
      <errorID>dcdd46e2-4023-493f-9896-5d7c84ecf2a8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1BB2A8EF</paraID>
      <start>0</start>
      <end>2</end>
      <status>unmodified</status>
      <modifiedWord/>
      <trackRevisions>false</trackRevisions>
    </reviewItem>
    <reviewItem>
      <errorID>73fe4c33-e6a3-4585-8895-81958649801b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32423874</paraID>
      <start>0</start>
      <end>2</end>
      <status>unmodified</status>
      <modifiedWord/>
      <trackRevisions>false</trackRevisions>
    </reviewItem>
    <reviewItem>
      <errorID>4c9572f3-9fcb-49f1-8426-d61416283a17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47143B82</paraID>
      <start>0</start>
      <end>2</end>
      <status>unmodified</status>
      <modifiedWord/>
      <trackRevisions>false</trackRevisions>
    </reviewItem>
    <reviewItem>
      <errorID>0f03abd3-b813-4beb-8abb-56f8e2b86ec0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3644FF0B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740aa9d-5682-42e6-aa84-7130752bd9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1381</Words>
  <Characters>1550</Characters>
  <Lines>0</Lines>
  <Paragraphs>0</Paragraphs>
  <TotalTime>0</TotalTime>
  <ScaleCrop>false</ScaleCrop>
  <LinksUpToDate>false</LinksUpToDate>
  <CharactersWithSpaces>1556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2025-04-03T05:09:00Z</dcterms:created>
  <dc:creator>HP</dc:creator>
  <cp:lastModifiedBy>仲杰</cp:lastModifiedBy>
  <dcterms:modified xsi:type="dcterms:W3CDTF">2026-08-31T06:37:49Z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eyJoZGlkIjoiZTQ4MzhlZGU2YmZhMGFjMjVlNGJjM2ZlYTdmZDg2NTAiLCJ1c2VySWQiOiIyOTgyOTgyOTEifQ==</vt:lpwstr>
  </property>
  <property fmtid="{D5CDD505-2E9C-101B-9397-08002B2CF9AE}" pid="4" name="ICV">
    <vt:lpwstr>2BFD31D5F3FB4B709DBC969892577809_12</vt:lpwstr>
  </property>
</Properties>
</file>