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EF" w:rsidRPr="00842899" w:rsidRDefault="004A1A53" w:rsidP="00842899">
      <w:pPr>
        <w:jc w:val="center"/>
        <w:rPr>
          <w:rFonts w:ascii="微软雅黑" w:eastAsia="微软雅黑" w:hAnsi="微软雅黑"/>
          <w:sz w:val="24"/>
          <w:szCs w:val="24"/>
        </w:rPr>
      </w:pPr>
      <w:r w:rsidRPr="00842899">
        <w:rPr>
          <w:rFonts w:ascii="微软雅黑" w:eastAsia="微软雅黑" w:hAnsi="微软雅黑" w:hint="eastAsia"/>
          <w:sz w:val="24"/>
          <w:szCs w:val="24"/>
        </w:rPr>
        <w:t>服务器</w:t>
      </w:r>
      <w:r w:rsidR="00842899">
        <w:rPr>
          <w:rFonts w:ascii="微软雅黑" w:eastAsia="微软雅黑" w:hAnsi="微软雅黑" w:hint="eastAsia"/>
          <w:sz w:val="24"/>
          <w:szCs w:val="24"/>
        </w:rPr>
        <w:t>（1台）</w:t>
      </w:r>
      <w:r w:rsidRPr="00842899">
        <w:rPr>
          <w:rFonts w:ascii="微软雅黑" w:eastAsia="微软雅黑" w:hAnsi="微软雅黑" w:hint="eastAsia"/>
          <w:sz w:val="24"/>
          <w:szCs w:val="24"/>
        </w:rPr>
        <w:t>配置参数</w:t>
      </w:r>
    </w:p>
    <w:tbl>
      <w:tblPr>
        <w:tblW w:w="98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1654"/>
        <w:gridCol w:w="7364"/>
      </w:tblGrid>
      <w:tr w:rsidR="00CF7CEF" w:rsidRPr="00842899">
        <w:trPr>
          <w:trHeight w:val="150"/>
        </w:trPr>
        <w:tc>
          <w:tcPr>
            <w:tcW w:w="801" w:type="dxa"/>
          </w:tcPr>
          <w:p w:rsidR="00CF7CEF" w:rsidRPr="00842899" w:rsidRDefault="004A1A53">
            <w:pPr>
              <w:rPr>
                <w:rFonts w:ascii="微软雅黑" w:eastAsia="微软雅黑" w:hAnsi="微软雅黑"/>
                <w:b/>
                <w:bCs/>
              </w:rPr>
            </w:pPr>
            <w:r w:rsidRPr="00842899">
              <w:rPr>
                <w:rFonts w:ascii="微软雅黑" w:eastAsia="微软雅黑" w:hAnsi="微软雅黑" w:hint="eastAsia"/>
                <w:b/>
                <w:bCs/>
              </w:rPr>
              <w:t>序号</w:t>
            </w:r>
          </w:p>
        </w:tc>
        <w:tc>
          <w:tcPr>
            <w:tcW w:w="1654" w:type="dxa"/>
            <w:shd w:val="clear" w:color="auto" w:fill="auto"/>
            <w:vAlign w:val="center"/>
          </w:tcPr>
          <w:p w:rsidR="00CF7CEF" w:rsidRPr="00842899" w:rsidRDefault="004A1A53">
            <w:pPr>
              <w:rPr>
                <w:rFonts w:ascii="微软雅黑" w:eastAsia="微软雅黑" w:hAnsi="微软雅黑"/>
                <w:b/>
                <w:bCs/>
              </w:rPr>
            </w:pPr>
            <w:r w:rsidRPr="00842899">
              <w:rPr>
                <w:rFonts w:ascii="微软雅黑" w:eastAsia="微软雅黑" w:hAnsi="微软雅黑"/>
                <w:b/>
                <w:bCs/>
              </w:rPr>
              <w:t>指标</w:t>
            </w:r>
          </w:p>
        </w:tc>
        <w:tc>
          <w:tcPr>
            <w:tcW w:w="7364" w:type="dxa"/>
            <w:vAlign w:val="center"/>
          </w:tcPr>
          <w:p w:rsidR="00CF7CEF" w:rsidRPr="00842899" w:rsidRDefault="004A1A53">
            <w:pPr>
              <w:rPr>
                <w:rFonts w:ascii="微软雅黑" w:eastAsia="微软雅黑" w:hAnsi="微软雅黑"/>
                <w:b/>
                <w:bCs/>
              </w:rPr>
            </w:pPr>
            <w:r w:rsidRPr="00842899">
              <w:rPr>
                <w:rFonts w:ascii="微软雅黑" w:eastAsia="微软雅黑" w:hAnsi="微软雅黑" w:hint="eastAsia"/>
                <w:b/>
                <w:bCs/>
              </w:rPr>
              <w:t>指标</w:t>
            </w:r>
            <w:r w:rsidRPr="00842899">
              <w:rPr>
                <w:rFonts w:ascii="微软雅黑" w:eastAsia="微软雅黑" w:hAnsi="微软雅黑"/>
                <w:b/>
                <w:bCs/>
              </w:rPr>
              <w:t>要求</w:t>
            </w:r>
          </w:p>
        </w:tc>
      </w:tr>
      <w:tr w:rsidR="00CF7CEF" w:rsidRPr="00842899">
        <w:trPr>
          <w:trHeight w:val="150"/>
        </w:trPr>
        <w:tc>
          <w:tcPr>
            <w:tcW w:w="801" w:type="dxa"/>
            <w:vMerge w:val="restart"/>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1</w:t>
            </w:r>
          </w:p>
        </w:tc>
        <w:tc>
          <w:tcPr>
            <w:tcW w:w="1654" w:type="dxa"/>
            <w:vMerge w:val="restart"/>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基本</w:t>
            </w:r>
            <w:r w:rsidRPr="00842899">
              <w:rPr>
                <w:rFonts w:ascii="微软雅黑" w:eastAsia="微软雅黑" w:hAnsi="微软雅黑"/>
              </w:rPr>
              <w:t>要求</w:t>
            </w:r>
          </w:p>
        </w:tc>
        <w:tc>
          <w:tcPr>
            <w:tcW w:w="7364" w:type="dxa"/>
            <w:vAlign w:val="center"/>
          </w:tcPr>
          <w:p w:rsidR="00CF7CEF" w:rsidRPr="00842899" w:rsidRDefault="004A1A53">
            <w:pPr>
              <w:rPr>
                <w:rFonts w:ascii="微软雅黑" w:eastAsia="微软雅黑" w:hAnsi="微软雅黑"/>
              </w:rPr>
            </w:pPr>
            <w:r w:rsidRPr="00842899">
              <w:rPr>
                <w:rFonts w:ascii="微软雅黑" w:eastAsia="微软雅黑" w:hAnsi="微软雅黑"/>
              </w:rPr>
              <w:t>2U机架式</w:t>
            </w:r>
          </w:p>
        </w:tc>
      </w:tr>
      <w:tr w:rsidR="00CF7CEF" w:rsidRPr="00842899">
        <w:trPr>
          <w:trHeight w:val="150"/>
        </w:trPr>
        <w:tc>
          <w:tcPr>
            <w:tcW w:w="801" w:type="dxa"/>
            <w:vMerge/>
            <w:vAlign w:val="center"/>
          </w:tcPr>
          <w:p w:rsidR="00CF7CEF" w:rsidRPr="00842899" w:rsidRDefault="00CF7CEF">
            <w:pPr>
              <w:rPr>
                <w:rFonts w:ascii="微软雅黑" w:eastAsia="微软雅黑" w:hAnsi="微软雅黑"/>
              </w:rPr>
            </w:pPr>
          </w:p>
        </w:tc>
        <w:tc>
          <w:tcPr>
            <w:tcW w:w="1654" w:type="dxa"/>
            <w:vMerge/>
            <w:shd w:val="clear" w:color="auto" w:fill="auto"/>
            <w:vAlign w:val="center"/>
          </w:tcPr>
          <w:p w:rsidR="00CF7CEF" w:rsidRPr="00842899" w:rsidRDefault="00CF7CEF">
            <w:pPr>
              <w:rPr>
                <w:rFonts w:ascii="微软雅黑" w:eastAsia="微软雅黑" w:hAnsi="微软雅黑"/>
              </w:rPr>
            </w:pPr>
          </w:p>
        </w:tc>
        <w:tc>
          <w:tcPr>
            <w:tcW w:w="7364"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数量：1台</w:t>
            </w:r>
          </w:p>
        </w:tc>
      </w:tr>
      <w:tr w:rsidR="00CF7CEF" w:rsidRPr="00842899">
        <w:trPr>
          <w:trHeight w:val="372"/>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2</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芯片组</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Intel C622芯片组，支持Intel至强可扩展处理器家族铜牌、银牌、金牌及铂金处理器产品。</w:t>
            </w:r>
          </w:p>
        </w:tc>
      </w:tr>
      <w:tr w:rsidR="00CF7CEF" w:rsidRPr="00842899">
        <w:trPr>
          <w:trHeight w:val="372"/>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3</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cs="宋体" w:hint="eastAsia"/>
                <w:color w:val="000000"/>
              </w:rPr>
              <w:t>★</w:t>
            </w:r>
            <w:r w:rsidRPr="00842899">
              <w:rPr>
                <w:rFonts w:ascii="微软雅黑" w:eastAsia="微软雅黑" w:hAnsi="微软雅黑" w:hint="eastAsia"/>
              </w:rPr>
              <w:t>CPU</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2颗Intel Xeon 5118 12C/105W/2.3GHz，最大可支持至28核150W处理器</w:t>
            </w:r>
          </w:p>
        </w:tc>
      </w:tr>
      <w:tr w:rsidR="00CF7CEF" w:rsidRPr="00842899">
        <w:trPr>
          <w:trHeight w:val="156"/>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4</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内存</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4*64G TruDDR4 2666MHz，最大支持≥1T内存扩展</w:t>
            </w:r>
          </w:p>
        </w:tc>
      </w:tr>
      <w:tr w:rsidR="00CF7CEF" w:rsidRPr="00842899">
        <w:trPr>
          <w:trHeight w:val="144"/>
        </w:trPr>
        <w:tc>
          <w:tcPr>
            <w:tcW w:w="801" w:type="dxa"/>
            <w:vMerge w:val="restart"/>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5</w:t>
            </w:r>
          </w:p>
        </w:tc>
        <w:tc>
          <w:tcPr>
            <w:tcW w:w="1654" w:type="dxa"/>
            <w:vMerge w:val="restart"/>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cs="宋体" w:hint="eastAsia"/>
                <w:color w:val="000000"/>
              </w:rPr>
              <w:t>★</w:t>
            </w:r>
            <w:r w:rsidRPr="00842899">
              <w:rPr>
                <w:rFonts w:ascii="微软雅黑" w:eastAsia="微软雅黑" w:hAnsi="微软雅黑" w:hint="eastAsia"/>
              </w:rPr>
              <w:t>硬盘</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本次配置1块2TB PCI-E SSD 硬盘</w:t>
            </w:r>
          </w:p>
        </w:tc>
      </w:tr>
      <w:tr w:rsidR="00CF7CEF" w:rsidRPr="00842899">
        <w:trPr>
          <w:trHeight w:val="192"/>
        </w:trPr>
        <w:tc>
          <w:tcPr>
            <w:tcW w:w="801" w:type="dxa"/>
            <w:vMerge/>
            <w:vAlign w:val="center"/>
          </w:tcPr>
          <w:p w:rsidR="00CF7CEF" w:rsidRPr="00842899" w:rsidRDefault="00CF7CEF">
            <w:pPr>
              <w:rPr>
                <w:rFonts w:ascii="微软雅黑" w:eastAsia="微软雅黑" w:hAnsi="微软雅黑"/>
              </w:rPr>
            </w:pPr>
          </w:p>
        </w:tc>
        <w:tc>
          <w:tcPr>
            <w:tcW w:w="1654" w:type="dxa"/>
            <w:vMerge/>
            <w:shd w:val="clear" w:color="auto" w:fill="auto"/>
            <w:vAlign w:val="center"/>
          </w:tcPr>
          <w:p w:rsidR="00CF7CEF" w:rsidRPr="00842899" w:rsidRDefault="00CF7CEF">
            <w:pPr>
              <w:rPr>
                <w:rFonts w:ascii="微软雅黑" w:eastAsia="微软雅黑" w:hAnsi="微软雅黑"/>
              </w:rPr>
            </w:pP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最大支持8块3.5 英寸或16块2.5英寸热插拔SAS/SATA/SSD/PCIe SSD硬盘；支持内置两个M.2且支持RAID 0/1，支持4个NVME接口</w:t>
            </w:r>
          </w:p>
        </w:tc>
      </w:tr>
      <w:tr w:rsidR="00CF7CEF" w:rsidRPr="00842899">
        <w:trPr>
          <w:trHeight w:val="144"/>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rPr>
              <w:t>6</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网卡与HBA卡</w:t>
            </w:r>
          </w:p>
        </w:tc>
        <w:tc>
          <w:tcPr>
            <w:tcW w:w="7364" w:type="dxa"/>
            <w:shd w:val="clear" w:color="auto" w:fill="auto"/>
          </w:tcPr>
          <w:p w:rsidR="00CF7CEF" w:rsidRPr="00842899" w:rsidRDefault="004A1A53">
            <w:pPr>
              <w:rPr>
                <w:rFonts w:ascii="微软雅黑" w:eastAsia="微软雅黑" w:hAnsi="微软雅黑"/>
              </w:rPr>
            </w:pPr>
            <w:r w:rsidRPr="00842899">
              <w:rPr>
                <w:rFonts w:ascii="微软雅黑" w:eastAsia="微软雅黑" w:hAnsi="微软雅黑" w:hint="eastAsia"/>
              </w:rPr>
              <w:t>2口千兆以太网控制器，1个专用的管理端口</w:t>
            </w:r>
          </w:p>
        </w:tc>
      </w:tr>
      <w:tr w:rsidR="00CF7CEF" w:rsidRPr="00842899">
        <w:trPr>
          <w:trHeight w:val="431"/>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rPr>
              <w:t>7</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电源</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实配电源输出功率≥750W 80+铂金电源，1+1热插拔冗余电源，最大支持≥1600W 80 PLUS电源，支持240V高压直流</w:t>
            </w:r>
          </w:p>
        </w:tc>
      </w:tr>
      <w:tr w:rsidR="00CF7CEF" w:rsidRPr="00842899">
        <w:trPr>
          <w:trHeight w:val="431"/>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rPr>
              <w:lastRenderedPageBreak/>
              <w:t>8</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配件</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机架安装滑动导轨,DVDRW</w:t>
            </w:r>
          </w:p>
        </w:tc>
      </w:tr>
      <w:tr w:rsidR="00CF7CEF" w:rsidRPr="00842899">
        <w:trPr>
          <w:trHeight w:val="431"/>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9</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操作系统</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WINDOWS SERVER  2012R2标准版（提供正版介质）</w:t>
            </w:r>
          </w:p>
        </w:tc>
      </w:tr>
      <w:tr w:rsidR="00CF7CEF" w:rsidRPr="00842899">
        <w:trPr>
          <w:trHeight w:val="310"/>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10</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cs="宋体" w:hint="eastAsia"/>
                <w:color w:val="000000"/>
              </w:rPr>
              <w:t>★</w:t>
            </w:r>
            <w:r w:rsidRPr="00842899">
              <w:rPr>
                <w:rFonts w:ascii="微软雅黑" w:eastAsia="微软雅黑" w:hAnsi="微软雅黑" w:hint="eastAsia"/>
              </w:rPr>
              <w:t>安全</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配置一块TCM可加信模块</w:t>
            </w:r>
          </w:p>
        </w:tc>
      </w:tr>
      <w:tr w:rsidR="00CF7CEF" w:rsidRPr="00842899">
        <w:trPr>
          <w:trHeight w:val="310"/>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rPr>
              <w:t>11</w:t>
            </w:r>
          </w:p>
        </w:tc>
        <w:tc>
          <w:tcPr>
            <w:tcW w:w="1654" w:type="dxa"/>
            <w:shd w:val="clear" w:color="auto" w:fill="auto"/>
            <w:vAlign w:val="center"/>
          </w:tcPr>
          <w:p w:rsidR="00CF7CEF" w:rsidRPr="00842899" w:rsidRDefault="004A1A53">
            <w:pPr>
              <w:rPr>
                <w:rFonts w:ascii="微软雅黑" w:eastAsia="微软雅黑" w:hAnsi="微软雅黑" w:cs="宋体"/>
                <w:color w:val="000000"/>
              </w:rPr>
            </w:pPr>
            <w:r w:rsidRPr="00842899">
              <w:rPr>
                <w:rFonts w:ascii="微软雅黑" w:eastAsia="微软雅黑" w:hAnsi="微软雅黑" w:cs="宋体" w:hint="eastAsia"/>
                <w:color w:val="000000"/>
              </w:rPr>
              <w:t>冷却系统</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支持4个或以上冗余热插拔系统风扇；</w:t>
            </w:r>
          </w:p>
        </w:tc>
      </w:tr>
      <w:tr w:rsidR="00CF7CEF" w:rsidRPr="00842899">
        <w:trPr>
          <w:trHeight w:val="310"/>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12</w:t>
            </w:r>
          </w:p>
        </w:tc>
        <w:tc>
          <w:tcPr>
            <w:tcW w:w="1654" w:type="dxa"/>
            <w:shd w:val="clear" w:color="auto" w:fill="auto"/>
            <w:vAlign w:val="center"/>
          </w:tcPr>
          <w:p w:rsidR="00CF7CEF" w:rsidRPr="00842899" w:rsidRDefault="004A1A53">
            <w:pPr>
              <w:rPr>
                <w:rFonts w:ascii="微软雅黑" w:eastAsia="微软雅黑" w:hAnsi="微软雅黑" w:cs="宋体"/>
                <w:color w:val="000000"/>
              </w:rPr>
            </w:pPr>
            <w:r w:rsidRPr="00842899">
              <w:rPr>
                <w:rFonts w:ascii="微软雅黑" w:eastAsia="微软雅黑" w:hAnsi="微软雅黑" w:cs="宋体" w:hint="eastAsia"/>
                <w:color w:val="000000"/>
              </w:rPr>
              <w:t>I/O扩展</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I/O扩展最大支持≥6个PCIe 3.0插槽；</w:t>
            </w:r>
          </w:p>
        </w:tc>
      </w:tr>
      <w:tr w:rsidR="00CF7CEF" w:rsidRPr="00842899">
        <w:trPr>
          <w:trHeight w:val="310"/>
        </w:trPr>
        <w:tc>
          <w:tcPr>
            <w:tcW w:w="801" w:type="dxa"/>
            <w:vMerge w:val="restart"/>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13</w:t>
            </w:r>
          </w:p>
        </w:tc>
        <w:tc>
          <w:tcPr>
            <w:tcW w:w="1654" w:type="dxa"/>
            <w:vMerge w:val="restart"/>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管理</w:t>
            </w: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cs="宋体" w:hint="eastAsia"/>
                <w:color w:val="000000"/>
                <w:kern w:val="0"/>
                <w:szCs w:val="24"/>
              </w:rPr>
              <w:t>▲</w:t>
            </w:r>
            <w:r w:rsidRPr="00842899">
              <w:rPr>
                <w:rFonts w:ascii="微软雅黑" w:eastAsia="微软雅黑" w:hAnsi="微软雅黑" w:hint="eastAsia"/>
              </w:rPr>
              <w:t xml:space="preserve">配置 </w:t>
            </w:r>
            <w:proofErr w:type="spellStart"/>
            <w:r w:rsidRPr="00842899">
              <w:rPr>
                <w:rFonts w:ascii="微软雅黑" w:eastAsia="微软雅黑" w:hAnsi="微软雅黑" w:hint="eastAsia"/>
              </w:rPr>
              <w:t>XClarity</w:t>
            </w:r>
            <w:proofErr w:type="spellEnd"/>
            <w:r w:rsidRPr="00842899">
              <w:rPr>
                <w:rFonts w:ascii="微软雅黑" w:eastAsia="微软雅黑" w:hAnsi="微软雅黑" w:hint="eastAsia"/>
              </w:rPr>
              <w:t xml:space="preserve"> 控制器标准型到企业级升级，系统管理软件：中文管理界面，要求提供（但不限于）以下功能（需提供此系统管理软件的软件著作权登记证书复印件（或扫描件）和软件官方下载网址链接并加盖原厂公章）</w:t>
            </w:r>
          </w:p>
        </w:tc>
      </w:tr>
      <w:tr w:rsidR="00CF7CEF" w:rsidRPr="00842899">
        <w:trPr>
          <w:trHeight w:val="310"/>
        </w:trPr>
        <w:tc>
          <w:tcPr>
            <w:tcW w:w="801" w:type="dxa"/>
            <w:vMerge/>
            <w:vAlign w:val="center"/>
          </w:tcPr>
          <w:p w:rsidR="00CF7CEF" w:rsidRPr="00842899" w:rsidRDefault="00CF7CEF">
            <w:pPr>
              <w:rPr>
                <w:rFonts w:ascii="微软雅黑" w:eastAsia="微软雅黑" w:hAnsi="微软雅黑"/>
              </w:rPr>
            </w:pPr>
          </w:p>
        </w:tc>
        <w:tc>
          <w:tcPr>
            <w:tcW w:w="1654" w:type="dxa"/>
            <w:vMerge/>
            <w:shd w:val="clear" w:color="auto" w:fill="auto"/>
            <w:vAlign w:val="center"/>
          </w:tcPr>
          <w:p w:rsidR="00CF7CEF" w:rsidRPr="00842899" w:rsidRDefault="00CF7CEF">
            <w:pPr>
              <w:rPr>
                <w:rFonts w:ascii="微软雅黑" w:eastAsia="微软雅黑" w:hAnsi="微软雅黑"/>
              </w:rPr>
            </w:pP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提供硬件集中式资源管理系统，可简化基础结构管理、加快响应和提高硬件系统可用性，可自动发现、清点、跟踪、监控和配置服务器、网络和存储硬件</w:t>
            </w:r>
          </w:p>
        </w:tc>
      </w:tr>
      <w:tr w:rsidR="00CF7CEF" w:rsidRPr="00842899">
        <w:trPr>
          <w:trHeight w:val="310"/>
        </w:trPr>
        <w:tc>
          <w:tcPr>
            <w:tcW w:w="801" w:type="dxa"/>
            <w:vMerge/>
            <w:vAlign w:val="center"/>
          </w:tcPr>
          <w:p w:rsidR="00CF7CEF" w:rsidRPr="00842899" w:rsidRDefault="00CF7CEF">
            <w:pPr>
              <w:rPr>
                <w:rFonts w:ascii="微软雅黑" w:eastAsia="微软雅黑" w:hAnsi="微软雅黑"/>
              </w:rPr>
            </w:pPr>
          </w:p>
        </w:tc>
        <w:tc>
          <w:tcPr>
            <w:tcW w:w="1654" w:type="dxa"/>
            <w:vMerge/>
            <w:shd w:val="clear" w:color="auto" w:fill="auto"/>
            <w:vAlign w:val="center"/>
          </w:tcPr>
          <w:p w:rsidR="00CF7CEF" w:rsidRPr="00842899" w:rsidRDefault="00CF7CEF">
            <w:pPr>
              <w:rPr>
                <w:rFonts w:ascii="微软雅黑" w:eastAsia="微软雅黑" w:hAnsi="微软雅黑"/>
              </w:rPr>
            </w:pP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硬件管理：可免代理进行硬件管理，可自动发现可管理的设备（包括服务器、网络和存储硬件），收集受管设备的清单数据，使受管硬件清单及状态一目了然，包括查看状态和属性、配置系统和网络设置、启动管理界面、打开和关闭电源以及远程控制；展示机架视图将受管设备进行分组，以反映数据中心内真实的机架安装情况。</w:t>
            </w:r>
          </w:p>
        </w:tc>
      </w:tr>
      <w:tr w:rsidR="00CF7CEF" w:rsidRPr="00842899">
        <w:trPr>
          <w:trHeight w:val="310"/>
        </w:trPr>
        <w:tc>
          <w:tcPr>
            <w:tcW w:w="801" w:type="dxa"/>
            <w:vMerge/>
            <w:vAlign w:val="center"/>
          </w:tcPr>
          <w:p w:rsidR="00CF7CEF" w:rsidRPr="00842899" w:rsidRDefault="00CF7CEF">
            <w:pPr>
              <w:rPr>
                <w:rFonts w:ascii="微软雅黑" w:eastAsia="微软雅黑" w:hAnsi="微软雅黑"/>
              </w:rPr>
            </w:pPr>
          </w:p>
        </w:tc>
        <w:tc>
          <w:tcPr>
            <w:tcW w:w="1654" w:type="dxa"/>
            <w:vMerge/>
            <w:shd w:val="clear" w:color="auto" w:fill="auto"/>
            <w:vAlign w:val="center"/>
          </w:tcPr>
          <w:p w:rsidR="00CF7CEF" w:rsidRPr="00842899" w:rsidRDefault="00CF7CEF">
            <w:pPr>
              <w:rPr>
                <w:rFonts w:ascii="微软雅黑" w:eastAsia="微软雅黑" w:hAnsi="微软雅黑"/>
              </w:rPr>
            </w:pP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硬件监控：可集中查看从受管设备生成的所有事件和警报，事件或警报将传递到集中管理平台，并显示在事件或警报日志中，可从仪表板和状态栏中查看所</w:t>
            </w:r>
            <w:r w:rsidRPr="00842899">
              <w:rPr>
                <w:rFonts w:ascii="微软雅黑" w:eastAsia="微软雅黑" w:hAnsi="微软雅黑" w:hint="eastAsia"/>
              </w:rPr>
              <w:lastRenderedPageBreak/>
              <w:t>有事件和警报的摘要，同时可查看特定设备的警报和事件详细信息。</w:t>
            </w:r>
          </w:p>
        </w:tc>
      </w:tr>
      <w:tr w:rsidR="00CF7CEF" w:rsidRPr="00842899">
        <w:trPr>
          <w:trHeight w:val="310"/>
        </w:trPr>
        <w:tc>
          <w:tcPr>
            <w:tcW w:w="801" w:type="dxa"/>
            <w:vMerge/>
            <w:vAlign w:val="center"/>
          </w:tcPr>
          <w:p w:rsidR="00CF7CEF" w:rsidRPr="00842899" w:rsidRDefault="00CF7CEF">
            <w:pPr>
              <w:rPr>
                <w:rFonts w:ascii="微软雅黑" w:eastAsia="微软雅黑" w:hAnsi="微软雅黑"/>
              </w:rPr>
            </w:pPr>
          </w:p>
        </w:tc>
        <w:tc>
          <w:tcPr>
            <w:tcW w:w="1654" w:type="dxa"/>
            <w:vMerge/>
            <w:shd w:val="clear" w:color="auto" w:fill="auto"/>
            <w:vAlign w:val="center"/>
          </w:tcPr>
          <w:p w:rsidR="00CF7CEF" w:rsidRPr="00842899" w:rsidRDefault="00CF7CEF">
            <w:pPr>
              <w:rPr>
                <w:rFonts w:ascii="微软雅黑" w:eastAsia="微软雅黑" w:hAnsi="微软雅黑"/>
              </w:rPr>
            </w:pP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配置管理：可使用一致的配置快速配置和预先配置所有服务器。</w:t>
            </w:r>
          </w:p>
        </w:tc>
      </w:tr>
      <w:tr w:rsidR="00CF7CEF" w:rsidRPr="00842899">
        <w:trPr>
          <w:trHeight w:val="310"/>
        </w:trPr>
        <w:tc>
          <w:tcPr>
            <w:tcW w:w="801" w:type="dxa"/>
            <w:vMerge/>
            <w:vAlign w:val="center"/>
          </w:tcPr>
          <w:p w:rsidR="00CF7CEF" w:rsidRPr="00842899" w:rsidRDefault="00CF7CEF">
            <w:pPr>
              <w:rPr>
                <w:rFonts w:ascii="微软雅黑" w:eastAsia="微软雅黑" w:hAnsi="微软雅黑"/>
              </w:rPr>
            </w:pPr>
          </w:p>
        </w:tc>
        <w:tc>
          <w:tcPr>
            <w:tcW w:w="1654" w:type="dxa"/>
            <w:vMerge/>
            <w:shd w:val="clear" w:color="auto" w:fill="auto"/>
            <w:vAlign w:val="center"/>
          </w:tcPr>
          <w:p w:rsidR="00CF7CEF" w:rsidRPr="00842899" w:rsidRDefault="00CF7CEF">
            <w:pPr>
              <w:rPr>
                <w:rFonts w:ascii="微软雅黑" w:eastAsia="微软雅黑" w:hAnsi="微软雅黑"/>
              </w:rPr>
            </w:pPr>
          </w:p>
        </w:tc>
        <w:tc>
          <w:tcPr>
            <w:tcW w:w="736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故障定位：支持针对处理器，内存，内部存储，风扇，电源，阵列卡等关键部件的故障预报警机制。支持针对处理器，内存插槽，风扇，电源，CPU板的LED故障报警指示灯支持可选的手机故障诊断面板。</w:t>
            </w:r>
          </w:p>
        </w:tc>
      </w:tr>
      <w:tr w:rsidR="00CF7CEF" w:rsidRPr="00842899">
        <w:trPr>
          <w:trHeight w:val="310"/>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14</w:t>
            </w:r>
          </w:p>
        </w:tc>
        <w:tc>
          <w:tcPr>
            <w:tcW w:w="1654" w:type="dxa"/>
            <w:shd w:val="clear" w:color="auto" w:fill="auto"/>
            <w:vAlign w:val="center"/>
          </w:tcPr>
          <w:p w:rsidR="00CF7CEF" w:rsidRPr="00842899" w:rsidRDefault="004A1A53">
            <w:pPr>
              <w:rPr>
                <w:rFonts w:ascii="微软雅黑" w:eastAsia="微软雅黑" w:hAnsi="微软雅黑"/>
              </w:rPr>
            </w:pPr>
            <w:r w:rsidRPr="00842899">
              <w:rPr>
                <w:rFonts w:ascii="微软雅黑" w:eastAsia="微软雅黑" w:hAnsi="微软雅黑" w:cs="宋体" w:hint="eastAsia"/>
                <w:color w:val="000000"/>
                <w:kern w:val="0"/>
                <w:szCs w:val="24"/>
              </w:rPr>
              <w:t>▲</w:t>
            </w:r>
            <w:r w:rsidRPr="00842899">
              <w:rPr>
                <w:rFonts w:ascii="微软雅黑" w:eastAsia="微软雅黑" w:hAnsi="微软雅黑" w:cs="宋体" w:hint="eastAsia"/>
                <w:color w:val="000000"/>
              </w:rPr>
              <w:t>售后服务</w:t>
            </w:r>
          </w:p>
        </w:tc>
        <w:tc>
          <w:tcPr>
            <w:tcW w:w="7364" w:type="dxa"/>
            <w:shd w:val="clear" w:color="auto" w:fill="auto"/>
          </w:tcPr>
          <w:p w:rsidR="00CF7CEF" w:rsidRPr="00842899" w:rsidRDefault="004A1A53">
            <w:pPr>
              <w:rPr>
                <w:rFonts w:ascii="微软雅黑" w:eastAsia="微软雅黑" w:hAnsi="微软雅黑"/>
              </w:rPr>
            </w:pPr>
            <w:r w:rsidRPr="00842899">
              <w:rPr>
                <w:rFonts w:ascii="微软雅黑" w:eastAsia="微软雅黑" w:hAnsi="微软雅黑" w:cs="宋体" w:hint="eastAsia"/>
                <w:color w:val="000000"/>
                <w:kern w:val="0"/>
                <w:szCs w:val="24"/>
              </w:rPr>
              <w:t>▲</w:t>
            </w:r>
            <w:r w:rsidRPr="00842899">
              <w:rPr>
                <w:rFonts w:ascii="微软雅黑" w:eastAsia="微软雅黑" w:hAnsi="微软雅黑" w:cs="宋体" w:hint="eastAsia"/>
                <w:color w:val="000000"/>
              </w:rPr>
              <w:t>服务：3年7x24X4小时保修服务；为保证设备的可靠性服务，提供原厂针对本项目的授权原件和售后服务承诺函原件。原厂服务覆盖城市不少于100个服务网点</w:t>
            </w:r>
          </w:p>
        </w:tc>
      </w:tr>
      <w:tr w:rsidR="00CF7CEF" w:rsidRPr="00842899">
        <w:trPr>
          <w:trHeight w:val="310"/>
        </w:trPr>
        <w:tc>
          <w:tcPr>
            <w:tcW w:w="801" w:type="dxa"/>
            <w:vAlign w:val="center"/>
          </w:tcPr>
          <w:p w:rsidR="00CF7CEF" w:rsidRPr="00842899" w:rsidRDefault="004A1A53">
            <w:pPr>
              <w:rPr>
                <w:rFonts w:ascii="微软雅黑" w:eastAsia="微软雅黑" w:hAnsi="微软雅黑"/>
              </w:rPr>
            </w:pPr>
            <w:r w:rsidRPr="00842899">
              <w:rPr>
                <w:rFonts w:ascii="微软雅黑" w:eastAsia="微软雅黑" w:hAnsi="微软雅黑" w:hint="eastAsia"/>
              </w:rPr>
              <w:t>15</w:t>
            </w:r>
          </w:p>
        </w:tc>
        <w:tc>
          <w:tcPr>
            <w:tcW w:w="1654" w:type="dxa"/>
            <w:shd w:val="clear" w:color="auto" w:fill="auto"/>
            <w:vAlign w:val="center"/>
          </w:tcPr>
          <w:p w:rsidR="00CF7CEF" w:rsidRPr="00842899" w:rsidRDefault="004A1A53">
            <w:pPr>
              <w:rPr>
                <w:rFonts w:ascii="微软雅黑" w:eastAsia="微软雅黑" w:hAnsi="微软雅黑" w:cs="宋体"/>
                <w:color w:val="000000"/>
              </w:rPr>
            </w:pPr>
            <w:r w:rsidRPr="00842899">
              <w:rPr>
                <w:rFonts w:ascii="微软雅黑" w:eastAsia="微软雅黑" w:hAnsi="微软雅黑" w:cs="宋体" w:hint="eastAsia"/>
                <w:color w:val="000000"/>
                <w:kern w:val="0"/>
                <w:szCs w:val="24"/>
              </w:rPr>
              <w:t>▲</w:t>
            </w:r>
            <w:r w:rsidRPr="00842899">
              <w:rPr>
                <w:rFonts w:ascii="微软雅黑" w:eastAsia="微软雅黑" w:hAnsi="微软雅黑" w:cs="宋体" w:hint="eastAsia"/>
                <w:color w:val="000000"/>
              </w:rPr>
              <w:t>认证</w:t>
            </w:r>
          </w:p>
        </w:tc>
        <w:tc>
          <w:tcPr>
            <w:tcW w:w="7364" w:type="dxa"/>
            <w:shd w:val="clear" w:color="auto" w:fill="auto"/>
          </w:tcPr>
          <w:p w:rsidR="00CF7CEF" w:rsidRPr="00842899" w:rsidRDefault="004A1A53">
            <w:pPr>
              <w:rPr>
                <w:rFonts w:ascii="微软雅黑" w:eastAsia="微软雅黑" w:hAnsi="微软雅黑" w:cs="宋体"/>
                <w:color w:val="000000"/>
              </w:rPr>
            </w:pPr>
            <w:r w:rsidRPr="00842899">
              <w:rPr>
                <w:rFonts w:ascii="微软雅黑" w:eastAsia="微软雅黑" w:hAnsi="微软雅黑" w:cs="宋体" w:hint="eastAsia"/>
                <w:color w:val="000000"/>
                <w:kern w:val="0"/>
                <w:szCs w:val="24"/>
              </w:rPr>
              <w:t>▲</w:t>
            </w:r>
            <w:r w:rsidRPr="00842899">
              <w:rPr>
                <w:rFonts w:ascii="微软雅黑" w:eastAsia="微软雅黑" w:hAnsi="微软雅黑" w:cs="宋体" w:hint="eastAsia"/>
                <w:color w:val="000000"/>
              </w:rPr>
              <w:t>认证：原厂商服务中心具备“客户服务联络中心标准体系认证”（CCCS）钻石五星级认证，原厂商产品通过权威机构国家电子计算机质量监督检验中心认证， 平均无故障时间MTBF 不低于150000小时 ，提供证书复印件或扫描件。</w:t>
            </w:r>
          </w:p>
        </w:tc>
      </w:tr>
    </w:tbl>
    <w:p w:rsidR="00CF7CEF" w:rsidRPr="00842899" w:rsidRDefault="004A1A53">
      <w:pPr>
        <w:rPr>
          <w:rFonts w:ascii="微软雅黑" w:eastAsia="微软雅黑" w:hAnsi="微软雅黑"/>
        </w:rPr>
      </w:pPr>
      <w:r w:rsidRPr="00842899">
        <w:rPr>
          <w:rFonts w:ascii="微软雅黑" w:eastAsia="微软雅黑" w:hAnsi="微软雅黑" w:cs="宋体" w:hint="eastAsia"/>
          <w:color w:val="000000"/>
        </w:rPr>
        <w:t>★为必须满足项</w:t>
      </w:r>
    </w:p>
    <w:p w:rsidR="00EE37B9" w:rsidRPr="00842899" w:rsidRDefault="00EE37B9">
      <w:pPr>
        <w:widowControl/>
        <w:spacing w:before="0"/>
        <w:jc w:val="left"/>
        <w:rPr>
          <w:rFonts w:ascii="微软雅黑" w:eastAsia="微软雅黑" w:hAnsi="微软雅黑"/>
        </w:rPr>
      </w:pPr>
      <w:r w:rsidRPr="00842899">
        <w:rPr>
          <w:rFonts w:ascii="微软雅黑" w:eastAsia="微软雅黑" w:hAnsi="微软雅黑"/>
        </w:rPr>
        <w:br w:type="page"/>
      </w:r>
    </w:p>
    <w:p w:rsidR="00EE37B9" w:rsidRPr="00842899" w:rsidRDefault="00EE37B9" w:rsidP="00EE37B9">
      <w:pPr>
        <w:pStyle w:val="1"/>
        <w:spacing w:line="578" w:lineRule="auto"/>
        <w:rPr>
          <w:rFonts w:ascii="微软雅黑" w:eastAsia="微软雅黑" w:hAnsi="微软雅黑"/>
          <w:sz w:val="36"/>
        </w:rPr>
      </w:pPr>
      <w:bookmarkStart w:id="0" w:name="_Toc465242635"/>
      <w:r w:rsidRPr="00842899">
        <w:rPr>
          <w:rFonts w:ascii="微软雅黑" w:eastAsia="微软雅黑" w:hAnsi="微软雅黑" w:hint="eastAsia"/>
          <w:sz w:val="36"/>
        </w:rPr>
        <w:lastRenderedPageBreak/>
        <w:t>40点云桌面</w:t>
      </w:r>
      <w:bookmarkEnd w:id="0"/>
      <w:r w:rsidRPr="00842899">
        <w:rPr>
          <w:rFonts w:ascii="微软雅黑" w:eastAsia="微软雅黑" w:hAnsi="微软雅黑" w:hint="eastAsia"/>
          <w:sz w:val="36"/>
        </w:rPr>
        <w:t>系统配置参数要求</w:t>
      </w:r>
    </w:p>
    <w:tbl>
      <w:tblPr>
        <w:tblW w:w="1004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7"/>
        <w:gridCol w:w="993"/>
        <w:gridCol w:w="7436"/>
        <w:gridCol w:w="516"/>
        <w:gridCol w:w="534"/>
      </w:tblGrid>
      <w:tr w:rsidR="00EE37B9" w:rsidRPr="00842899" w:rsidTr="00415E4A">
        <w:trPr>
          <w:trHeight w:val="300"/>
        </w:trPr>
        <w:tc>
          <w:tcPr>
            <w:tcW w:w="567" w:type="dxa"/>
            <w:shd w:val="clear" w:color="auto" w:fill="auto"/>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序号</w:t>
            </w:r>
          </w:p>
        </w:tc>
        <w:tc>
          <w:tcPr>
            <w:tcW w:w="993" w:type="dxa"/>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设备名称</w:t>
            </w:r>
          </w:p>
        </w:tc>
        <w:tc>
          <w:tcPr>
            <w:tcW w:w="7436" w:type="dxa"/>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备注</w:t>
            </w:r>
          </w:p>
        </w:tc>
        <w:tc>
          <w:tcPr>
            <w:tcW w:w="516" w:type="dxa"/>
            <w:shd w:val="clear" w:color="auto" w:fill="auto"/>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数量</w:t>
            </w:r>
          </w:p>
        </w:tc>
        <w:tc>
          <w:tcPr>
            <w:tcW w:w="534" w:type="dxa"/>
            <w:shd w:val="clear" w:color="auto" w:fill="auto"/>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单位</w:t>
            </w:r>
          </w:p>
        </w:tc>
      </w:tr>
      <w:tr w:rsidR="00EE37B9" w:rsidRPr="00842899" w:rsidTr="00415E4A">
        <w:trPr>
          <w:trHeight w:val="2489"/>
        </w:trPr>
        <w:tc>
          <w:tcPr>
            <w:tcW w:w="567" w:type="dxa"/>
            <w:shd w:val="clear" w:color="auto" w:fill="auto"/>
            <w:vAlign w:val="center"/>
          </w:tcPr>
          <w:p w:rsidR="00EE37B9" w:rsidRPr="00842899" w:rsidRDefault="00EE37B9" w:rsidP="00415E4A">
            <w:pPr>
              <w:jc w:val="center"/>
              <w:rPr>
                <w:rFonts w:ascii="微软雅黑" w:eastAsia="微软雅黑" w:hAnsi="微软雅黑" w:cs="宋体"/>
                <w:color w:val="000000"/>
                <w:sz w:val="22"/>
              </w:rPr>
            </w:pPr>
            <w:r w:rsidRPr="00842899">
              <w:rPr>
                <w:rFonts w:ascii="微软雅黑" w:eastAsia="微软雅黑" w:hAnsi="微软雅黑" w:hint="eastAsia"/>
                <w:color w:val="000000"/>
                <w:sz w:val="22"/>
              </w:rPr>
              <w:t>1</w:t>
            </w:r>
          </w:p>
        </w:tc>
        <w:tc>
          <w:tcPr>
            <w:tcW w:w="993" w:type="dxa"/>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服务器虚拟化软件</w:t>
            </w:r>
          </w:p>
        </w:tc>
        <w:tc>
          <w:tcPr>
            <w:tcW w:w="7436" w:type="dxa"/>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1、支持异构资源池，当多台服务器使用同一品牌、不同型号的CPU时，能够建立异构的物理资源池；</w:t>
            </w:r>
          </w:p>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 xml:space="preserve">2、支持将物理服务器虚拟成多个逻辑上相互独立的虚拟机，虚拟机之间可实现隔离保护，任何一个虚拟机发生故障时都不会影响同物理机上的其它虚拟机运行；虚拟机具有自己的资源（内存、CPU、网卡、存储），可以指定单独的IP地址、MAC地址等； </w:t>
            </w:r>
          </w:p>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3、★虚拟机支持内存容量设置可用范围（最大值和最小值），当分配给虚拟机的内存大于物理内存时，物理主机上所有虚拟机均能正常启动，投标文件中提供内存配置可用范围（最大值和最小值）的界面截图；</w:t>
            </w:r>
          </w:p>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4、支持虚拟机在线迁移功能，在不停机的情况下，可在集群内不同物理主机之间迁移，保障业务连续性；</w:t>
            </w:r>
          </w:p>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 xml:space="preserve">5、支持GPU虚拟化技术，可将一张物理显卡最少虚拟成32虚拟显卡，提供GPU的管理界面截图，截图中需包含虚拟化专用显卡型号及对应的32个虚拟显卡； </w:t>
            </w:r>
          </w:p>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lastRenderedPageBreak/>
              <w:t>6、支持1+N网卡绑定,实现增加网络吞吐量和提高网络可靠性的目的，可支持多种绑定模式：如主动-主动、主动-被动、LACP协议负载均衡功能，投标文件中提供功能界面截图；</w:t>
            </w:r>
          </w:p>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7、★支持WEB界面的管理，投标文件中提供WEB管理界面截图；</w:t>
            </w:r>
          </w:p>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8、可实现对服务器资源进行使用情况监测，包括CPU、内存、存储、网络等使用情况的图形化监控，并能反映当前物理机、虚拟机的资源瓶颈；</w:t>
            </w:r>
          </w:p>
        </w:tc>
        <w:tc>
          <w:tcPr>
            <w:tcW w:w="516" w:type="dxa"/>
            <w:shd w:val="clear" w:color="auto" w:fill="auto"/>
            <w:vAlign w:val="center"/>
          </w:tcPr>
          <w:p w:rsidR="00EE37B9" w:rsidRPr="00842899" w:rsidRDefault="00EE37B9" w:rsidP="00415E4A">
            <w:pPr>
              <w:jc w:val="center"/>
              <w:rPr>
                <w:rFonts w:ascii="微软雅黑" w:eastAsia="微软雅黑" w:hAnsi="微软雅黑" w:cs="宋体"/>
                <w:color w:val="000000"/>
                <w:szCs w:val="24"/>
              </w:rPr>
            </w:pPr>
            <w:r w:rsidRPr="00842899">
              <w:rPr>
                <w:rFonts w:ascii="微软雅黑" w:eastAsia="微软雅黑" w:hAnsi="微软雅黑" w:hint="eastAsia"/>
                <w:color w:val="000000"/>
              </w:rPr>
              <w:lastRenderedPageBreak/>
              <w:t>1</w:t>
            </w:r>
          </w:p>
        </w:tc>
        <w:tc>
          <w:tcPr>
            <w:tcW w:w="534" w:type="dxa"/>
            <w:shd w:val="clear" w:color="auto" w:fill="auto"/>
            <w:vAlign w:val="center"/>
          </w:tcPr>
          <w:p w:rsidR="00EE37B9" w:rsidRPr="00842899" w:rsidRDefault="00EE37B9" w:rsidP="00415E4A">
            <w:pPr>
              <w:jc w:val="center"/>
              <w:rPr>
                <w:rFonts w:ascii="微软雅黑" w:eastAsia="微软雅黑" w:hAnsi="微软雅黑" w:cs="宋体"/>
                <w:color w:val="000000"/>
                <w:szCs w:val="24"/>
              </w:rPr>
            </w:pPr>
            <w:r w:rsidRPr="00842899">
              <w:rPr>
                <w:rFonts w:ascii="微软雅黑" w:eastAsia="微软雅黑" w:hAnsi="微软雅黑" w:cs="宋体" w:hint="eastAsia"/>
                <w:color w:val="000000"/>
                <w:szCs w:val="24"/>
              </w:rPr>
              <w:t>套</w:t>
            </w:r>
          </w:p>
        </w:tc>
      </w:tr>
      <w:tr w:rsidR="00EE37B9" w:rsidRPr="00842899" w:rsidTr="00415E4A">
        <w:trPr>
          <w:trHeight w:val="591"/>
        </w:trPr>
        <w:tc>
          <w:tcPr>
            <w:tcW w:w="567" w:type="dxa"/>
            <w:shd w:val="clear" w:color="auto" w:fill="auto"/>
            <w:vAlign w:val="center"/>
          </w:tcPr>
          <w:p w:rsidR="00EE37B9" w:rsidRPr="00842899" w:rsidRDefault="00EE37B9" w:rsidP="00415E4A">
            <w:pPr>
              <w:jc w:val="center"/>
              <w:rPr>
                <w:rFonts w:ascii="微软雅黑" w:eastAsia="微软雅黑" w:hAnsi="微软雅黑" w:cs="宋体"/>
                <w:color w:val="000000"/>
                <w:sz w:val="22"/>
              </w:rPr>
            </w:pPr>
            <w:r w:rsidRPr="00842899">
              <w:rPr>
                <w:rFonts w:ascii="微软雅黑" w:eastAsia="微软雅黑" w:hAnsi="微软雅黑" w:cs="宋体" w:hint="eastAsia"/>
                <w:color w:val="000000"/>
                <w:sz w:val="22"/>
              </w:rPr>
              <w:lastRenderedPageBreak/>
              <w:t>2</w:t>
            </w:r>
          </w:p>
        </w:tc>
        <w:tc>
          <w:tcPr>
            <w:tcW w:w="993" w:type="dxa"/>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rPr>
              <w:t>桌面虚拟化软件</w:t>
            </w:r>
          </w:p>
        </w:tc>
        <w:tc>
          <w:tcPr>
            <w:tcW w:w="7436" w:type="dxa"/>
            <w:vAlign w:val="center"/>
          </w:tcPr>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支持VDI随机桌面池模式，随机桌面池模式下用户登录时能自动识别可用的虚拟机，且无需将用户与虚拟机绑定，实现桌面级别冗余；</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支持共享桌面池模式，共享桌面池模式下用户登录时能自动识别可用的虚拟机，且无需将用户与虚拟机绑定，实现桌面级别冗余；</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★云桌面支持动态内存技术，可通过虚拟机模板设置内存容量的可用范围（最大值和最小值），进行批量发布拥有动态内存的云桌面；（提供原厂功能确认函并加盖公章）</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★支持显卡虚拟化技术，批量发布云桌面配置向导时，可选择不同虚拟显卡型号，投标文件中提供选择不同虚拟显卡的设置界面截图；</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支持将物理图形工作站以云桌面的方式进行发布，可通过任何智能设备、在任何地点对物理图形工作站进行访问，提高计算资源的灵活性；</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 xml:space="preserve">★此次云桌面提供1024MB及以上显存，投标文件中出具通过DXDIAG工具检测虚拟显卡型号、显存大小的结果截图； </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lastRenderedPageBreak/>
              <w:t>所有云桌面的功能组件均可实现多节点负载，无单点故障，支持微软SQL Server、SQL Express等主流数据库的不同版本，无缝兼容数据库镜像模式，提升整个平台的高可用性；</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支持用户连接数、断开数、最大并发数、从登录到进入云桌面所需时长等基础数据进行统计，投标文件中需提供界面截图；</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★使用浏览器进行云桌面登录时，无需客户端插件或浏览器控件，只需通过360、</w:t>
            </w:r>
            <w:proofErr w:type="spellStart"/>
            <w:r w:rsidRPr="00842899">
              <w:rPr>
                <w:rFonts w:ascii="微软雅黑" w:eastAsia="微软雅黑" w:hAnsi="微软雅黑" w:cs="宋体" w:hint="eastAsia"/>
                <w:color w:val="000000"/>
                <w:kern w:val="0"/>
                <w:szCs w:val="24"/>
              </w:rPr>
              <w:t>GoogleChrome</w:t>
            </w:r>
            <w:proofErr w:type="spellEnd"/>
            <w:r w:rsidRPr="00842899">
              <w:rPr>
                <w:rFonts w:ascii="微软雅黑" w:eastAsia="微软雅黑" w:hAnsi="微软雅黑" w:cs="宋体" w:hint="eastAsia"/>
                <w:color w:val="000000"/>
                <w:kern w:val="0"/>
                <w:szCs w:val="24"/>
              </w:rPr>
              <w:t>、Firefox等浏览器的HTML 5协议即可直接访问云桌面，云桌面嵌入在浏览器中，投标文件中提供实际使用效果截图；</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用户可以在任何时间任何地点通过任何智能设备（包括笔记本、台式机（Windows、Mac OS、Linux）和智能手机（IOS，Android）、平板电脑等）访问云桌面和云应用；</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 xml:space="preserve">★支持从移动设备、MAC电脑访问云桌面时映射本地设备驱动器，登录云桌面后可直接在云桌面中访问本地磁盘；投标文件中需提供使用场景截图； </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 xml:space="preserve">★支持应用程序穿透调用，在云桌面中能够直接调用安装在终端本地的应用程序，提供管理配置界面截图； </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登录云桌面后，可将终端硬盘分区映射到云桌面中，实现云桌面与终端硬盘之间的数据拷贝，并可通过策略对数据拷贝行为进行控制，支持单向拷贝、双向拷贝、禁止复制和粘贴；</w:t>
            </w:r>
          </w:p>
          <w:p w:rsidR="00EE37B9" w:rsidRPr="00842899" w:rsidRDefault="00EE37B9" w:rsidP="00EE37B9">
            <w:pPr>
              <w:widowControl/>
              <w:numPr>
                <w:ilvl w:val="0"/>
                <w:numId w:val="1"/>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★支持针对移动设备进行触控优化、自动键盘显示等设置，提升云桌面用户体验，投标文件中提供功能设置界面截图；</w:t>
            </w:r>
          </w:p>
        </w:tc>
        <w:tc>
          <w:tcPr>
            <w:tcW w:w="516" w:type="dxa"/>
            <w:shd w:val="clear" w:color="auto" w:fill="auto"/>
            <w:vAlign w:val="center"/>
          </w:tcPr>
          <w:p w:rsidR="00EE37B9" w:rsidRPr="00842899" w:rsidRDefault="00EE37B9" w:rsidP="00415E4A">
            <w:pPr>
              <w:jc w:val="center"/>
              <w:rPr>
                <w:rFonts w:ascii="微软雅黑" w:eastAsia="微软雅黑" w:hAnsi="微软雅黑" w:cs="宋体"/>
                <w:color w:val="000000"/>
                <w:szCs w:val="24"/>
              </w:rPr>
            </w:pPr>
            <w:r w:rsidRPr="00842899">
              <w:rPr>
                <w:rFonts w:ascii="微软雅黑" w:eastAsia="微软雅黑" w:hAnsi="微软雅黑" w:hint="eastAsia"/>
                <w:color w:val="000000"/>
              </w:rPr>
              <w:lastRenderedPageBreak/>
              <w:t>40</w:t>
            </w:r>
          </w:p>
        </w:tc>
        <w:tc>
          <w:tcPr>
            <w:tcW w:w="534" w:type="dxa"/>
            <w:shd w:val="clear" w:color="auto" w:fill="auto"/>
            <w:vAlign w:val="center"/>
          </w:tcPr>
          <w:p w:rsidR="00EE37B9" w:rsidRPr="00842899" w:rsidRDefault="00EE37B9" w:rsidP="00415E4A">
            <w:pPr>
              <w:jc w:val="center"/>
              <w:rPr>
                <w:rFonts w:ascii="微软雅黑" w:eastAsia="微软雅黑" w:hAnsi="微软雅黑" w:cs="宋体"/>
                <w:color w:val="000000"/>
                <w:szCs w:val="24"/>
              </w:rPr>
            </w:pPr>
            <w:r w:rsidRPr="00842899">
              <w:rPr>
                <w:rFonts w:ascii="微软雅黑" w:eastAsia="微软雅黑" w:hAnsi="微软雅黑" w:hint="eastAsia"/>
                <w:color w:val="000000"/>
              </w:rPr>
              <w:t>点</w:t>
            </w:r>
          </w:p>
        </w:tc>
      </w:tr>
      <w:tr w:rsidR="00EE37B9" w:rsidRPr="00842899" w:rsidTr="00415E4A">
        <w:trPr>
          <w:trHeight w:val="190"/>
        </w:trPr>
        <w:tc>
          <w:tcPr>
            <w:tcW w:w="567" w:type="dxa"/>
            <w:vAlign w:val="center"/>
          </w:tcPr>
          <w:p w:rsidR="00EE37B9" w:rsidRPr="00842899" w:rsidRDefault="00EE37B9" w:rsidP="00415E4A">
            <w:pPr>
              <w:jc w:val="center"/>
              <w:rPr>
                <w:rFonts w:ascii="微软雅黑" w:eastAsia="微软雅黑" w:hAnsi="微软雅黑" w:cs="宋体"/>
                <w:color w:val="000000"/>
                <w:sz w:val="22"/>
              </w:rPr>
            </w:pPr>
            <w:r w:rsidRPr="00842899">
              <w:rPr>
                <w:rFonts w:ascii="微软雅黑" w:eastAsia="微软雅黑" w:hAnsi="微软雅黑" w:cs="宋体" w:hint="eastAsia"/>
                <w:color w:val="000000"/>
                <w:sz w:val="22"/>
              </w:rPr>
              <w:lastRenderedPageBreak/>
              <w:t>3</w:t>
            </w:r>
          </w:p>
        </w:tc>
        <w:tc>
          <w:tcPr>
            <w:tcW w:w="993" w:type="dxa"/>
            <w:vAlign w:val="center"/>
          </w:tcPr>
          <w:p w:rsidR="00EE37B9" w:rsidRPr="00842899" w:rsidRDefault="00EE37B9" w:rsidP="00415E4A">
            <w:pPr>
              <w:widowControl/>
              <w:jc w:val="left"/>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云管理平台</w:t>
            </w:r>
          </w:p>
        </w:tc>
        <w:tc>
          <w:tcPr>
            <w:tcW w:w="7436" w:type="dxa"/>
            <w:vAlign w:val="center"/>
          </w:tcPr>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管理平台采用B/S架构，平台可统一对服务器虚拟化、云桌面、终端、用户、排课等进行管理，在一个Web平台上即可完成镜像模板更新、云桌面发布、用户创建、云终端管理、云终端配置更新等操作，无需切换至其他平台，降低上手难度；（提供原厂功能确认函并加盖公章）；</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支持批量创建用户或导入用户，用户可自动与域用户同步；</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云桌面组支持多种模式随机还原桌面、静态还原桌面、静态不还原桌面等</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支持单一系统镜像管理，可添加、修改、删除系统镜像模板，可对系统镜像中的软件、文件、系统设置等进行编辑；</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★支持创建多个系统模板，系统模板可以创建不同的更新节点，管理员可选择任意节点（版本）进行应用，提高系统的灵活性，投标文件中提供镜像版本选择的设置界面截图；</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支持对云桌面一键更新，更新时无需关闭云桌面，避免影响用户正常使用；</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★可对云桌面进行批量电源设置，可设置桌面启动的时间段和用户断开后云桌面的电源状态，电源状态包括注销、关闭、不操作等，投标文件中提供电源设置的管理界面截图；</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★支持智能排课系统，配置云桌面与课表对接，投标文件中提供智能排课的设置界面截图；</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可全面展示各教室的桌面总数、已运行的桌面数量、已关闭的桌面数量和终端总数；</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支持批量创建、修改、删除云桌面组，支持已创建的云桌面与教室自动关</w:t>
            </w:r>
            <w:r w:rsidRPr="00842899">
              <w:rPr>
                <w:rFonts w:ascii="微软雅黑" w:eastAsia="微软雅黑" w:hAnsi="微软雅黑" w:cs="宋体" w:hint="eastAsia"/>
                <w:color w:val="000000"/>
                <w:kern w:val="0"/>
                <w:szCs w:val="24"/>
              </w:rPr>
              <w:lastRenderedPageBreak/>
              <w:t>联，无需手动配置；</w:t>
            </w:r>
          </w:p>
          <w:p w:rsidR="00EE37B9" w:rsidRPr="00842899" w:rsidRDefault="00EE37B9" w:rsidP="00EE37B9">
            <w:pPr>
              <w:numPr>
                <w:ilvl w:val="0"/>
                <w:numId w:val="2"/>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可集中查看云桌面的所在的服务器、访问的用户名、可用状态、电源状态、连续运行时 间等；</w:t>
            </w:r>
          </w:p>
        </w:tc>
        <w:tc>
          <w:tcPr>
            <w:tcW w:w="516" w:type="dxa"/>
            <w:vAlign w:val="center"/>
          </w:tcPr>
          <w:p w:rsidR="00EE37B9" w:rsidRPr="00842899" w:rsidRDefault="00EE37B9" w:rsidP="00415E4A">
            <w:pPr>
              <w:jc w:val="center"/>
              <w:rPr>
                <w:rFonts w:ascii="微软雅黑" w:eastAsia="微软雅黑" w:hAnsi="微软雅黑" w:cs="宋体"/>
                <w:color w:val="000000"/>
                <w:szCs w:val="24"/>
              </w:rPr>
            </w:pPr>
            <w:r w:rsidRPr="00842899">
              <w:rPr>
                <w:rFonts w:ascii="微软雅黑" w:eastAsia="微软雅黑" w:hAnsi="微软雅黑" w:hint="eastAsia"/>
                <w:color w:val="000000"/>
              </w:rPr>
              <w:lastRenderedPageBreak/>
              <w:t>1</w:t>
            </w:r>
          </w:p>
        </w:tc>
        <w:tc>
          <w:tcPr>
            <w:tcW w:w="534" w:type="dxa"/>
            <w:vAlign w:val="center"/>
          </w:tcPr>
          <w:p w:rsidR="00EE37B9" w:rsidRPr="00842899" w:rsidRDefault="00EE37B9" w:rsidP="00415E4A">
            <w:pPr>
              <w:jc w:val="center"/>
              <w:rPr>
                <w:rFonts w:ascii="微软雅黑" w:eastAsia="微软雅黑" w:hAnsi="微软雅黑" w:cs="宋体"/>
                <w:color w:val="000000"/>
                <w:szCs w:val="24"/>
              </w:rPr>
            </w:pPr>
            <w:r w:rsidRPr="00842899">
              <w:rPr>
                <w:rFonts w:ascii="微软雅黑" w:eastAsia="微软雅黑" w:hAnsi="微软雅黑" w:hint="eastAsia"/>
                <w:color w:val="000000"/>
              </w:rPr>
              <w:t>套</w:t>
            </w:r>
          </w:p>
        </w:tc>
      </w:tr>
      <w:tr w:rsidR="00EE37B9" w:rsidRPr="00842899" w:rsidTr="00415E4A">
        <w:trPr>
          <w:trHeight w:val="190"/>
        </w:trPr>
        <w:tc>
          <w:tcPr>
            <w:tcW w:w="567" w:type="dxa"/>
            <w:vAlign w:val="center"/>
          </w:tcPr>
          <w:p w:rsidR="00EE37B9" w:rsidRPr="00842899" w:rsidRDefault="00EE37B9" w:rsidP="00415E4A">
            <w:pPr>
              <w:jc w:val="center"/>
              <w:rPr>
                <w:rFonts w:ascii="微软雅黑" w:eastAsia="微软雅黑" w:hAnsi="微软雅黑" w:cs="宋体"/>
                <w:color w:val="000000"/>
                <w:sz w:val="22"/>
              </w:rPr>
            </w:pPr>
            <w:r w:rsidRPr="00842899">
              <w:rPr>
                <w:rFonts w:ascii="微软雅黑" w:eastAsia="微软雅黑" w:hAnsi="微软雅黑" w:cs="宋体" w:hint="eastAsia"/>
                <w:color w:val="000000"/>
                <w:sz w:val="22"/>
              </w:rPr>
              <w:lastRenderedPageBreak/>
              <w:t>4</w:t>
            </w:r>
          </w:p>
        </w:tc>
        <w:tc>
          <w:tcPr>
            <w:tcW w:w="993" w:type="dxa"/>
            <w:vAlign w:val="center"/>
          </w:tcPr>
          <w:p w:rsidR="00EE37B9" w:rsidRPr="00842899" w:rsidRDefault="00EE37B9" w:rsidP="00415E4A">
            <w:pPr>
              <w:widowControl/>
              <w:jc w:val="left"/>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在线运维系统</w:t>
            </w:r>
          </w:p>
        </w:tc>
        <w:tc>
          <w:tcPr>
            <w:tcW w:w="7436" w:type="dxa"/>
            <w:vAlign w:val="center"/>
          </w:tcPr>
          <w:p w:rsidR="00EE37B9" w:rsidRPr="00842899" w:rsidRDefault="00EE37B9" w:rsidP="00EE37B9">
            <w:pPr>
              <w:numPr>
                <w:ilvl w:val="0"/>
                <w:numId w:val="3"/>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对云桌面系统中的云桌面总数、并发数、开机数、关机数、已注册桌面数、未注册桌面数、维护数、已登录云桌面数、数据上报时间进行统计与监测，投标文件提供对云桌面不同状态数量统计的功能界面截图；</w:t>
            </w:r>
          </w:p>
          <w:p w:rsidR="00EE37B9" w:rsidRPr="00842899" w:rsidRDefault="00EE37B9" w:rsidP="00EE37B9">
            <w:pPr>
              <w:numPr>
                <w:ilvl w:val="0"/>
                <w:numId w:val="3"/>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★支持故障自动提醒功能，可对云桌面系统中可能出现的故障进行基于策略的分析，并通过合理的预判进行自动提醒，投标文件中提供故障提醒的设置界面截图；</w:t>
            </w:r>
          </w:p>
          <w:p w:rsidR="00EE37B9" w:rsidRPr="00842899" w:rsidRDefault="00EE37B9" w:rsidP="00EE37B9">
            <w:pPr>
              <w:numPr>
                <w:ilvl w:val="0"/>
                <w:numId w:val="3"/>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支持对云桌面系统出现的故障原因进行分析，对故障结果生成相应的故障报告，便于快速修复故障；</w:t>
            </w:r>
          </w:p>
          <w:p w:rsidR="00EE37B9" w:rsidRPr="00842899" w:rsidRDefault="00EE37B9" w:rsidP="00EE37B9">
            <w:pPr>
              <w:numPr>
                <w:ilvl w:val="0"/>
                <w:numId w:val="3"/>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支持多种个性化的预警策略，如数据库连接异常预警、服务器虚拟化宿主机存储空间预警、CPU使用率预警、磁盘使用率、内存使用率、云桌面未注册或未就绪故障的预警，投标文件中提供以上预警信息的设置界面截图；</w:t>
            </w:r>
          </w:p>
          <w:p w:rsidR="00EE37B9" w:rsidRPr="00842899" w:rsidRDefault="00EE37B9" w:rsidP="00EE37B9">
            <w:pPr>
              <w:numPr>
                <w:ilvl w:val="0"/>
                <w:numId w:val="3"/>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客户端可向云端提供单位信息（名称、地址、负责人、技术负责人，购买数量等），用户可自行管理，也可选择由厂家托管；</w:t>
            </w:r>
          </w:p>
          <w:p w:rsidR="00EE37B9" w:rsidRPr="00842899" w:rsidRDefault="00EE37B9" w:rsidP="00EE37B9">
            <w:pPr>
              <w:numPr>
                <w:ilvl w:val="0"/>
                <w:numId w:val="3"/>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客户端可根据需求选择性的向云端上报云桌面数据库、桌面控制器等各功能组件的预警信息；</w:t>
            </w:r>
          </w:p>
          <w:p w:rsidR="00EE37B9" w:rsidRPr="00842899" w:rsidRDefault="00EE37B9" w:rsidP="00EE37B9">
            <w:pPr>
              <w:numPr>
                <w:ilvl w:val="0"/>
                <w:numId w:val="3"/>
              </w:numPr>
              <w:spacing w:before="0"/>
              <w:rPr>
                <w:rFonts w:ascii="微软雅黑" w:eastAsia="微软雅黑" w:hAnsi="微软雅黑" w:cs="宋体"/>
                <w:color w:val="000000"/>
                <w:kern w:val="0"/>
                <w:szCs w:val="24"/>
              </w:rPr>
            </w:pPr>
            <w:r w:rsidRPr="00842899">
              <w:rPr>
                <w:rFonts w:ascii="微软雅黑" w:eastAsia="微软雅黑" w:hAnsi="微软雅黑" w:cs="宋体" w:hint="eastAsia"/>
                <w:color w:val="000000"/>
                <w:kern w:val="0"/>
                <w:szCs w:val="24"/>
              </w:rPr>
              <w:t>厂家售后服务中心支持在线对云桌面系统进行分析与检查，排除故障隐患；</w:t>
            </w:r>
          </w:p>
        </w:tc>
        <w:tc>
          <w:tcPr>
            <w:tcW w:w="516" w:type="dxa"/>
            <w:vAlign w:val="center"/>
          </w:tcPr>
          <w:p w:rsidR="00EE37B9" w:rsidRPr="00842899" w:rsidRDefault="00EE37B9" w:rsidP="00415E4A">
            <w:pPr>
              <w:jc w:val="center"/>
              <w:rPr>
                <w:rFonts w:ascii="微软雅黑" w:eastAsia="微软雅黑" w:hAnsi="微软雅黑" w:cs="宋体"/>
                <w:color w:val="000000"/>
                <w:szCs w:val="24"/>
              </w:rPr>
            </w:pPr>
            <w:r w:rsidRPr="00842899">
              <w:rPr>
                <w:rFonts w:ascii="微软雅黑" w:eastAsia="微软雅黑" w:hAnsi="微软雅黑" w:hint="eastAsia"/>
                <w:color w:val="000000"/>
              </w:rPr>
              <w:t>1</w:t>
            </w:r>
          </w:p>
        </w:tc>
        <w:tc>
          <w:tcPr>
            <w:tcW w:w="534" w:type="dxa"/>
            <w:vAlign w:val="center"/>
          </w:tcPr>
          <w:p w:rsidR="00EE37B9" w:rsidRPr="00842899" w:rsidRDefault="00EE37B9" w:rsidP="00415E4A">
            <w:pPr>
              <w:jc w:val="center"/>
              <w:rPr>
                <w:rFonts w:ascii="微软雅黑" w:eastAsia="微软雅黑" w:hAnsi="微软雅黑" w:cs="宋体"/>
                <w:color w:val="000000"/>
                <w:szCs w:val="24"/>
              </w:rPr>
            </w:pPr>
            <w:r w:rsidRPr="00842899">
              <w:rPr>
                <w:rFonts w:ascii="微软雅黑" w:eastAsia="微软雅黑" w:hAnsi="微软雅黑" w:hint="eastAsia"/>
                <w:color w:val="000000"/>
              </w:rPr>
              <w:t>套</w:t>
            </w:r>
          </w:p>
        </w:tc>
      </w:tr>
      <w:tr w:rsidR="00EE37B9" w:rsidRPr="00842899" w:rsidTr="00415E4A">
        <w:trPr>
          <w:trHeight w:val="190"/>
        </w:trPr>
        <w:tc>
          <w:tcPr>
            <w:tcW w:w="10046" w:type="dxa"/>
            <w:gridSpan w:val="5"/>
            <w:vAlign w:val="center"/>
          </w:tcPr>
          <w:p w:rsidR="00EE37B9" w:rsidRPr="00842899" w:rsidRDefault="00EE37B9" w:rsidP="00415E4A">
            <w:pPr>
              <w:widowControl/>
              <w:rPr>
                <w:rFonts w:ascii="微软雅黑" w:eastAsia="微软雅黑" w:hAnsi="微软雅黑" w:cs="宋体"/>
                <w:color w:val="000000"/>
                <w:kern w:val="0"/>
                <w:szCs w:val="24"/>
              </w:rPr>
            </w:pPr>
            <w:r w:rsidRPr="00842899">
              <w:rPr>
                <w:rFonts w:ascii="微软雅黑" w:eastAsia="微软雅黑" w:hAnsi="微软雅黑" w:cs="宋体"/>
                <w:color w:val="000000"/>
                <w:kern w:val="0"/>
                <w:szCs w:val="24"/>
              </w:rPr>
              <w:t>其他要求</w:t>
            </w:r>
            <w:r w:rsidRPr="00842899">
              <w:rPr>
                <w:rFonts w:ascii="微软雅黑" w:eastAsia="微软雅黑" w:hAnsi="微软雅黑" w:cs="宋体" w:hint="eastAsia"/>
                <w:color w:val="000000"/>
                <w:kern w:val="0"/>
                <w:szCs w:val="24"/>
              </w:rPr>
              <w:t>：</w:t>
            </w:r>
          </w:p>
          <w:p w:rsidR="00EE37B9" w:rsidRPr="00842899" w:rsidRDefault="00EE37B9" w:rsidP="00415E4A">
            <w:pPr>
              <w:widowControl/>
              <w:rPr>
                <w:rFonts w:ascii="微软雅黑" w:eastAsia="微软雅黑" w:hAnsi="微软雅黑"/>
                <w:szCs w:val="21"/>
              </w:rPr>
            </w:pPr>
            <w:r w:rsidRPr="00842899">
              <w:rPr>
                <w:rFonts w:ascii="微软雅黑" w:eastAsia="微软雅黑" w:hAnsi="微软雅黑" w:hint="eastAsia"/>
                <w:szCs w:val="21"/>
              </w:rPr>
              <w:lastRenderedPageBreak/>
              <w:t>1、“</w:t>
            </w:r>
            <w:r w:rsidRPr="00842899">
              <w:rPr>
                <w:rFonts w:ascii="微软雅黑" w:eastAsia="微软雅黑" w:hAnsi="微软雅黑" w:cs="宋体" w:hint="eastAsia"/>
                <w:color w:val="000000"/>
                <w:kern w:val="0"/>
                <w:szCs w:val="24"/>
              </w:rPr>
              <w:t>★</w:t>
            </w:r>
            <w:r w:rsidRPr="00842899">
              <w:rPr>
                <w:rFonts w:ascii="微软雅黑" w:eastAsia="微软雅黑" w:hAnsi="微软雅黑" w:hint="eastAsia"/>
                <w:szCs w:val="21"/>
              </w:rPr>
              <w:t>”部分技术参数为关键性指标，必须满足，不满足按无效应标处理。</w:t>
            </w:r>
          </w:p>
          <w:p w:rsidR="00EE37B9" w:rsidRPr="00842899" w:rsidRDefault="00EE37B9" w:rsidP="00415E4A">
            <w:pPr>
              <w:widowControl/>
              <w:rPr>
                <w:rFonts w:ascii="微软雅黑" w:eastAsia="微软雅黑" w:hAnsi="微软雅黑"/>
                <w:szCs w:val="21"/>
              </w:rPr>
            </w:pPr>
            <w:r w:rsidRPr="00842899">
              <w:rPr>
                <w:rFonts w:ascii="微软雅黑" w:eastAsia="微软雅黑" w:hAnsi="微软雅黑" w:hint="eastAsia"/>
                <w:szCs w:val="21"/>
              </w:rPr>
              <w:t>2、本项目整体免费保修期不少于3年，在免费服务期限内，为学校免费提供各种技术服务，包括电话答疑、定期回访、软件更新与技术培训。</w:t>
            </w:r>
          </w:p>
          <w:p w:rsidR="00EE37B9" w:rsidRPr="00842899" w:rsidRDefault="00EE37B9" w:rsidP="00415E4A">
            <w:pPr>
              <w:widowControl/>
              <w:rPr>
                <w:rFonts w:ascii="微软雅黑" w:eastAsia="微软雅黑" w:hAnsi="微软雅黑"/>
                <w:szCs w:val="21"/>
              </w:rPr>
            </w:pPr>
            <w:r w:rsidRPr="00842899">
              <w:rPr>
                <w:rFonts w:ascii="微软雅黑" w:eastAsia="微软雅黑" w:hAnsi="微软雅黑" w:hint="eastAsia"/>
                <w:szCs w:val="21"/>
              </w:rPr>
              <w:t>3、为了保证云平台的稳定性和便捷性，服务器虚拟化软件，桌面虚拟化软件，云桌面管理平台，云在线运维系统软件需统一品牌。</w:t>
            </w:r>
          </w:p>
          <w:p w:rsidR="00EE37B9" w:rsidRPr="00842899" w:rsidRDefault="00EE37B9" w:rsidP="00415E4A">
            <w:pPr>
              <w:widowControl/>
              <w:rPr>
                <w:rFonts w:ascii="微软雅黑" w:eastAsia="微软雅黑" w:hAnsi="微软雅黑"/>
                <w:szCs w:val="21"/>
              </w:rPr>
            </w:pPr>
            <w:r w:rsidRPr="00842899">
              <w:rPr>
                <w:rFonts w:ascii="微软雅黑" w:eastAsia="微软雅黑" w:hAnsi="微软雅黑" w:hint="eastAsia"/>
                <w:szCs w:val="21"/>
              </w:rPr>
              <w:t>4、供应商售后需免费提供7x24小时电话或电子邮件服务及7x8上门现场服务。对于上门现场服务，供应商需在接到用户报修后，投标方工程技术人员到达用户现场,提供服务。</w:t>
            </w:r>
          </w:p>
          <w:p w:rsidR="00EE37B9" w:rsidRPr="00842899" w:rsidRDefault="00EE37B9" w:rsidP="00415E4A">
            <w:pPr>
              <w:rPr>
                <w:rFonts w:ascii="微软雅黑" w:eastAsia="微软雅黑" w:hAnsi="微软雅黑"/>
                <w:color w:val="000000"/>
              </w:rPr>
            </w:pPr>
            <w:r w:rsidRPr="00842899">
              <w:rPr>
                <w:rFonts w:ascii="微软雅黑" w:eastAsia="微软雅黑" w:hAnsi="微软雅黑" w:hint="eastAsia"/>
                <w:szCs w:val="21"/>
              </w:rPr>
              <w:t>5、项目验收标准：在项目验收时将逐条进行技术指标验证，如投标产品功能与招标文件技术指标不符，按虚假应标处理，退回所有货物，并上报政府采购相关部门进行备案登记。</w:t>
            </w:r>
          </w:p>
        </w:tc>
      </w:tr>
    </w:tbl>
    <w:p w:rsidR="00EE37B9" w:rsidRPr="00842899" w:rsidRDefault="00EE37B9" w:rsidP="00EE37B9">
      <w:pPr>
        <w:pStyle w:val="a5"/>
        <w:ind w:leftChars="0" w:left="0" w:right="1470"/>
        <w:rPr>
          <w:rFonts w:ascii="微软雅黑" w:eastAsia="微软雅黑" w:hAnsi="微软雅黑"/>
        </w:rPr>
      </w:pPr>
    </w:p>
    <w:p w:rsidR="00CF7CEF" w:rsidRPr="00842899" w:rsidRDefault="00CF7CEF">
      <w:pPr>
        <w:rPr>
          <w:rFonts w:ascii="微软雅黑" w:eastAsia="微软雅黑" w:hAnsi="微软雅黑"/>
        </w:rPr>
      </w:pPr>
      <w:bookmarkStart w:id="1" w:name="_GoBack"/>
      <w:bookmarkEnd w:id="1"/>
    </w:p>
    <w:sectPr w:rsidR="00CF7CEF" w:rsidRPr="00842899" w:rsidSect="000A356E">
      <w:pgSz w:w="12240" w:h="15840"/>
      <w:pgMar w:top="1440" w:right="1440" w:bottom="1440" w:left="144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A1" w:rsidRDefault="00AF40A1" w:rsidP="00EE37B9">
      <w:pPr>
        <w:spacing w:before="0"/>
      </w:pPr>
      <w:r>
        <w:separator/>
      </w:r>
    </w:p>
  </w:endnote>
  <w:endnote w:type="continuationSeparator" w:id="0">
    <w:p w:rsidR="00AF40A1" w:rsidRDefault="00AF40A1" w:rsidP="00EE37B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A1" w:rsidRDefault="00AF40A1" w:rsidP="00EE37B9">
      <w:pPr>
        <w:spacing w:before="0"/>
      </w:pPr>
      <w:r>
        <w:separator/>
      </w:r>
    </w:p>
  </w:footnote>
  <w:footnote w:type="continuationSeparator" w:id="0">
    <w:p w:rsidR="00AF40A1" w:rsidRDefault="00AF40A1" w:rsidP="00EE37B9">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B6D996"/>
    <w:multiLevelType w:val="singleLevel"/>
    <w:tmpl w:val="AAB6D996"/>
    <w:lvl w:ilvl="0">
      <w:start w:val="1"/>
      <w:numFmt w:val="decimal"/>
      <w:lvlText w:val="%1."/>
      <w:lvlJc w:val="left"/>
      <w:pPr>
        <w:ind w:left="425" w:hanging="425"/>
      </w:pPr>
      <w:rPr>
        <w:rFonts w:hint="default"/>
      </w:rPr>
    </w:lvl>
  </w:abstractNum>
  <w:abstractNum w:abstractNumId="1">
    <w:nsid w:val="CDDAAF1D"/>
    <w:multiLevelType w:val="singleLevel"/>
    <w:tmpl w:val="CDDAAF1D"/>
    <w:lvl w:ilvl="0">
      <w:start w:val="1"/>
      <w:numFmt w:val="decimal"/>
      <w:lvlText w:val="%1."/>
      <w:lvlJc w:val="left"/>
      <w:pPr>
        <w:ind w:left="425" w:hanging="425"/>
      </w:pPr>
      <w:rPr>
        <w:rFonts w:hint="default"/>
      </w:rPr>
    </w:lvl>
  </w:abstractNum>
  <w:abstractNum w:abstractNumId="2">
    <w:nsid w:val="7D966D61"/>
    <w:multiLevelType w:val="singleLevel"/>
    <w:tmpl w:val="7D966D61"/>
    <w:lvl w:ilvl="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6B11"/>
    <w:rsid w:val="00023088"/>
    <w:rsid w:val="00030DE8"/>
    <w:rsid w:val="00072016"/>
    <w:rsid w:val="00087681"/>
    <w:rsid w:val="000A356E"/>
    <w:rsid w:val="000B60FB"/>
    <w:rsid w:val="000C681B"/>
    <w:rsid w:val="00114D91"/>
    <w:rsid w:val="00136844"/>
    <w:rsid w:val="00145185"/>
    <w:rsid w:val="00153676"/>
    <w:rsid w:val="001962D9"/>
    <w:rsid w:val="001E3206"/>
    <w:rsid w:val="00223E76"/>
    <w:rsid w:val="002441FE"/>
    <w:rsid w:val="00266F88"/>
    <w:rsid w:val="002A1369"/>
    <w:rsid w:val="002B172D"/>
    <w:rsid w:val="002D7DD2"/>
    <w:rsid w:val="003369A9"/>
    <w:rsid w:val="00352CE2"/>
    <w:rsid w:val="003B1361"/>
    <w:rsid w:val="003D4F1D"/>
    <w:rsid w:val="004853F8"/>
    <w:rsid w:val="004A1A53"/>
    <w:rsid w:val="00580A51"/>
    <w:rsid w:val="00580D8E"/>
    <w:rsid w:val="00584445"/>
    <w:rsid w:val="0059255C"/>
    <w:rsid w:val="00592882"/>
    <w:rsid w:val="007202BE"/>
    <w:rsid w:val="00770953"/>
    <w:rsid w:val="007709A9"/>
    <w:rsid w:val="007C5E77"/>
    <w:rsid w:val="007E6B11"/>
    <w:rsid w:val="007F3928"/>
    <w:rsid w:val="00802BD6"/>
    <w:rsid w:val="008328F9"/>
    <w:rsid w:val="00836846"/>
    <w:rsid w:val="00842899"/>
    <w:rsid w:val="00862BCD"/>
    <w:rsid w:val="00864B80"/>
    <w:rsid w:val="008A35C5"/>
    <w:rsid w:val="008A612F"/>
    <w:rsid w:val="00933807"/>
    <w:rsid w:val="009437DA"/>
    <w:rsid w:val="0095470B"/>
    <w:rsid w:val="009A3211"/>
    <w:rsid w:val="009B23DE"/>
    <w:rsid w:val="009C14E7"/>
    <w:rsid w:val="00A44097"/>
    <w:rsid w:val="00A56E98"/>
    <w:rsid w:val="00A8389A"/>
    <w:rsid w:val="00AC4336"/>
    <w:rsid w:val="00AF40A1"/>
    <w:rsid w:val="00AF65F3"/>
    <w:rsid w:val="00B64FBE"/>
    <w:rsid w:val="00B81428"/>
    <w:rsid w:val="00BC51E2"/>
    <w:rsid w:val="00C15634"/>
    <w:rsid w:val="00C25462"/>
    <w:rsid w:val="00C655AC"/>
    <w:rsid w:val="00C76048"/>
    <w:rsid w:val="00C94DE5"/>
    <w:rsid w:val="00CF7CEF"/>
    <w:rsid w:val="00D016AE"/>
    <w:rsid w:val="00D13802"/>
    <w:rsid w:val="00D24795"/>
    <w:rsid w:val="00D367A3"/>
    <w:rsid w:val="00D379F6"/>
    <w:rsid w:val="00DB0078"/>
    <w:rsid w:val="00E11905"/>
    <w:rsid w:val="00E251E3"/>
    <w:rsid w:val="00EA1AD9"/>
    <w:rsid w:val="00ED7FEA"/>
    <w:rsid w:val="00EE37B9"/>
    <w:rsid w:val="00F02CB7"/>
    <w:rsid w:val="00F0542E"/>
    <w:rsid w:val="00F55D23"/>
    <w:rsid w:val="00FC74A4"/>
    <w:rsid w:val="00FD332A"/>
    <w:rsid w:val="00FF68B2"/>
    <w:rsid w:val="0397791F"/>
    <w:rsid w:val="20097628"/>
    <w:rsid w:val="20EF6BAB"/>
    <w:rsid w:val="2C7D2735"/>
    <w:rsid w:val="44C035DC"/>
    <w:rsid w:val="49D945BC"/>
    <w:rsid w:val="5B8B7E37"/>
    <w:rsid w:val="6D8218CB"/>
    <w:rsid w:val="6DFB394B"/>
    <w:rsid w:val="72C20C7D"/>
    <w:rsid w:val="77F9696F"/>
    <w:rsid w:val="7F1B50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6E"/>
    <w:pPr>
      <w:widowControl w:val="0"/>
      <w:spacing w:before="240"/>
      <w:jc w:val="both"/>
    </w:pPr>
    <w:rPr>
      <w:kern w:val="2"/>
      <w:sz w:val="21"/>
      <w:szCs w:val="22"/>
    </w:rPr>
  </w:style>
  <w:style w:type="paragraph" w:styleId="1">
    <w:name w:val="heading 1"/>
    <w:basedOn w:val="a"/>
    <w:next w:val="a"/>
    <w:link w:val="1Char"/>
    <w:qFormat/>
    <w:rsid w:val="00EE37B9"/>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A356E"/>
    <w:pPr>
      <w:tabs>
        <w:tab w:val="center" w:pos="4153"/>
        <w:tab w:val="right" w:pos="8306"/>
      </w:tabs>
      <w:snapToGrid w:val="0"/>
      <w:jc w:val="left"/>
    </w:pPr>
    <w:rPr>
      <w:sz w:val="18"/>
      <w:szCs w:val="18"/>
    </w:rPr>
  </w:style>
  <w:style w:type="paragraph" w:styleId="a4">
    <w:name w:val="header"/>
    <w:basedOn w:val="a"/>
    <w:link w:val="Char0"/>
    <w:uiPriority w:val="99"/>
    <w:unhideWhenUsed/>
    <w:rsid w:val="000A35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A356E"/>
    <w:rPr>
      <w:sz w:val="18"/>
      <w:szCs w:val="18"/>
    </w:rPr>
  </w:style>
  <w:style w:type="character" w:customStyle="1" w:styleId="Char">
    <w:name w:val="页脚 Char"/>
    <w:basedOn w:val="a0"/>
    <w:link w:val="a3"/>
    <w:uiPriority w:val="99"/>
    <w:rsid w:val="000A356E"/>
    <w:rPr>
      <w:sz w:val="18"/>
      <w:szCs w:val="18"/>
    </w:rPr>
  </w:style>
  <w:style w:type="character" w:customStyle="1" w:styleId="1Char">
    <w:name w:val="标题 1 Char"/>
    <w:basedOn w:val="a0"/>
    <w:link w:val="1"/>
    <w:qFormat/>
    <w:rsid w:val="00EE37B9"/>
    <w:rPr>
      <w:b/>
      <w:kern w:val="44"/>
      <w:sz w:val="44"/>
      <w:szCs w:val="22"/>
    </w:rPr>
  </w:style>
  <w:style w:type="paragraph" w:styleId="a5">
    <w:name w:val="Block Text"/>
    <w:basedOn w:val="a"/>
    <w:uiPriority w:val="99"/>
    <w:unhideWhenUsed/>
    <w:qFormat/>
    <w:rsid w:val="00EE37B9"/>
    <w:pPr>
      <w:spacing w:before="0" w:after="120"/>
      <w:ind w:leftChars="700" w:left="1440" w:rightChars="700" w:right="144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 Eric</dc:creator>
  <cp:lastModifiedBy>PC</cp:lastModifiedBy>
  <cp:revision>7</cp:revision>
  <dcterms:created xsi:type="dcterms:W3CDTF">2019-05-13T03:01:00Z</dcterms:created>
  <dcterms:modified xsi:type="dcterms:W3CDTF">2019-08-12T05:23:00Z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