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/>
                <w:sz w:val="32"/>
              </w:rPr>
              <w:t xml:space="preserve">  </w:t>
            </w:r>
            <w:r>
              <w:rPr>
                <w:rFonts w:hint="eastAsia" w:hAnsi="宋体" w:cs="Times New Roman"/>
                <w:snapToGrid w:val="0"/>
                <w:sz w:val="24"/>
              </w:rPr>
              <w:t>上海海事大学图书馆教材科及门口综合维修工程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5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06"/>
        <w:gridCol w:w="3030"/>
        <w:gridCol w:w="870"/>
        <w:gridCol w:w="795"/>
        <w:gridCol w:w="1995"/>
        <w:gridCol w:w="1418"/>
        <w:gridCol w:w="1432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序号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项目名称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项目内容特征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工程量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施工工艺及材料品牌、型号规格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单价（元）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矿棉板吊顶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原有吊顶拆除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龙骨拆除更换，更换龙骨规格按照原有规格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矿棉板吊顶安装，矿棉板材质规格按照原有规格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室内灯具、烟感等吊顶上面等拆除保护恢复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40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矿棉板吊顶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原有矿棉板拆除（保护性拆除，完好矿棉板整理好交物业保管）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cs="微软雅黑" w:asciiTheme="minorEastAsia" w:hAnsiTheme="minorEastAsia"/>
                <w:b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b/>
                <w:color w:val="000000"/>
                <w:sz w:val="20"/>
                <w:szCs w:val="20"/>
              </w:rPr>
              <w:t>龙骨利旧，如有锈蚀损坏则进行更换，更换龙骨规格按照原有规格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矿棉板吊顶安装，矿棉板材质规格按照原有规格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室内灯具、烟感等吊顶上面等拆除保护恢复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330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left"/>
              <w:rPr>
                <w:rFonts w:cs="微软雅黑" w:asciiTheme="minorEastAsia" w:hAnsiTheme="minor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 xml:space="preserve">内墙乳胶漆 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原有涂料铲除打磨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修批腻子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底漆一遍，面涂两遍；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书库内书较多，必要的二次搬运、成品保护和清理费用需考虑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225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left"/>
              <w:rPr>
                <w:rFonts w:cs="微软雅黑" w:asciiTheme="minorEastAsia" w:hAnsiTheme="minor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外墙乳胶漆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原有涂料铲除打磨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修批腻子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外墙面乳胶漆 光墙面 一底二度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170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left"/>
              <w:rPr>
                <w:rFonts w:cs="微软雅黑" w:asciiTheme="minorEastAsia" w:hAnsiTheme="minor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钢板门油漆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打磨半出白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油漆，一底二度，涂料颜色与原有一致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6.8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left"/>
              <w:rPr>
                <w:rFonts w:cs="微软雅黑" w:asciiTheme="minorEastAsia" w:hAnsiTheme="minor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环氧地坪修复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破损部位凿除，基层清理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环氧地坪修补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修补颜色与原有一致，完成后平整，无高差、起鼓等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1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0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灯具更换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原有灯具拆除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更换L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ED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平板灯，6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00*600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，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22w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，6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000K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，白光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电源线用原有线路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只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14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8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暂列金额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3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000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计入总价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9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规费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安全防护、文明施工措施费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11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施工措施费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12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税金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13</w:t>
            </w:r>
          </w:p>
        </w:tc>
        <w:tc>
          <w:tcPr>
            <w:tcW w:w="49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合计</w:t>
            </w:r>
          </w:p>
        </w:tc>
        <w:tc>
          <w:tcPr>
            <w:tcW w:w="853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元（大写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元）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pPr>
        <w:widowControl/>
        <w:textAlignment w:val="center"/>
        <w:rPr>
          <w:rFonts w:ascii="黑体" w:hAnsi="宋体" w:eastAsia="黑体" w:cs="黑体"/>
          <w:b/>
          <w:color w:val="000000"/>
          <w:sz w:val="48"/>
          <w:szCs w:val="48"/>
        </w:rPr>
        <w:sectPr>
          <w:headerReference r:id="rId4" w:type="default"/>
          <w:footerReference r:id="rId5" w:type="default"/>
          <w:pgSz w:w="16838" w:h="11906" w:orient="landscape"/>
          <w:pgMar w:top="1077" w:right="1418" w:bottom="1077" w:left="1418" w:header="936" w:footer="1174" w:gutter="0"/>
          <w:cols w:space="720" w:num="1"/>
          <w:docGrid w:linePitch="326" w:charSpace="0"/>
        </w:sectPr>
      </w:pPr>
    </w:p>
    <w:tbl>
      <w:tblPr>
        <w:tblStyle w:val="4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  <w:t>综合单价分析表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清单综合单价组成明细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  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="120" w:beforeLines="50" w:after="12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</w:rPr>
        <w:t>措施项目清单与计价表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  第  页共  页</w:t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p>
      <w:pPr>
        <w:autoSpaceDE w:val="0"/>
        <w:spacing w:before="120" w:beforeLines="50" w:after="120" w:afterLines="50" w:line="360" w:lineRule="auto"/>
        <w:jc w:val="left"/>
        <w:rPr>
          <w:rFonts w:ascii="黑体" w:hAnsi="宋体" w:eastAsia="黑体" w:cs="黑体"/>
          <w:bCs/>
          <w:color w:val="000000"/>
          <w:sz w:val="48"/>
          <w:szCs w:val="48"/>
        </w:rPr>
      </w:pPr>
    </w:p>
    <w:p/>
    <w:sectPr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3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</w:pPr>
    <w:r>
      <w:rPr>
        <w:rFonts w:hint="eastAsia" w:ascii="宋体" w:hAnsi="宋体"/>
        <w:snapToGrid/>
        <w:spacing w:val="0"/>
        <w:sz w:val="18"/>
      </w:rPr>
      <w:t xml:space="preserve"> </w:t>
    </w:r>
    <w:r>
      <w:rPr>
        <w:rFonts w:hint="eastAsia" w:ascii="宋体" w:hAnsi="宋体" w:cs="Times New Roman"/>
        <w:snapToGrid/>
        <w:spacing w:val="0"/>
        <w:sz w:val="18"/>
      </w:rPr>
      <w:t>上海海事大学图书馆教材科及门口综合维修工程</w:t>
    </w:r>
    <w:r>
      <w:rPr>
        <w:rFonts w:hint="eastAsia" w:ascii="宋体" w:hAnsi="宋体"/>
        <w:snapToGrid/>
        <w:spacing w:val="0"/>
        <w:sz w:val="18"/>
      </w:rPr>
      <w:t>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1032F0F"/>
    <w:multiLevelType w:val="multilevel"/>
    <w:tmpl w:val="21032F0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291D9E"/>
    <w:multiLevelType w:val="multilevel"/>
    <w:tmpl w:val="26291D9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555935"/>
    <w:multiLevelType w:val="multilevel"/>
    <w:tmpl w:val="2955593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CC647B5"/>
    <w:multiLevelType w:val="multilevel"/>
    <w:tmpl w:val="3CC647B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E601DA4"/>
    <w:multiLevelType w:val="multilevel"/>
    <w:tmpl w:val="3E601DA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37E3D7A"/>
    <w:multiLevelType w:val="multilevel"/>
    <w:tmpl w:val="537E3D7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4305249"/>
    <w:multiLevelType w:val="multilevel"/>
    <w:tmpl w:val="6430524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0C00B0"/>
    <w:rsid w:val="00104C7A"/>
    <w:rsid w:val="001923AC"/>
    <w:rsid w:val="0020108F"/>
    <w:rsid w:val="002628A8"/>
    <w:rsid w:val="004D5FC5"/>
    <w:rsid w:val="005206C1"/>
    <w:rsid w:val="005531C2"/>
    <w:rsid w:val="00704E1F"/>
    <w:rsid w:val="00717A6E"/>
    <w:rsid w:val="007B1778"/>
    <w:rsid w:val="00907E42"/>
    <w:rsid w:val="00973B35"/>
    <w:rsid w:val="009E511C"/>
    <w:rsid w:val="00A21334"/>
    <w:rsid w:val="00A357DC"/>
    <w:rsid w:val="00C00156"/>
    <w:rsid w:val="00C150C2"/>
    <w:rsid w:val="00EA123C"/>
    <w:rsid w:val="00F13833"/>
    <w:rsid w:val="00F46872"/>
    <w:rsid w:val="00F5345D"/>
    <w:rsid w:val="00F81A85"/>
    <w:rsid w:val="00FB61F4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A0E7C1C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420</Words>
  <Characters>2397</Characters>
  <Lines>19</Lines>
  <Paragraphs>5</Paragraphs>
  <TotalTime>24</TotalTime>
  <ScaleCrop>false</ScaleCrop>
  <LinksUpToDate>false</LinksUpToDate>
  <CharactersWithSpaces>2812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2018-11-28T11:10:00Z</dcterms:created>
  <dc:creator>键键鏮鏮</dc:creator>
  <cp:lastModifiedBy>js</cp:lastModifiedBy>
  <cp:lastPrinted>2019-03-26T01:16:00Z</cp:lastPrinted>
  <dcterms:modified xsi:type="dcterms:W3CDTF">2020-05-13T02:16:03Z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