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信息办数据中心UPS机房空调系统更新改造项目</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w:t>
      </w:r>
      <w:r>
        <w:rPr>
          <w:rFonts w:hint="eastAsia" w:ascii="方正兰亭黑简体" w:hAnsi="方正兰亭黑简体" w:eastAsia="方正兰亭黑简体" w:cs="方正兰亭黑简体"/>
          <w:color w:val="auto"/>
          <w:sz w:val="28"/>
          <w:szCs w:val="28"/>
          <w:highlight w:val="none"/>
        </w:rPr>
        <w:t>BX2025</w:t>
      </w:r>
      <w:r>
        <w:rPr>
          <w:rFonts w:hint="eastAsia" w:ascii="方正兰亭黑简体" w:hAnsi="方正兰亭黑简体" w:eastAsia="方正兰亭黑简体" w:cs="方正兰亭黑简体"/>
          <w:color w:val="auto"/>
          <w:sz w:val="28"/>
          <w:szCs w:val="28"/>
          <w:highlight w:val="none"/>
          <w:lang w:val="en-US" w:eastAsia="zh-CN"/>
        </w:rPr>
        <w:t>029</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采购人：上海海事大学</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二○二五年三月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w:t>
      </w:r>
      <w:r>
        <w:rPr>
          <w:rFonts w:hint="eastAsia" w:ascii="方正兰亭黑简体" w:hAnsi="方正兰亭黑简体" w:eastAsia="方正兰亭黑简体" w:cs="方正兰亭黑简体"/>
          <w:color w:val="auto"/>
          <w:sz w:val="22"/>
          <w:szCs w:val="28"/>
          <w:highlight w:val="none"/>
        </w:rPr>
        <w:t>BX2025</w:t>
      </w:r>
      <w:r>
        <w:rPr>
          <w:rFonts w:hint="eastAsia" w:ascii="方正兰亭黑简体" w:hAnsi="方正兰亭黑简体" w:eastAsia="方正兰亭黑简体" w:cs="方正兰亭黑简体"/>
          <w:color w:val="auto"/>
          <w:sz w:val="22"/>
          <w:szCs w:val="28"/>
          <w:highlight w:val="none"/>
          <w:lang w:val="en-US" w:eastAsia="zh-CN"/>
        </w:rPr>
        <w:t>029</w:t>
      </w:r>
      <w:r>
        <w:rPr>
          <w:rFonts w:hint="eastAsia" w:ascii="方正兰亭黑简体" w:hAnsi="方正兰亭黑简体" w:eastAsia="方正兰亭黑简体" w:cs="方正兰亭黑简体"/>
          <w:color w:val="auto"/>
          <w:sz w:val="22"/>
          <w:szCs w:val="28"/>
          <w:highlight w:val="none"/>
          <w:lang w:val="en-US" w:eastAsia="zh-CN"/>
        </w:rPr>
        <w:t>；</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信息办数据中心UPS机房空调系统更新改造项目</w:t>
      </w:r>
      <w:r>
        <w:rPr>
          <w:rFonts w:hint="eastAsia" w:ascii="方正兰亭黑简体" w:hAnsi="方正兰亭黑简体" w:eastAsia="方正兰亭黑简体" w:cs="方正兰亭黑简体"/>
          <w:color w:val="auto"/>
          <w:sz w:val="22"/>
          <w:szCs w:val="28"/>
          <w:highlight w:val="none"/>
          <w:lang w:val="en-US" w:eastAsia="zh-CN"/>
        </w:rPr>
        <w:t>；</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p>
    <w:p w14:paraId="11D14FF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预算金额（亦是最高限价）：人民币</w:t>
      </w:r>
      <w:r>
        <w:rPr>
          <w:rFonts w:hint="eastAsia" w:ascii="方正兰亭黑简体" w:hAnsi="方正兰亭黑简体" w:eastAsia="方正兰亭黑简体" w:cs="方正兰亭黑简体"/>
          <w:color w:val="auto"/>
          <w:sz w:val="22"/>
          <w:szCs w:val="28"/>
          <w:highlight w:val="none"/>
          <w:lang w:val="en-US" w:eastAsia="zh-CN"/>
        </w:rPr>
        <w:t>19</w:t>
      </w:r>
      <w:r>
        <w:rPr>
          <w:rFonts w:hint="eastAsia" w:ascii="方正兰亭黑简体" w:hAnsi="方正兰亭黑简体" w:eastAsia="方正兰亭黑简体" w:cs="方正兰亭黑简体"/>
          <w:color w:val="auto"/>
          <w:sz w:val="22"/>
          <w:szCs w:val="28"/>
          <w:highlight w:val="none"/>
        </w:rPr>
        <w:t>万元</w:t>
      </w:r>
      <w:r>
        <w:rPr>
          <w:rFonts w:hint="eastAsia" w:ascii="方正兰亭黑简体" w:hAnsi="方正兰亭黑简体" w:eastAsia="方正兰亭黑简体" w:cs="方正兰亭黑简体"/>
          <w:color w:val="auto"/>
          <w:sz w:val="22"/>
          <w:szCs w:val="28"/>
          <w:highlight w:val="none"/>
          <w:lang w:eastAsia="zh-CN"/>
        </w:rPr>
        <w:t>；</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rPr>
        <w:t>上海海事大学信息办数据中心UPS机房空调系统改造项目供货及安装，包括深化设计、设备制造、送货上门、装卸、安装、调试、验收及售后服务。</w:t>
      </w:r>
      <w:r>
        <w:rPr>
          <w:rFonts w:hint="eastAsia" w:ascii="方正兰亭黑简体" w:hAnsi="方正兰亭黑简体" w:eastAsia="方正兰亭黑简体" w:cs="方正兰亭黑简体"/>
          <w:color w:val="auto"/>
          <w:sz w:val="22"/>
          <w:szCs w:val="28"/>
          <w:highlight w:val="none"/>
        </w:rPr>
        <w:t>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公告内附件图纸</w:t>
      </w:r>
      <w:r>
        <w:rPr>
          <w:rFonts w:hint="eastAsia" w:ascii="方正兰亭黑简体" w:hAnsi="方正兰亭黑简体" w:eastAsia="方正兰亭黑简体" w:cs="方正兰亭黑简体"/>
          <w:color w:val="auto"/>
          <w:sz w:val="22"/>
          <w:szCs w:val="28"/>
          <w:highlight w:val="none"/>
        </w:rPr>
        <w:t>）。</w:t>
      </w:r>
    </w:p>
    <w:p w14:paraId="7D7115EB">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交货地址：上海海事大学</w:t>
      </w:r>
      <w:r>
        <w:rPr>
          <w:rFonts w:hint="eastAsia" w:ascii="方正兰亭黑简体" w:hAnsi="方正兰亭黑简体" w:eastAsia="方正兰亭黑简体" w:cs="方正兰亭黑简体"/>
          <w:color w:val="auto"/>
          <w:sz w:val="22"/>
          <w:szCs w:val="28"/>
          <w:highlight w:val="none"/>
          <w:lang w:val="en-US" w:eastAsia="zh-CN"/>
        </w:rPr>
        <w:t>临港校区</w:t>
      </w:r>
      <w:r>
        <w:rPr>
          <w:rFonts w:hint="eastAsia" w:ascii="方正兰亭黑简体" w:hAnsi="方正兰亭黑简体" w:eastAsia="方正兰亭黑简体" w:cs="方正兰亭黑简体"/>
          <w:color w:val="auto"/>
          <w:sz w:val="22"/>
          <w:szCs w:val="28"/>
          <w:highlight w:val="none"/>
        </w:rPr>
        <w:t>内指定地点</w:t>
      </w:r>
      <w:r>
        <w:rPr>
          <w:rFonts w:hint="eastAsia" w:ascii="方正兰亭黑简体" w:hAnsi="方正兰亭黑简体" w:eastAsia="方正兰亭黑简体" w:cs="方正兰亭黑简体"/>
          <w:color w:val="auto"/>
          <w:sz w:val="22"/>
          <w:szCs w:val="28"/>
          <w:highlight w:val="none"/>
          <w:lang w:eastAsia="zh-CN"/>
        </w:rPr>
        <w:t>；</w:t>
      </w:r>
    </w:p>
    <w:p w14:paraId="7662D93F">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交付期限：合同签订后30日内完成供货、安装及调试工作。</w:t>
      </w:r>
    </w:p>
    <w:p w14:paraId="0043276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付款方式：合同签订后5个工作日</w:t>
      </w:r>
      <w:r>
        <w:rPr>
          <w:rFonts w:hint="eastAsia" w:ascii="方正兰亭黑简体" w:hAnsi="方正兰亭黑简体" w:eastAsia="方正兰亭黑简体" w:cs="方正兰亭黑简体"/>
          <w:color w:val="auto"/>
          <w:sz w:val="22"/>
          <w:szCs w:val="28"/>
          <w:highlight w:val="none"/>
          <w:lang w:val="en-US" w:eastAsia="zh-CN"/>
        </w:rPr>
        <w:t>内，甲方</w:t>
      </w:r>
      <w:r>
        <w:rPr>
          <w:rFonts w:hint="eastAsia" w:ascii="方正兰亭黑简体" w:hAnsi="方正兰亭黑简体" w:eastAsia="方正兰亭黑简体" w:cs="方正兰亭黑简体"/>
          <w:color w:val="auto"/>
          <w:sz w:val="22"/>
          <w:szCs w:val="28"/>
          <w:highlight w:val="none"/>
        </w:rPr>
        <w:t>预付合同价的30%</w:t>
      </w:r>
      <w:r>
        <w:rPr>
          <w:rFonts w:hint="eastAsia" w:ascii="方正兰亭黑简体" w:hAnsi="方正兰亭黑简体" w:eastAsia="方正兰亭黑简体" w:cs="方正兰亭黑简体"/>
          <w:color w:val="auto"/>
          <w:sz w:val="22"/>
          <w:szCs w:val="28"/>
          <w:highlight w:val="none"/>
          <w:lang w:val="en-US" w:eastAsia="zh-CN"/>
        </w:rPr>
        <w:t>定金，</w:t>
      </w:r>
      <w:r>
        <w:rPr>
          <w:rFonts w:hint="eastAsia" w:ascii="方正兰亭黑简体" w:hAnsi="方正兰亭黑简体" w:eastAsia="方正兰亭黑简体" w:cs="方正兰亭黑简体"/>
          <w:color w:val="auto"/>
          <w:sz w:val="22"/>
          <w:szCs w:val="28"/>
          <w:highlight w:val="none"/>
        </w:rPr>
        <w:t>安装完成</w:t>
      </w:r>
      <w:r>
        <w:rPr>
          <w:rFonts w:hint="eastAsia" w:ascii="方正兰亭黑简体" w:hAnsi="方正兰亭黑简体" w:eastAsia="方正兰亭黑简体" w:cs="方正兰亭黑简体"/>
          <w:color w:val="auto"/>
          <w:sz w:val="22"/>
          <w:szCs w:val="28"/>
          <w:highlight w:val="none"/>
          <w:lang w:val="en-US" w:eastAsia="zh-CN"/>
        </w:rPr>
        <w:t>且</w:t>
      </w:r>
      <w:r>
        <w:rPr>
          <w:rFonts w:hint="eastAsia" w:ascii="方正兰亭黑简体" w:hAnsi="方正兰亭黑简体" w:eastAsia="方正兰亭黑简体" w:cs="方正兰亭黑简体"/>
          <w:color w:val="auto"/>
          <w:sz w:val="22"/>
          <w:szCs w:val="28"/>
          <w:highlight w:val="none"/>
        </w:rPr>
        <w:t>甲方验收合格后</w:t>
      </w:r>
      <w:r>
        <w:rPr>
          <w:rFonts w:hint="eastAsia" w:ascii="方正兰亭黑简体" w:hAnsi="方正兰亭黑简体" w:eastAsia="方正兰亭黑简体" w:cs="方正兰亭黑简体"/>
          <w:color w:val="auto"/>
          <w:sz w:val="22"/>
          <w:szCs w:val="28"/>
          <w:highlight w:val="none"/>
          <w:lang w:val="en-US" w:eastAsia="zh-CN"/>
        </w:rPr>
        <w:t>的5个工作日内，甲方</w:t>
      </w:r>
      <w:r>
        <w:rPr>
          <w:rFonts w:hint="eastAsia" w:ascii="方正兰亭黑简体" w:hAnsi="方正兰亭黑简体" w:eastAsia="方正兰亭黑简体" w:cs="方正兰亭黑简体"/>
          <w:color w:val="auto"/>
          <w:sz w:val="22"/>
          <w:szCs w:val="28"/>
          <w:highlight w:val="none"/>
        </w:rPr>
        <w:t>支付合同价的70%</w:t>
      </w:r>
      <w:r>
        <w:rPr>
          <w:rFonts w:hint="eastAsia" w:ascii="方正兰亭黑简体" w:hAnsi="方正兰亭黑简体" w:eastAsia="方正兰亭黑简体" w:cs="方正兰亭黑简体"/>
          <w:color w:val="auto"/>
          <w:sz w:val="22"/>
          <w:szCs w:val="28"/>
          <w:highlight w:val="none"/>
          <w:lang w:val="en-US" w:eastAsia="zh-CN"/>
        </w:rPr>
        <w:t>尾款</w:t>
      </w:r>
      <w:r>
        <w:rPr>
          <w:rFonts w:hint="eastAsia" w:ascii="方正兰亭黑简体" w:hAnsi="方正兰亭黑简体" w:eastAsia="方正兰亭黑简体" w:cs="方正兰亭黑简体"/>
          <w:color w:val="auto"/>
          <w:sz w:val="22"/>
          <w:szCs w:val="28"/>
          <w:highlight w:val="none"/>
        </w:rPr>
        <w:t>。</w:t>
      </w:r>
    </w:p>
    <w:p w14:paraId="41BEA8D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二、</w:t>
      </w:r>
      <w:r>
        <w:rPr>
          <w:rFonts w:hint="eastAsia" w:ascii="方正兰亭黑简体" w:hAnsi="方正兰亭黑简体" w:eastAsia="方正兰亭黑简体" w:cs="方正兰亭黑简体"/>
          <w:b/>
          <w:bCs/>
          <w:color w:val="auto"/>
          <w:sz w:val="22"/>
          <w:szCs w:val="28"/>
          <w:highlight w:val="none"/>
          <w:lang w:val="en-US" w:eastAsia="zh-CN"/>
        </w:rPr>
        <w:t>报价</w:t>
      </w:r>
      <w:r>
        <w:rPr>
          <w:rFonts w:hint="eastAsia" w:ascii="方正兰亭黑简体" w:hAnsi="方正兰亭黑简体" w:eastAsia="方正兰亭黑简体" w:cs="方正兰亭黑简体"/>
          <w:b/>
          <w:bCs/>
          <w:color w:val="auto"/>
          <w:sz w:val="22"/>
          <w:szCs w:val="28"/>
          <w:highlight w:val="none"/>
        </w:rPr>
        <w:t>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不组织。</w:t>
      </w:r>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4</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11</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bookmarkStart w:id="4" w:name="_GoBack"/>
      <w:bookmarkEnd w:id="4"/>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张</w:t>
      </w:r>
      <w:r>
        <w:rPr>
          <w:rFonts w:hint="eastAsia" w:ascii="方正兰亭黑简体" w:hAnsi="方正兰亭黑简体" w:eastAsia="方正兰亭黑简体" w:cs="方正兰亭黑简体"/>
          <w:color w:val="auto"/>
          <w:sz w:val="22"/>
          <w:szCs w:val="28"/>
          <w:highlight w:val="none"/>
        </w:rPr>
        <w:t>老师021-3828</w:t>
      </w:r>
      <w:r>
        <w:rPr>
          <w:rFonts w:hint="eastAsia" w:ascii="方正兰亭黑简体" w:hAnsi="方正兰亭黑简体" w:eastAsia="方正兰亭黑简体" w:cs="方正兰亭黑简体"/>
          <w:color w:val="auto"/>
          <w:sz w:val="22"/>
          <w:szCs w:val="28"/>
          <w:highlight w:val="none"/>
          <w:lang w:val="en-US" w:eastAsia="zh-CN"/>
        </w:rPr>
        <w:t>4568</w:t>
      </w:r>
    </w:p>
    <w:p w14:paraId="13CA3734">
      <w:pPr>
        <w:jc w:val="left"/>
        <w:rPr>
          <w:rFonts w:hint="eastAsia" w:ascii="方正兰亭黑简体" w:hAnsi="方正兰亭黑简体" w:eastAsia="方正兰亭黑简体" w:cs="方正兰亭黑简体"/>
          <w:color w:val="auto"/>
          <w:sz w:val="22"/>
          <w:szCs w:val="28"/>
          <w:highlight w:val="none"/>
        </w:rPr>
      </w:pPr>
    </w:p>
    <w:p w14:paraId="2D28AC98">
      <w:pPr>
        <w:jc w:val="left"/>
        <w:rPr>
          <w:rFonts w:hint="eastAsia" w:ascii="方正兰亭黑简体" w:hAnsi="方正兰亭黑简体" w:eastAsia="方正兰亭黑简体" w:cs="方正兰亭黑简体"/>
          <w:color w:val="auto"/>
          <w:sz w:val="22"/>
          <w:szCs w:val="28"/>
          <w:highlight w:val="none"/>
        </w:rPr>
      </w:pP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0AF6FA07">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一</w:t>
      </w:r>
      <w:r>
        <w:rPr>
          <w:rFonts w:hint="eastAsia" w:ascii="方正兰亭黑简体" w:hAnsi="方正兰亭黑简体" w:eastAsia="方正兰亭黑简体" w:cs="方正兰亭黑简体"/>
          <w:b/>
          <w:bCs/>
          <w:color w:val="auto"/>
          <w:sz w:val="22"/>
          <w:szCs w:val="28"/>
          <w:highlight w:val="none"/>
        </w:rPr>
        <w:t>、项目内容简介</w:t>
      </w:r>
    </w:p>
    <w:p w14:paraId="523B4D5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UPS机房建筑面积84平方米，空调系统需求冷负荷28KW,空调系统采用２个独立的系统，并且独立于大楼舒适性空调系统。</w:t>
      </w:r>
    </w:p>
    <w:p w14:paraId="381B1D07">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多联式空调系统采用2套制冷量28KW室外机及4台室内机，室内机采用四面吹风式与中静压暗藏风管式，任何一系统空调故障，均不影响关键负荷100％运行，保证在线维护的需要。当其中一套空调设备突发故障时，能及时起动另一套多联式空调系统，检修或维修故障设备，同时还能保证除故障之外的空调系统设备的正常运行。该房间配置空调系统接入原有环控系统，纳入智控。</w:t>
      </w:r>
    </w:p>
    <w:p w14:paraId="3DC91613">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二</w:t>
      </w:r>
      <w:r>
        <w:rPr>
          <w:rFonts w:hint="eastAsia" w:ascii="方正兰亭黑简体" w:hAnsi="方正兰亭黑简体" w:eastAsia="方正兰亭黑简体" w:cs="方正兰亭黑简体"/>
          <w:b/>
          <w:bCs/>
          <w:color w:val="auto"/>
          <w:sz w:val="22"/>
          <w:szCs w:val="28"/>
          <w:highlight w:val="none"/>
        </w:rPr>
        <w:t>、项目供货与管理要求</w:t>
      </w:r>
    </w:p>
    <w:p w14:paraId="5797741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1、本项目投标人中标后应按照招标文件规定的方式提供货物及相关服务。</w:t>
      </w:r>
    </w:p>
    <w:p w14:paraId="1B7D676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2、安全生产、文明施工（安装）与环境保护要求</w:t>
      </w:r>
    </w:p>
    <w:p w14:paraId="348D1A43">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2.1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14:paraId="4C13A2F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2.2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14:paraId="73B5D1E1">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2.3中标人在项目供货、安装实施期间，必须遵守国家与上海市各项有关安全作业规章、规范与制度，建立动用明火申请批准制度，安全用电等制度，确保杜绝各类事故的发生。</w:t>
      </w:r>
    </w:p>
    <w:p w14:paraId="4A5EAAA3">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2.4中标人现场设备安装负责人应具有专业证书，安装人员人员必须持证上岗。中标单位应对设备安装、调试期间自身和第三方安全与财产负责。</w:t>
      </w:r>
    </w:p>
    <w:p w14:paraId="704313A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2.5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14:paraId="584C7BF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2.6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14:paraId="5BCC04C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3、控制要求：</w:t>
      </w:r>
    </w:p>
    <w:p w14:paraId="54C7026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3.1接入现有环控系统，包含环控系统扩展与接入费用，已包含在投标总价。</w:t>
      </w:r>
    </w:p>
    <w:p w14:paraId="54F6D7DF">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3.2★两独立空调系统24小时轮换运行。</w:t>
      </w:r>
    </w:p>
    <w:p w14:paraId="33661A3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3.3★故障自动启动另一系统。</w:t>
      </w:r>
    </w:p>
    <w:p w14:paraId="037928F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3.4★具有自动重启功能，断电以前的设置不会被消除。</w:t>
      </w:r>
    </w:p>
    <w:p w14:paraId="74582D3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3.5多联机室外机和主机系统组合应先进：对于模块机组必须具备后备运转功能，各个模块与模块之间以及单个模块中各个压缩机之间都必须具备后备运转功能，保证某一台室外机组其中一个模块发生故障或其中一个压缩机发生故障时，其它模块或压缩机能紧急启动运转以避免整个系统瘫痪。对于整装机必须具备各个压缩机之间的后备运转功能；</w:t>
      </w:r>
    </w:p>
    <w:p w14:paraId="11698077">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3.6为延长中央空调机与系统的使用寿命，一个系统内的各个多联机室外机模块必须能实现循环启动，除了模块间的循环启动功能外，同一模块内的各台压缩机也要具备循环启动功能，以保证每台压缩机的使用寿命基本相同。</w:t>
      </w:r>
    </w:p>
    <w:p w14:paraId="2AE361E7">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3.7★故障、漏水电话告警功能；</w:t>
      </w:r>
    </w:p>
    <w:p w14:paraId="7F728A71">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3.8室内控制器应具有（包括但不限于）：</w:t>
      </w:r>
    </w:p>
    <w:p w14:paraId="0C6F6B7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a.监测室内机及室外机（主机） 空调状态监控、故障监测、温度监测，并提供清洗报警功能。</w:t>
      </w:r>
    </w:p>
    <w:p w14:paraId="148AE2C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b. 控制、运转和设定：启动、停止控制、温度调节、模式设定、温度设定、滤网信号复位。</w:t>
      </w:r>
    </w:p>
    <w:p w14:paraId="224B5C8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c.显示：空调运转设置和状态，室内外机温度、故障，并具备清洗报警功能。变频多联空调系统应具有中央集中监控功能，具备扩展功能且满足后期升级需要。</w:t>
      </w:r>
    </w:p>
    <w:p w14:paraId="4555DD6C">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d.机组控制系统应设有过流保护、过热保护、变频过载保护、高压开关、管路过压保护等保护功能。</w:t>
      </w:r>
    </w:p>
    <w:p w14:paraId="604DCEE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e.每台室内机配置一个线控器。</w:t>
      </w:r>
    </w:p>
    <w:p w14:paraId="2A81391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3.8.★提供RS485通讯接口及协议</w:t>
      </w:r>
    </w:p>
    <w:p w14:paraId="211936C8">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4、环控要求：</w:t>
      </w:r>
    </w:p>
    <w:p w14:paraId="48FC782F">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4.1品牌：软派</w:t>
      </w:r>
    </w:p>
    <w:p w14:paraId="29D86CE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4.2功能：冷凝水漏水报警；监测室内机及室外机（主机）空调状态监控、故障监测、温度监测；故障、漏水电话告警功能；告警输出短路，灯为红色，闪烁，蜂鸣器鸣叫；</w:t>
      </w:r>
    </w:p>
    <w:p w14:paraId="264473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4.3漏水模块：区域式漏水变送器、漏水感应绳，区域式漏水监控软件模块； 在漏水监测系统中所监控漏水感应线的状态以动态线条和图标的形式显示；一旦有漏水发生，整条线条会立即变成红色，线条正常情况下是绿色的；漏水绳呈现为动态流动效果；</w:t>
      </w:r>
    </w:p>
    <w:p w14:paraId="09FD771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 xml:space="preserve">4.4开关量采集模块： 配有16路开关采集端口，可同时采集16路开关量信号。装置面板上有相应16路指示灯显示结果。可采集干(无源)接点和湿(有源)接点。每路检测输入端口都有光电隔离电路，使得保护模块不受外来浪涌高压损坏。要求可设定不同地址，同一RS-485总线可连接多个设备。针对于干接点(无源)，要求开关状态为对地线短路或开路。针对于湿接点(有源)，开关状态为0电压(+1V以下)或有电压(3V以上至12V)。要求通过上位软件设定地址，最多可设置256个不同地址(0-255)。同一RS-485总线可连接256个设备并地址不能重复。要求其可用于网络长度达4000英吋。宽电压供电+10～+30V DC，电源消耗1.2W，使用温度0-70C，湿度5～95％，不冷凝。                                    4.5多联式空调监测软件模块：由温湿度传感器采集UPS间内的温湿度数据，实时显示温度信号、湿度信号；                                                             </w:t>
      </w:r>
    </w:p>
    <w:p w14:paraId="7C1D963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 xml:space="preserve">5、其他要求： </w:t>
      </w:r>
    </w:p>
    <w:p w14:paraId="2BCA8338">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5.1节能政策</w:t>
      </w:r>
    </w:p>
    <w:p w14:paraId="7E2BEC87">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 xml:space="preserve">根据《财政部 发展改革委 生态环境部 市场监管总局 关于调整优化节能产品、环境标志产品政府采购执行机制的通知》（财库〔2019〕9号）以及财政部、发展改革委发布的《节能产品政府采购品目清单》，本项目采购的多联式空调机组属于政府强制采购节能产品。 </w:t>
      </w:r>
    </w:p>
    <w:p w14:paraId="4AE9650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5.2投标人在投标前应认真了解现场实际运输、安装条件、基础条件和其他相关条件。招标人对货物的尺寸有要求的，卖方提供的货物尺寸应符合招标人的规定。</w:t>
      </w:r>
    </w:p>
    <w:p w14:paraId="0CB8077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5.3由采购人提供的资料和数据，只是使投标人能够利用采购人现有的资料。采购人对投标人未了解安装现场，仅凭资料而由此作出的推论、解释和结论概不负责。</w:t>
      </w:r>
    </w:p>
    <w:p w14:paraId="4263F5CC">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5.4机组外壳材料、构架及内部部件、配件的表面处理应有良好的防腐性能，在机组所处的环境条件下应保证10年不生锈。室内机应满足冷凝水排放要求，如有必要，应配冷凝水提升泵。</w:t>
      </w:r>
    </w:p>
    <w:p w14:paraId="401E65C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5.5中标人在货物供货前应对所供设备结合使用现场和本市环境实际条件情况能否达到满足合理的舒适环境标准进行复核，并根据复核结果提出合理建议报采购人批准。</w:t>
      </w:r>
    </w:p>
    <w:p w14:paraId="2AF7CB3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5.6中标人在货物供货前需将采购人所需货物的技术资料和使用条件报采购人认可后方可订货（组织生产）、供货。本项目调试安排及试用期间管理将纳入采购人的管理范围，中标人在此过程中须服从采购人的管理协调。</w:t>
      </w:r>
    </w:p>
    <w:p w14:paraId="4732561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5.7乙方施工负责范围：</w:t>
      </w:r>
    </w:p>
    <w:p w14:paraId="039D6F0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1、根据国家技术操作规范，按图精心施工，保质保量完成本合同项目。</w:t>
      </w:r>
    </w:p>
    <w:p w14:paraId="0804F1B3">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2、在施工中应确保安全生产，遵守国家规定的安全规章制度。</w:t>
      </w:r>
    </w:p>
    <w:p w14:paraId="18C9214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3、室内、外机组及线控器就位安装。</w:t>
      </w:r>
    </w:p>
    <w:p w14:paraId="24236B7F">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4、施工过程中的管道打洞及封堵。</w:t>
      </w:r>
    </w:p>
    <w:p w14:paraId="7F018B2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5、室内外机组间冷媒管道安装连接，清洗、试压。</w:t>
      </w:r>
    </w:p>
    <w:p w14:paraId="1A7302B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6、室内、外机组间信号连接。</w:t>
      </w:r>
    </w:p>
    <w:p w14:paraId="3CFFD1F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7、室内机组、室外机电源线自行从A、B楼内指定电箱开关连接，室外机需要装隔离开关，由投标人负责。</w:t>
      </w:r>
    </w:p>
    <w:p w14:paraId="3F4D004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8、室内机组与有线遥控器间信号系统安装与连接，室外机与室内机通讯线安装与接线。</w:t>
      </w:r>
    </w:p>
    <w:p w14:paraId="7F3BB50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9、室内机冷凝水系统的连接。</w:t>
      </w:r>
    </w:p>
    <w:p w14:paraId="4921D34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10、系统调试。</w:t>
      </w:r>
    </w:p>
    <w:p w14:paraId="4A90CB1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甲方配合工作：</w:t>
      </w:r>
    </w:p>
    <w:p w14:paraId="2C45C583">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1、甲方提供施工仓库。</w:t>
      </w:r>
    </w:p>
    <w:p w14:paraId="725A8A9D">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三</w:t>
      </w:r>
      <w:r>
        <w:rPr>
          <w:rFonts w:hint="eastAsia" w:ascii="方正兰亭黑简体" w:hAnsi="方正兰亭黑简体" w:eastAsia="方正兰亭黑简体" w:cs="方正兰亭黑简体"/>
          <w:b/>
          <w:bCs/>
          <w:color w:val="auto"/>
          <w:sz w:val="22"/>
          <w:szCs w:val="28"/>
          <w:highlight w:val="none"/>
        </w:rPr>
        <w:t>、质量标准与验收要求</w:t>
      </w:r>
    </w:p>
    <w:p w14:paraId="7FCD15F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投标人提供的产品和相关服务应符合国家和上海市与本项目有关的各项质量和安全标准、规范和验收要求以及相关政府管理部门和行业有关规定和规程，标准、规范等不一致的，以要求严的为准。安装后机组室内、室外噪音还应满足环保与环境使用要求  (距机组1m测试)，投标单位应提供机组设备噪音指标。</w:t>
      </w:r>
    </w:p>
    <w:p w14:paraId="63DB6CF7">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2、如验收未获通过，中标人应整改至合格并接受采购人按照合同约定的违约处理。</w:t>
      </w:r>
    </w:p>
    <w:p w14:paraId="5FE32A9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3、中标人应承诺根据招标方要求提供4套全套资料，并负责或配合招标方完成资料竣工档案的编制工作。</w:t>
      </w:r>
    </w:p>
    <w:p w14:paraId="5B1B3663">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4、在货物交货时，中标人需向工程监理出示产品质量与数量证明文件等资料。每套资料内容至少应包括：</w:t>
      </w:r>
    </w:p>
    <w:p w14:paraId="7319F4D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(1)产品出厂检验检测报告</w:t>
      </w:r>
    </w:p>
    <w:p w14:paraId="79239AA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(2)产品出厂检验合格证/质量证明</w:t>
      </w:r>
    </w:p>
    <w:p w14:paraId="7BB46F8F">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(3)产品装箱单</w:t>
      </w:r>
    </w:p>
    <w:p w14:paraId="61AF9558">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(4)产品质量保证书</w:t>
      </w:r>
    </w:p>
    <w:p w14:paraId="674DADC7">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(5)设备原产地证书（如需）</w:t>
      </w:r>
    </w:p>
    <w:p w14:paraId="110F5D1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(6)其它有关招标方需归档的文件</w:t>
      </w:r>
    </w:p>
    <w:p w14:paraId="25FD3158">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5、所投标产品应按国标、部标或行业标准要求制造，达到合格标准。</w:t>
      </w:r>
    </w:p>
    <w:p w14:paraId="31555D77">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6、售后服务不少于2年，各投标单位自报。</w:t>
      </w:r>
    </w:p>
    <w:p w14:paraId="00E71A2C">
      <w:pPr>
        <w:jc w:val="left"/>
        <w:rPr>
          <w:rFonts w:hint="eastAsia" w:ascii="方正兰亭黑简体" w:hAnsi="方正兰亭黑简体" w:eastAsia="方正兰亭黑简体" w:cs="方正兰亭黑简体"/>
          <w:color w:val="auto"/>
          <w:sz w:val="22"/>
          <w:szCs w:val="28"/>
          <w:highlight w:val="none"/>
        </w:rPr>
      </w:pPr>
    </w:p>
    <w:p w14:paraId="72E2E942">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四</w:t>
      </w:r>
      <w:r>
        <w:rPr>
          <w:rFonts w:hint="eastAsia" w:ascii="方正兰亭黑简体" w:hAnsi="方正兰亭黑简体" w:eastAsia="方正兰亭黑简体" w:cs="方正兰亭黑简体"/>
          <w:b/>
          <w:bCs/>
          <w:color w:val="auto"/>
          <w:sz w:val="22"/>
          <w:szCs w:val="28"/>
          <w:highlight w:val="none"/>
        </w:rPr>
        <w:t>、具体设备要求（不低于以下要求）</w:t>
      </w:r>
    </w:p>
    <w:tbl>
      <w:tblPr>
        <w:tblStyle w:val="9"/>
        <w:tblW w:w="9819" w:type="dxa"/>
        <w:tblInd w:w="96" w:type="dxa"/>
        <w:tblLayout w:type="autofit"/>
        <w:tblCellMar>
          <w:top w:w="0" w:type="dxa"/>
          <w:left w:w="108" w:type="dxa"/>
          <w:bottom w:w="0" w:type="dxa"/>
          <w:right w:w="108" w:type="dxa"/>
        </w:tblCellMar>
      </w:tblPr>
      <w:tblGrid>
        <w:gridCol w:w="612"/>
        <w:gridCol w:w="1955"/>
        <w:gridCol w:w="4346"/>
        <w:gridCol w:w="811"/>
        <w:gridCol w:w="669"/>
        <w:gridCol w:w="1426"/>
      </w:tblGrid>
      <w:tr w14:paraId="1953F444">
        <w:tblPrEx>
          <w:tblCellMar>
            <w:top w:w="0" w:type="dxa"/>
            <w:left w:w="108" w:type="dxa"/>
            <w:bottom w:w="0" w:type="dxa"/>
            <w:right w:w="108" w:type="dxa"/>
          </w:tblCellMar>
        </w:tblPrEx>
        <w:trPr>
          <w:trHeight w:val="360" w:hRule="atLeast"/>
        </w:trPr>
        <w:tc>
          <w:tcPr>
            <w:tcW w:w="643"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175D824D">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序号</w:t>
            </w:r>
          </w:p>
        </w:tc>
        <w:tc>
          <w:tcPr>
            <w:tcW w:w="129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95C77BF">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名称</w:t>
            </w:r>
          </w:p>
        </w:tc>
        <w:tc>
          <w:tcPr>
            <w:tcW w:w="473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B6AC7EE">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技术要求</w:t>
            </w:r>
          </w:p>
        </w:tc>
        <w:tc>
          <w:tcPr>
            <w:tcW w:w="87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A84E4E0">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单位</w:t>
            </w:r>
          </w:p>
        </w:tc>
        <w:tc>
          <w:tcPr>
            <w:tcW w:w="70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74D697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数量</w:t>
            </w:r>
          </w:p>
        </w:tc>
        <w:tc>
          <w:tcPr>
            <w:tcW w:w="1559"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FD429C9">
            <w:pPr>
              <w:jc w:val="cente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品牌</w:t>
            </w:r>
          </w:p>
        </w:tc>
      </w:tr>
      <w:tr w14:paraId="24973C76">
        <w:tblPrEx>
          <w:tblCellMar>
            <w:top w:w="0" w:type="dxa"/>
            <w:left w:w="108" w:type="dxa"/>
            <w:bottom w:w="0" w:type="dxa"/>
            <w:right w:w="108" w:type="dxa"/>
          </w:tblCellMar>
        </w:tblPrEx>
        <w:trPr>
          <w:trHeight w:val="4154"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CE8BE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AD7E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 xml:space="preserve">  变冷媒流量多联机室外机-VRF-RF-01、02</w:t>
            </w:r>
          </w:p>
        </w:tc>
        <w:tc>
          <w:tcPr>
            <w:tcW w:w="4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A1D8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1.名称:多联式顶出风空调室外机</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2.编号:VRF-RF-01、02</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3.要求:★制冷量：28KW；制热量31.5KW;功率8.1KW，顶出风，提供485接口，由投标人接入原有环控系统；</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4.安装形式:落地式；</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5.隔振垫(器）、支架形式、材质:橡胶减震，混凝土基础（原有）；                     6.控制要求：                                                        （1）两独立空调系统24小时轮换运行。</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（2）故障自动启动另一系统。</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（3）具有自动重启功能，断电以前的设置不会被消除。</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4）多联机室外机和主机系统组合应先进：对于模块机组必须具备后备运转功能，各个模块与模块之间以及单个模块中各个压缩机之间都必须具备后备运转功能，保证某一台室外机组其中一个模块发生故障或其中一个压缩机发生故障时，其它模块或压缩机能紧急启动运转以避免整个系统瘫痪。对于整装机必须具备各个压缩机之间的后备运转功能；                                            7.提供RS485通讯接口及协议                                         8.接入现有环控系统，包含环控系统扩展与接入费用，已包含在投标总价。</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B7EA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台</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60EB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w:t>
            </w:r>
          </w:p>
        </w:tc>
        <w:tc>
          <w:tcPr>
            <w:tcW w:w="15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CEE0E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东芝、大金、三菱电机</w:t>
            </w:r>
          </w:p>
        </w:tc>
      </w:tr>
      <w:tr w14:paraId="6C3096F8">
        <w:tblPrEx>
          <w:tblCellMar>
            <w:top w:w="0" w:type="dxa"/>
            <w:left w:w="108" w:type="dxa"/>
            <w:bottom w:w="0" w:type="dxa"/>
            <w:right w:w="108" w:type="dxa"/>
          </w:tblCellMar>
        </w:tblPrEx>
        <w:trPr>
          <w:trHeight w:val="90"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F7515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81B3F">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 xml:space="preserve">  变冷媒流量多联机室内机 VIU-H-14</w:t>
            </w:r>
          </w:p>
        </w:tc>
        <w:tc>
          <w:tcPr>
            <w:tcW w:w="4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A12E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1.名称:多联机室内机</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2.型号:VIU-H-14</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3.规格:★制冷量:14kW；制热量:16kW，功率410W 其他详见图纸</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4.形式:中静压风管式 带冷凝水提升泵，配线控器、控制线、送回风口2套</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5.安装方式:吊顶式</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 xml:space="preserve">6.隔振垫(器）、支架形式、材质:弹簧隔振方式 详见图纸                            </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4320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台</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F6DD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w:t>
            </w:r>
          </w:p>
        </w:tc>
        <w:tc>
          <w:tcPr>
            <w:tcW w:w="15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9689C8">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东芝、大金、三菱电机</w:t>
            </w:r>
          </w:p>
        </w:tc>
      </w:tr>
      <w:tr w14:paraId="0A255459">
        <w:tblPrEx>
          <w:tblCellMar>
            <w:top w:w="0" w:type="dxa"/>
            <w:left w:w="108" w:type="dxa"/>
            <w:bottom w:w="0" w:type="dxa"/>
            <w:right w:w="108" w:type="dxa"/>
          </w:tblCellMar>
        </w:tblPrEx>
        <w:trPr>
          <w:trHeight w:val="841"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1C95B7">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85D6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 xml:space="preserve">  变冷媒流量多联机室内机 VIU-G-14</w:t>
            </w:r>
          </w:p>
        </w:tc>
        <w:tc>
          <w:tcPr>
            <w:tcW w:w="4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5178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1.名称:多联机室内机</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2.型号:VIU-G-14</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3.规格:★制冷量:14kW；制热量:16kW，功率104W 其他详见图纸</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4.形式:四面出风嵌入式 带冷凝水提升泵，配线控器及控制线</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5.安装方式:吊顶式</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5.安装方式:吊顶式</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 xml:space="preserve">6.隔振垫(器）、支架形式、材质:弹簧隔振方式 详见图纸；                      </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49CB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台</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BF56F">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w:t>
            </w:r>
          </w:p>
        </w:tc>
        <w:tc>
          <w:tcPr>
            <w:tcW w:w="15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B399EF">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东芝、大金、三菱电机</w:t>
            </w:r>
          </w:p>
        </w:tc>
      </w:tr>
      <w:tr w14:paraId="67FB478F">
        <w:tblPrEx>
          <w:tblCellMar>
            <w:top w:w="0" w:type="dxa"/>
            <w:left w:w="108" w:type="dxa"/>
            <w:bottom w:w="0" w:type="dxa"/>
            <w:right w:w="108" w:type="dxa"/>
          </w:tblCellMar>
        </w:tblPrEx>
        <w:trPr>
          <w:trHeight w:val="2554" w:hRule="atLeast"/>
        </w:trPr>
        <w:tc>
          <w:tcPr>
            <w:tcW w:w="64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218ABC">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435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安装材料</w:t>
            </w:r>
          </w:p>
        </w:tc>
        <w:tc>
          <w:tcPr>
            <w:tcW w:w="47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8C1E3">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1.室内机分支器2套；                                                2.冷媒铜管、保温、管件￠9.5mm/21米；￠12.7mm /90米；￠15.9mm/21米； ￠25.4mm/90米；管道安装氮气焊接、氮气吹扫、氮气压力试验、真空度试验。</w:t>
            </w:r>
            <w:r>
              <w:rPr>
                <w:rFonts w:hint="eastAsia" w:ascii="方正兰亭黑简体" w:hAnsi="方正兰亭黑简体" w:eastAsia="方正兰亭黑简体" w:cs="方正兰亭黑简体"/>
                <w:color w:val="auto"/>
                <w:sz w:val="22"/>
                <w:szCs w:val="28"/>
                <w:highlight w:val="none"/>
              </w:rPr>
              <w:br w:type="textWrapping"/>
            </w:r>
            <w:r>
              <w:rPr>
                <w:rFonts w:hint="eastAsia" w:ascii="方正兰亭黑简体" w:hAnsi="方正兰亭黑简体" w:eastAsia="方正兰亭黑简体" w:cs="方正兰亭黑简体"/>
                <w:color w:val="auto"/>
                <w:sz w:val="22"/>
                <w:szCs w:val="28"/>
                <w:highlight w:val="none"/>
              </w:rPr>
              <w:t>冷媒管保温:厚度15mm,保温难燃B1级发泡橡塑隔热保温管保温。用PVC扎带包扎成束,固定方式，冷媒管安装于桥架内。                               3.空调冷凝水管43米；                                                4.室外机电缆179米，室内机电线80米，电线需安装于桥架内； 每台室外机安装独立的隔离开关及独立的箱体；                                    5.镀锌钢板风管50平方，采用玻璃棉保温材料绝热；                                6.制冷系统R410a充注，系统调试；                                     7.报价需包含整个系统所有的材料、防火封堵、开洞、电源线、信号线安装，8.清单内数量仅供参考，具体数量以现场实际为准，结算价不做调整；</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2E05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4F69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p>
        </w:tc>
        <w:tc>
          <w:tcPr>
            <w:tcW w:w="155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5402C7">
            <w:pPr>
              <w:jc w:val="left"/>
              <w:rPr>
                <w:rFonts w:hint="eastAsia" w:ascii="方正兰亭黑简体" w:hAnsi="方正兰亭黑简体" w:eastAsia="方正兰亭黑简体" w:cs="方正兰亭黑简体"/>
                <w:color w:val="auto"/>
                <w:sz w:val="22"/>
                <w:szCs w:val="28"/>
                <w:highlight w:val="none"/>
              </w:rPr>
            </w:pPr>
          </w:p>
        </w:tc>
      </w:tr>
      <w:tr w14:paraId="58187391">
        <w:tblPrEx>
          <w:tblCellMar>
            <w:top w:w="0" w:type="dxa"/>
            <w:left w:w="108" w:type="dxa"/>
            <w:bottom w:w="0" w:type="dxa"/>
            <w:right w:w="108" w:type="dxa"/>
          </w:tblCellMar>
        </w:tblPrEx>
        <w:trPr>
          <w:trHeight w:val="983" w:hRule="atLeast"/>
        </w:trPr>
        <w:tc>
          <w:tcPr>
            <w:tcW w:w="643" w:type="dxa"/>
            <w:tcBorders>
              <w:top w:val="single" w:color="000000" w:sz="4" w:space="0"/>
              <w:left w:val="single" w:color="000000" w:sz="8" w:space="0"/>
              <w:bottom w:val="nil"/>
              <w:right w:val="single" w:color="000000" w:sz="4" w:space="0"/>
            </w:tcBorders>
            <w:shd w:val="clear" w:color="FFFFFF" w:fill="FFFFFF"/>
            <w:vAlign w:val="center"/>
          </w:tcPr>
          <w:p w14:paraId="2DF52CC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w:t>
            </w:r>
          </w:p>
        </w:tc>
        <w:tc>
          <w:tcPr>
            <w:tcW w:w="1296" w:type="dxa"/>
            <w:tcBorders>
              <w:top w:val="single" w:color="000000" w:sz="4" w:space="0"/>
              <w:left w:val="single" w:color="000000" w:sz="4" w:space="0"/>
              <w:bottom w:val="nil"/>
              <w:right w:val="single" w:color="000000" w:sz="4" w:space="0"/>
            </w:tcBorders>
            <w:shd w:val="clear" w:color="FFFFFF" w:fill="FFFFFF"/>
            <w:vAlign w:val="center"/>
          </w:tcPr>
          <w:p w14:paraId="31C4142E">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接入原有环控系统</w:t>
            </w:r>
          </w:p>
        </w:tc>
        <w:tc>
          <w:tcPr>
            <w:tcW w:w="4736" w:type="dxa"/>
            <w:tcBorders>
              <w:top w:val="single" w:color="000000" w:sz="4" w:space="0"/>
              <w:left w:val="single" w:color="000000" w:sz="4" w:space="0"/>
              <w:bottom w:val="nil"/>
              <w:right w:val="single" w:color="000000" w:sz="4" w:space="0"/>
            </w:tcBorders>
            <w:shd w:val="clear" w:color="FFFFFF" w:fill="FFFFFF"/>
          </w:tcPr>
          <w:p w14:paraId="4A46F78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 xml:space="preserve">1、品牌：软派                                                        2、功能：冷凝水漏水报警；监测室内机及室外机（主机）空调状态监控、故障监测、温度监测；故障、漏水电话告警功能；告警输出短路，灯为红色，闪烁，蜂鸣器鸣叫；                                                        3、漏水模块：区域式漏水变送器、漏水感应绳，区域式漏水监控软件模块； 在漏水监测系统中所监控漏水感应线的状态以动态线条和图标的形式显示；一旦有漏水发生，整条线条会立即变成红色，线条正常情况下是绿色的；漏水绳呈现为动态流动效果；                                                  4、开关量采集模块： 配有16路开关采集端口，可同时采集16路开关量信号。装置面板上有相应16路指示灯显示结果。可采集干(无源)接点和湿(有源)接点。每路检测输入端口都有光电隔离电路，使得保护模块不受外来浪涌高压损坏。要求可设定不同地址，同一RS-485总线可连接多个设备。针对于干接点(无源)，要求开关状态为对地线短路或开路。针对于湿接点(有源)，开关状态为0电压(+1V以下)或有电压(3V以上至12V)。要求通过上位软件设定地址，最多可设置256个不同地址(0-255)。同一RS-485总线可连接256个设备并地址不能重复。要求其可用于网络长度达4000英吋。宽电压供电+10～+30V DC，电源消耗1.2W，使用温度0-70C，湿度5～95％，不冷凝。                              5、多联式空调监测软件模块：由温湿度传感器采集各档案库房内的温湿度数据，实时显示温度信号、湿度信号；                                         6、★接入现有环控系统，包含环控系统扩展与接入费用，已包含在投标总价。              </w:t>
            </w:r>
          </w:p>
        </w:tc>
        <w:tc>
          <w:tcPr>
            <w:tcW w:w="876" w:type="dxa"/>
            <w:tcBorders>
              <w:top w:val="single" w:color="000000" w:sz="4" w:space="0"/>
              <w:left w:val="single" w:color="000000" w:sz="4" w:space="0"/>
              <w:bottom w:val="nil"/>
              <w:right w:val="single" w:color="000000" w:sz="4" w:space="0"/>
            </w:tcBorders>
            <w:shd w:val="clear" w:color="FFFFFF" w:fill="FFFFFF"/>
            <w:vAlign w:val="center"/>
          </w:tcPr>
          <w:p w14:paraId="1F931FE8">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w:t>
            </w:r>
          </w:p>
        </w:tc>
        <w:tc>
          <w:tcPr>
            <w:tcW w:w="709" w:type="dxa"/>
            <w:tcBorders>
              <w:top w:val="single" w:color="000000" w:sz="4" w:space="0"/>
              <w:left w:val="single" w:color="000000" w:sz="4" w:space="0"/>
              <w:bottom w:val="nil"/>
              <w:right w:val="single" w:color="000000" w:sz="4" w:space="0"/>
            </w:tcBorders>
            <w:shd w:val="clear" w:color="FFFFFF" w:fill="FFFFFF"/>
            <w:vAlign w:val="center"/>
          </w:tcPr>
          <w:p w14:paraId="6A3BD8A7">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p>
        </w:tc>
        <w:tc>
          <w:tcPr>
            <w:tcW w:w="1559" w:type="dxa"/>
            <w:tcBorders>
              <w:top w:val="single" w:color="000000" w:sz="4" w:space="0"/>
              <w:left w:val="single" w:color="000000" w:sz="4" w:space="0"/>
              <w:bottom w:val="nil"/>
              <w:right w:val="single" w:color="000000" w:sz="8" w:space="0"/>
            </w:tcBorders>
            <w:shd w:val="clear" w:color="FFFFFF" w:fill="FFFFFF"/>
            <w:vAlign w:val="center"/>
          </w:tcPr>
          <w:p w14:paraId="14F3628D">
            <w:pPr>
              <w:jc w:val="left"/>
              <w:rPr>
                <w:rFonts w:hint="eastAsia" w:ascii="方正兰亭黑简体" w:hAnsi="方正兰亭黑简体" w:eastAsia="方正兰亭黑简体" w:cs="方正兰亭黑简体"/>
                <w:color w:val="auto"/>
                <w:sz w:val="22"/>
                <w:szCs w:val="28"/>
                <w:highlight w:val="none"/>
              </w:rPr>
            </w:pPr>
          </w:p>
        </w:tc>
      </w:tr>
      <w:tr w14:paraId="3195673E">
        <w:tblPrEx>
          <w:tblCellMar>
            <w:top w:w="0" w:type="dxa"/>
            <w:left w:w="108" w:type="dxa"/>
            <w:bottom w:w="0" w:type="dxa"/>
            <w:right w:w="108" w:type="dxa"/>
          </w:tblCellMar>
        </w:tblPrEx>
        <w:trPr>
          <w:trHeight w:val="540" w:hRule="atLeast"/>
        </w:trPr>
        <w:tc>
          <w:tcPr>
            <w:tcW w:w="643" w:type="dxa"/>
            <w:tcBorders>
              <w:top w:val="single" w:color="000000" w:sz="4" w:space="0"/>
              <w:left w:val="single" w:color="000000" w:sz="8" w:space="0"/>
              <w:bottom w:val="single" w:color="auto" w:sz="4" w:space="0"/>
              <w:right w:val="single" w:color="000000" w:sz="4" w:space="0"/>
            </w:tcBorders>
            <w:shd w:val="clear" w:color="FFFFFF" w:fill="FFFFFF"/>
            <w:vAlign w:val="center"/>
          </w:tcPr>
          <w:p w14:paraId="3D16724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6</w:t>
            </w:r>
          </w:p>
        </w:tc>
        <w:tc>
          <w:tcPr>
            <w:tcW w:w="1296"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212B815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安装调试费</w:t>
            </w:r>
          </w:p>
        </w:tc>
        <w:tc>
          <w:tcPr>
            <w:tcW w:w="4736"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1D0C9A47">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多联机安装调试费，环控系统调试费</w:t>
            </w:r>
          </w:p>
        </w:tc>
        <w:tc>
          <w:tcPr>
            <w:tcW w:w="876"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078762D3">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w:t>
            </w:r>
          </w:p>
        </w:tc>
        <w:tc>
          <w:tcPr>
            <w:tcW w:w="709"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6FE6E1A3">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w:t>
            </w:r>
          </w:p>
        </w:tc>
        <w:tc>
          <w:tcPr>
            <w:tcW w:w="1559" w:type="dxa"/>
            <w:tcBorders>
              <w:top w:val="single" w:color="000000" w:sz="4" w:space="0"/>
              <w:left w:val="single" w:color="000000" w:sz="4" w:space="0"/>
              <w:bottom w:val="single" w:color="auto" w:sz="4" w:space="0"/>
              <w:right w:val="single" w:color="000000" w:sz="8" w:space="0"/>
            </w:tcBorders>
            <w:shd w:val="clear" w:color="FFFFFF" w:fill="FFFFFF"/>
            <w:vAlign w:val="center"/>
          </w:tcPr>
          <w:p w14:paraId="076B11C5">
            <w:pPr>
              <w:jc w:val="left"/>
              <w:rPr>
                <w:rFonts w:hint="eastAsia" w:ascii="方正兰亭黑简体" w:hAnsi="方正兰亭黑简体" w:eastAsia="方正兰亭黑简体" w:cs="方正兰亭黑简体"/>
                <w:color w:val="auto"/>
                <w:sz w:val="22"/>
                <w:szCs w:val="28"/>
                <w:highlight w:val="none"/>
              </w:rPr>
            </w:pPr>
          </w:p>
        </w:tc>
      </w:tr>
    </w:tbl>
    <w:p w14:paraId="50BE6BE0">
      <w:pPr>
        <w:jc w:val="left"/>
        <w:rPr>
          <w:rFonts w:hint="eastAsia" w:ascii="方正兰亭黑简体" w:hAnsi="方正兰亭黑简体" w:eastAsia="方正兰亭黑简体" w:cs="方正兰亭黑简体"/>
          <w:color w:val="auto"/>
          <w:sz w:val="22"/>
          <w:szCs w:val="28"/>
          <w:highlight w:val="none"/>
        </w:rPr>
      </w:pPr>
    </w:p>
    <w:p w14:paraId="34E9720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r>
        <w:rPr>
          <w:rFonts w:hint="eastAsia" w:ascii="方正兰亭黑简体" w:hAnsi="方正兰亭黑简体" w:eastAsia="方正兰亭黑简体" w:cs="方正兰亭黑简体"/>
          <w:color w:val="auto"/>
          <w:sz w:val="22"/>
          <w:szCs w:val="28"/>
          <w:highlight w:val="none"/>
        </w:rPr>
        <w:t xml:space="preserve"> </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采购人将根据工程的特点，依法组建比选小组，比选小组由3人或以上的单数组成。</w:t>
      </w:r>
    </w:p>
    <w:p w14:paraId="123C9161">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2、</w:t>
      </w:r>
      <w:r>
        <w:rPr>
          <w:rFonts w:hint="eastAsia" w:ascii="方正兰亭黑简体" w:hAnsi="方正兰亭黑简体" w:eastAsia="方正兰亭黑简体" w:cs="方正兰亭黑简体"/>
          <w:color w:val="auto"/>
          <w:sz w:val="22"/>
          <w:szCs w:val="28"/>
          <w:highlight w:val="none"/>
        </w:rPr>
        <w:t>具体评分细则如下：</w:t>
      </w:r>
    </w:p>
    <w:tbl>
      <w:tblPr>
        <w:tblStyle w:val="9"/>
        <w:tblW w:w="4844" w:type="pct"/>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799"/>
        <w:gridCol w:w="1300"/>
        <w:gridCol w:w="6733"/>
      </w:tblGrid>
      <w:tr w14:paraId="12A0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24" w:type="pct"/>
            <w:shd w:val="clear" w:color="auto" w:fill="auto"/>
            <w:vAlign w:val="center"/>
          </w:tcPr>
          <w:p w14:paraId="2E7A486D">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414" w:type="pct"/>
            <w:shd w:val="clear" w:color="auto" w:fill="auto"/>
            <w:vAlign w:val="center"/>
          </w:tcPr>
          <w:p w14:paraId="24394B4D">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分值</w:t>
            </w:r>
          </w:p>
        </w:tc>
        <w:tc>
          <w:tcPr>
            <w:tcW w:w="673" w:type="pct"/>
            <w:shd w:val="clear" w:color="auto" w:fill="auto"/>
            <w:vAlign w:val="center"/>
          </w:tcPr>
          <w:p w14:paraId="450A8A4F">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评分因素</w:t>
            </w:r>
          </w:p>
        </w:tc>
        <w:tc>
          <w:tcPr>
            <w:tcW w:w="3487" w:type="pct"/>
            <w:shd w:val="clear" w:color="auto" w:fill="auto"/>
            <w:vAlign w:val="center"/>
          </w:tcPr>
          <w:p w14:paraId="4068E186">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评分标准</w:t>
            </w:r>
          </w:p>
        </w:tc>
      </w:tr>
      <w:tr w14:paraId="2307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24" w:type="pct"/>
            <w:shd w:val="clear" w:color="auto" w:fill="auto"/>
            <w:vAlign w:val="center"/>
          </w:tcPr>
          <w:p w14:paraId="398A775C">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414" w:type="pct"/>
            <w:shd w:val="clear" w:color="auto" w:fill="auto"/>
            <w:vAlign w:val="center"/>
          </w:tcPr>
          <w:p w14:paraId="1011D0DA">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r>
              <w:rPr>
                <w:rFonts w:ascii="仿宋" w:hAnsi="仿宋" w:eastAsia="仿宋" w:cs="仿宋"/>
                <w:b/>
                <w:bCs/>
                <w:color w:val="auto"/>
                <w:kern w:val="0"/>
                <w:sz w:val="24"/>
                <w:highlight w:val="none"/>
              </w:rPr>
              <w:t>0</w:t>
            </w:r>
          </w:p>
        </w:tc>
        <w:tc>
          <w:tcPr>
            <w:tcW w:w="673" w:type="pct"/>
            <w:shd w:val="clear" w:color="auto" w:fill="auto"/>
            <w:vAlign w:val="center"/>
          </w:tcPr>
          <w:p w14:paraId="1685F92A">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投标报价</w:t>
            </w:r>
          </w:p>
        </w:tc>
        <w:tc>
          <w:tcPr>
            <w:tcW w:w="3487" w:type="pct"/>
            <w:shd w:val="clear" w:color="auto" w:fill="auto"/>
            <w:vAlign w:val="center"/>
          </w:tcPr>
          <w:p w14:paraId="2CB47C0D">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价格分采用均价优先法计算，即满足采购要求的投标报价价格的平均价为基准价，低于等于其价格分为满分。其他投标人的价格分统一按照下列公式计算：投标报价得分=（基准价／投标报价）×报价权重（3</w:t>
            </w:r>
            <w:r>
              <w:rPr>
                <w:rFonts w:ascii="仿宋" w:hAnsi="仿宋" w:eastAsia="仿宋" w:cs="仿宋"/>
                <w:color w:val="auto"/>
                <w:kern w:val="0"/>
                <w:sz w:val="24"/>
                <w:highlight w:val="none"/>
              </w:rPr>
              <w:t>0</w:t>
            </w:r>
            <w:r>
              <w:rPr>
                <w:rFonts w:hint="eastAsia" w:ascii="仿宋" w:hAnsi="仿宋" w:eastAsia="仿宋" w:cs="仿宋"/>
                <w:color w:val="auto"/>
                <w:kern w:val="0"/>
                <w:sz w:val="24"/>
                <w:highlight w:val="none"/>
              </w:rPr>
              <w:t>%）×100。</w:t>
            </w:r>
          </w:p>
        </w:tc>
      </w:tr>
      <w:tr w14:paraId="646C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424" w:type="pct"/>
            <w:shd w:val="clear" w:color="auto" w:fill="auto"/>
            <w:vAlign w:val="center"/>
          </w:tcPr>
          <w:p w14:paraId="7EC12158">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414" w:type="pct"/>
            <w:shd w:val="clear" w:color="auto" w:fill="auto"/>
            <w:vAlign w:val="center"/>
          </w:tcPr>
          <w:p w14:paraId="522924C7">
            <w:pPr>
              <w:widowControl/>
              <w:jc w:val="center"/>
              <w:rPr>
                <w:rFonts w:ascii="仿宋" w:hAnsi="仿宋" w:eastAsia="仿宋" w:cs="仿宋"/>
                <w:b/>
                <w:bCs/>
                <w:color w:val="auto"/>
                <w:kern w:val="0"/>
                <w:sz w:val="24"/>
                <w:highlight w:val="none"/>
              </w:rPr>
            </w:pPr>
            <w:r>
              <w:rPr>
                <w:rFonts w:ascii="仿宋" w:hAnsi="仿宋" w:eastAsia="仿宋" w:cs="仿宋"/>
                <w:b/>
                <w:bCs/>
                <w:color w:val="auto"/>
                <w:kern w:val="0"/>
                <w:sz w:val="24"/>
                <w:highlight w:val="none"/>
              </w:rPr>
              <w:t>27</w:t>
            </w:r>
          </w:p>
        </w:tc>
        <w:tc>
          <w:tcPr>
            <w:tcW w:w="673" w:type="pct"/>
            <w:shd w:val="clear" w:color="auto" w:fill="auto"/>
            <w:vAlign w:val="center"/>
          </w:tcPr>
          <w:p w14:paraId="0F74D138">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设备技术参数响应</w:t>
            </w:r>
          </w:p>
        </w:tc>
        <w:tc>
          <w:tcPr>
            <w:tcW w:w="3487" w:type="pct"/>
            <w:shd w:val="clear" w:color="auto" w:fill="auto"/>
            <w:vAlign w:val="center"/>
          </w:tcPr>
          <w:p w14:paraId="0F8B0C8A">
            <w:pPr>
              <w:widowControl/>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文件采购需求中设备清单及技术参数，“★”号条款参数不满足或存在负偏离的；扣3分，扣完为止。</w:t>
            </w:r>
          </w:p>
        </w:tc>
      </w:tr>
      <w:tr w14:paraId="02C4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424" w:type="pct"/>
            <w:shd w:val="clear" w:color="auto" w:fill="auto"/>
            <w:vAlign w:val="center"/>
          </w:tcPr>
          <w:p w14:paraId="3D8CFA7F">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414" w:type="pct"/>
            <w:shd w:val="clear" w:color="auto" w:fill="auto"/>
            <w:vAlign w:val="center"/>
          </w:tcPr>
          <w:p w14:paraId="6472A896">
            <w:pPr>
              <w:widowControl/>
              <w:jc w:val="center"/>
              <w:rPr>
                <w:rFonts w:ascii="仿宋" w:hAnsi="仿宋" w:eastAsia="仿宋" w:cs="仿宋"/>
                <w:b/>
                <w:bCs/>
                <w:color w:val="auto"/>
                <w:kern w:val="0"/>
                <w:sz w:val="24"/>
                <w:highlight w:val="none"/>
              </w:rPr>
            </w:pPr>
            <w:r>
              <w:rPr>
                <w:rFonts w:ascii="仿宋" w:hAnsi="仿宋" w:eastAsia="仿宋" w:cs="仿宋"/>
                <w:b/>
                <w:bCs/>
                <w:color w:val="auto"/>
                <w:kern w:val="0"/>
                <w:sz w:val="24"/>
                <w:highlight w:val="none"/>
              </w:rPr>
              <w:t>23</w:t>
            </w:r>
          </w:p>
        </w:tc>
        <w:tc>
          <w:tcPr>
            <w:tcW w:w="673" w:type="pct"/>
            <w:shd w:val="clear" w:color="auto" w:fill="auto"/>
            <w:vAlign w:val="center"/>
          </w:tcPr>
          <w:p w14:paraId="1DBA6327">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项目实施及验收计划</w:t>
            </w:r>
          </w:p>
        </w:tc>
        <w:tc>
          <w:tcPr>
            <w:tcW w:w="3487" w:type="pct"/>
            <w:shd w:val="clear" w:color="auto" w:fill="auto"/>
            <w:vAlign w:val="center"/>
          </w:tcPr>
          <w:p w14:paraId="127A8EC9">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施工方案、项目实施进度计划、产品的交货、安装、调试、测试方案、与环控系统的对接方案、质量保证措施、保证安全生产，文明施工的措施，相对较优者得 </w:t>
            </w:r>
            <w:r>
              <w:rPr>
                <w:rFonts w:ascii="仿宋" w:hAnsi="仿宋" w:eastAsia="仿宋" w:cs="仿宋"/>
                <w:color w:val="auto"/>
                <w:kern w:val="0"/>
                <w:sz w:val="24"/>
                <w:highlight w:val="none"/>
              </w:rPr>
              <w:t>17</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23</w:t>
            </w:r>
            <w:r>
              <w:rPr>
                <w:rFonts w:hint="eastAsia" w:ascii="仿宋" w:hAnsi="仿宋" w:eastAsia="仿宋" w:cs="仿宋"/>
                <w:color w:val="auto"/>
                <w:kern w:val="0"/>
                <w:sz w:val="24"/>
                <w:highlight w:val="none"/>
              </w:rPr>
              <w:t>分，基本可行者得</w:t>
            </w:r>
            <w:r>
              <w:rPr>
                <w:rFonts w:ascii="仿宋" w:hAnsi="仿宋" w:eastAsia="仿宋" w:cs="仿宋"/>
                <w:color w:val="auto"/>
                <w:kern w:val="0"/>
                <w:sz w:val="24"/>
                <w:highlight w:val="none"/>
              </w:rPr>
              <w:t>11</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16</w:t>
            </w:r>
            <w:r>
              <w:rPr>
                <w:rFonts w:hint="eastAsia" w:ascii="仿宋" w:hAnsi="仿宋" w:eastAsia="仿宋" w:cs="仿宋"/>
                <w:color w:val="auto"/>
                <w:kern w:val="0"/>
                <w:sz w:val="24"/>
                <w:highlight w:val="none"/>
              </w:rPr>
              <w:t>分，相对较差着得 0-</w:t>
            </w:r>
            <w:r>
              <w:rPr>
                <w:rFonts w:ascii="仿宋" w:hAnsi="仿宋" w:eastAsia="仿宋" w:cs="仿宋"/>
                <w:color w:val="auto"/>
                <w:kern w:val="0"/>
                <w:sz w:val="24"/>
                <w:highlight w:val="none"/>
              </w:rPr>
              <w:t>10</w:t>
            </w:r>
            <w:r>
              <w:rPr>
                <w:rFonts w:hint="eastAsia" w:ascii="仿宋" w:hAnsi="仿宋" w:eastAsia="仿宋" w:cs="仿宋"/>
                <w:color w:val="auto"/>
                <w:kern w:val="0"/>
                <w:sz w:val="24"/>
                <w:highlight w:val="none"/>
              </w:rPr>
              <w:t>分</w:t>
            </w:r>
          </w:p>
        </w:tc>
      </w:tr>
      <w:tr w14:paraId="013B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424" w:type="pct"/>
            <w:shd w:val="clear" w:color="auto" w:fill="auto"/>
            <w:vAlign w:val="center"/>
          </w:tcPr>
          <w:p w14:paraId="4522F3B6">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414" w:type="pct"/>
            <w:shd w:val="clear" w:color="auto" w:fill="auto"/>
            <w:vAlign w:val="center"/>
          </w:tcPr>
          <w:p w14:paraId="68EC71AC">
            <w:pPr>
              <w:widowControl/>
              <w:jc w:val="center"/>
              <w:rPr>
                <w:rFonts w:ascii="仿宋" w:hAnsi="仿宋" w:eastAsia="仿宋" w:cs="仿宋"/>
                <w:b/>
                <w:bCs/>
                <w:color w:val="auto"/>
                <w:kern w:val="0"/>
                <w:sz w:val="24"/>
                <w:highlight w:val="none"/>
              </w:rPr>
            </w:pPr>
            <w:r>
              <w:rPr>
                <w:rFonts w:ascii="仿宋" w:hAnsi="仿宋" w:eastAsia="仿宋" w:cs="仿宋"/>
                <w:b/>
                <w:bCs/>
                <w:color w:val="auto"/>
                <w:kern w:val="0"/>
                <w:sz w:val="24"/>
                <w:highlight w:val="none"/>
              </w:rPr>
              <w:t>10</w:t>
            </w:r>
          </w:p>
        </w:tc>
        <w:tc>
          <w:tcPr>
            <w:tcW w:w="673" w:type="pct"/>
            <w:shd w:val="clear" w:color="auto" w:fill="auto"/>
            <w:vAlign w:val="center"/>
          </w:tcPr>
          <w:p w14:paraId="51D1BB2F">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售后服务方案</w:t>
            </w:r>
          </w:p>
        </w:tc>
        <w:tc>
          <w:tcPr>
            <w:tcW w:w="3487" w:type="pct"/>
            <w:shd w:val="clear" w:color="auto" w:fill="auto"/>
            <w:vAlign w:val="center"/>
          </w:tcPr>
          <w:p w14:paraId="7606E2E5">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保修承诺的具体内容和实施措施（根据投标人提供的售后服务方案的合理性和可行性进行综合评审，包括服务体系、服务内容、故障解决方案、响应时间、专业技术人员保障， 团队等以及质保期后的服务方案，相对较优者得 </w:t>
            </w:r>
            <w:r>
              <w:rPr>
                <w:rFonts w:ascii="仿宋" w:hAnsi="仿宋" w:eastAsia="仿宋" w:cs="仿宋"/>
                <w:color w:val="auto"/>
                <w:kern w:val="0"/>
                <w:sz w:val="24"/>
                <w:highlight w:val="none"/>
              </w:rPr>
              <w:t>7</w:t>
            </w:r>
            <w:r>
              <w:rPr>
                <w:rFonts w:hint="eastAsia" w:ascii="仿宋" w:hAnsi="仿宋" w:eastAsia="仿宋" w:cs="仿宋"/>
                <w:color w:val="auto"/>
                <w:kern w:val="0"/>
                <w:sz w:val="24"/>
                <w:highlight w:val="none"/>
              </w:rPr>
              <w:t>-1</w:t>
            </w:r>
            <w:r>
              <w:rPr>
                <w:rFonts w:ascii="仿宋" w:hAnsi="仿宋" w:eastAsia="仿宋" w:cs="仿宋"/>
                <w:color w:val="auto"/>
                <w:kern w:val="0"/>
                <w:sz w:val="24"/>
                <w:highlight w:val="none"/>
              </w:rPr>
              <w:t>0</w:t>
            </w:r>
            <w:r>
              <w:rPr>
                <w:rFonts w:hint="eastAsia" w:ascii="仿宋" w:hAnsi="仿宋" w:eastAsia="仿宋" w:cs="仿宋"/>
                <w:color w:val="auto"/>
                <w:kern w:val="0"/>
                <w:sz w:val="24"/>
                <w:highlight w:val="none"/>
              </w:rPr>
              <w:t>分，基本可行者得</w:t>
            </w:r>
            <w:r>
              <w:rPr>
                <w:rFonts w:ascii="仿宋" w:hAnsi="仿宋" w:eastAsia="仿宋" w:cs="仿宋"/>
                <w:color w:val="auto"/>
                <w:kern w:val="0"/>
                <w:sz w:val="24"/>
                <w:highlight w:val="none"/>
              </w:rPr>
              <w:t>4</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6</w:t>
            </w:r>
            <w:r>
              <w:rPr>
                <w:rFonts w:hint="eastAsia" w:ascii="仿宋" w:hAnsi="仿宋" w:eastAsia="仿宋" w:cs="仿宋"/>
                <w:color w:val="auto"/>
                <w:kern w:val="0"/>
                <w:sz w:val="24"/>
                <w:highlight w:val="none"/>
              </w:rPr>
              <w:t>分，相对较差着得 0-</w:t>
            </w:r>
            <w:r>
              <w:rPr>
                <w:rFonts w:ascii="仿宋" w:hAnsi="仿宋" w:eastAsia="仿宋" w:cs="仿宋"/>
                <w:color w:val="auto"/>
                <w:kern w:val="0"/>
                <w:sz w:val="24"/>
                <w:highlight w:val="none"/>
              </w:rPr>
              <w:t>3</w:t>
            </w:r>
            <w:r>
              <w:rPr>
                <w:rFonts w:hint="eastAsia" w:ascii="仿宋" w:hAnsi="仿宋" w:eastAsia="仿宋" w:cs="仿宋"/>
                <w:color w:val="auto"/>
                <w:kern w:val="0"/>
                <w:sz w:val="24"/>
                <w:highlight w:val="none"/>
              </w:rPr>
              <w:t>分</w:t>
            </w:r>
          </w:p>
        </w:tc>
      </w:tr>
      <w:tr w14:paraId="6CCA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424" w:type="pct"/>
            <w:shd w:val="clear" w:color="auto" w:fill="auto"/>
            <w:vAlign w:val="center"/>
          </w:tcPr>
          <w:p w14:paraId="603D6BE2">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414" w:type="pct"/>
            <w:shd w:val="clear" w:color="auto" w:fill="auto"/>
            <w:vAlign w:val="center"/>
          </w:tcPr>
          <w:p w14:paraId="2F609778">
            <w:pPr>
              <w:widowControl/>
              <w:jc w:val="center"/>
              <w:rPr>
                <w:rFonts w:ascii="仿宋" w:hAnsi="仿宋" w:eastAsia="仿宋" w:cs="仿宋"/>
                <w:b/>
                <w:bCs/>
                <w:color w:val="auto"/>
                <w:kern w:val="0"/>
                <w:sz w:val="24"/>
                <w:highlight w:val="none"/>
              </w:rPr>
            </w:pPr>
            <w:r>
              <w:rPr>
                <w:rFonts w:ascii="仿宋" w:hAnsi="仿宋" w:eastAsia="仿宋" w:cs="仿宋"/>
                <w:b/>
                <w:bCs/>
                <w:color w:val="auto"/>
                <w:kern w:val="0"/>
                <w:sz w:val="24"/>
                <w:highlight w:val="none"/>
              </w:rPr>
              <w:t>10</w:t>
            </w:r>
          </w:p>
        </w:tc>
        <w:tc>
          <w:tcPr>
            <w:tcW w:w="673" w:type="pct"/>
            <w:shd w:val="clear" w:color="auto" w:fill="auto"/>
            <w:vAlign w:val="center"/>
          </w:tcPr>
          <w:p w14:paraId="279F97C8">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业绩案例</w:t>
            </w:r>
          </w:p>
        </w:tc>
        <w:tc>
          <w:tcPr>
            <w:tcW w:w="3487" w:type="pct"/>
            <w:shd w:val="clear" w:color="auto" w:fill="auto"/>
            <w:vAlign w:val="center"/>
          </w:tcPr>
          <w:p w14:paraId="308EAE8C">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提供投标人或设备厂家近三年以来近似的业绩案例，每提供一项业绩得</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分，最高得1</w:t>
            </w:r>
            <w:r>
              <w:rPr>
                <w:rFonts w:ascii="仿宋" w:hAnsi="仿宋" w:eastAsia="仿宋" w:cs="仿宋"/>
                <w:color w:val="auto"/>
                <w:kern w:val="0"/>
                <w:sz w:val="24"/>
                <w:highlight w:val="none"/>
              </w:rPr>
              <w:t>0</w:t>
            </w:r>
            <w:r>
              <w:rPr>
                <w:rFonts w:hint="eastAsia" w:ascii="仿宋" w:hAnsi="仿宋" w:eastAsia="仿宋" w:cs="仿宋"/>
                <w:color w:val="auto"/>
                <w:kern w:val="0"/>
                <w:sz w:val="24"/>
                <w:highlight w:val="none"/>
              </w:rPr>
              <w:t>分。注：需提供合同复印件或中标通知书，加盖公司公章，复印件需在投标文件中，否则该业绩不予认可。</w:t>
            </w:r>
          </w:p>
        </w:tc>
      </w:tr>
    </w:tbl>
    <w:p w14:paraId="46AEB650">
      <w:pPr>
        <w:jc w:val="left"/>
        <w:rPr>
          <w:rFonts w:hint="eastAsia" w:ascii="方正兰亭黑简体" w:hAnsi="方正兰亭黑简体" w:eastAsia="方正兰亭黑简体" w:cs="方正兰亭黑简体"/>
          <w:color w:val="auto"/>
          <w:sz w:val="22"/>
          <w:szCs w:val="28"/>
          <w:highlight w:val="none"/>
        </w:rPr>
      </w:pPr>
    </w:p>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3F69C613">
      <w:pPr>
        <w:spacing w:line="440" w:lineRule="exact"/>
        <w:jc w:val="center"/>
        <w:rPr>
          <w:rFonts w:hint="default" w:ascii="宋体" w:hAnsi="宋体" w:eastAsia="宋体" w:cs="Times New Roman"/>
          <w:color w:val="auto"/>
          <w:sz w:val="24"/>
          <w:highlight w:val="none"/>
          <w:lang w:val="en-US" w:eastAsia="zh-CN"/>
        </w:rPr>
      </w:pPr>
      <w:r>
        <w:rPr>
          <w:rFonts w:hint="eastAsia" w:ascii="黑体" w:hAnsi="华文楷体" w:eastAsia="黑体"/>
          <w:b/>
          <w:color w:val="auto"/>
          <w:sz w:val="36"/>
          <w:szCs w:val="36"/>
          <w:highlight w:val="none"/>
        </w:rPr>
        <w:t>报   价   单</w:t>
      </w:r>
    </w:p>
    <w:p w14:paraId="74C36335">
      <w:pPr>
        <w:spacing w:line="440" w:lineRule="exact"/>
        <w:jc w:val="right"/>
        <w:rPr>
          <w:rFonts w:hint="eastAsia" w:ascii="黑体" w:hAnsi="华文楷体" w:eastAsia="黑体"/>
          <w:b/>
          <w:color w:val="auto"/>
          <w:sz w:val="24"/>
          <w:highlight w:val="none"/>
        </w:rPr>
      </w:pPr>
      <w:r>
        <w:rPr>
          <w:rFonts w:hint="eastAsia" w:ascii="宋体" w:hAnsi="宋体" w:eastAsia="宋体" w:cs="Times New Roman"/>
          <w:color w:val="auto"/>
          <w:sz w:val="24"/>
          <w:highlight w:val="none"/>
        </w:rPr>
        <w:t>采购信息编号：</w:t>
      </w:r>
      <w:r>
        <w:rPr>
          <w:rFonts w:hint="eastAsia" w:ascii="宋体" w:hAnsi="宋体" w:eastAsia="宋体" w:cs="Times New Roman"/>
          <w:color w:val="auto"/>
          <w:sz w:val="24"/>
          <w:highlight w:val="none"/>
          <w:lang w:val="en-US" w:eastAsia="zh-CN"/>
        </w:rPr>
        <w:t>HFBX2025029</w:t>
      </w:r>
    </w:p>
    <w:p w14:paraId="54CF07F5">
      <w:pPr>
        <w:spacing w:line="440" w:lineRule="exac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p>
    <w:p w14:paraId="406AB7CF">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1"/>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6C991D">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672032A1">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19FE62D">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p w14:paraId="2DF33769">
      <w:pPr>
        <w:spacing w:line="440" w:lineRule="exact"/>
        <w:rPr>
          <w:rFonts w:hint="default" w:ascii="黑体" w:hAnsi="华文楷体" w:eastAsia="黑体"/>
          <w:b/>
          <w:color w:val="auto"/>
          <w:sz w:val="24"/>
          <w:highlight w:val="none"/>
          <w:lang w:val="en-US" w:eastAsia="zh-CN"/>
        </w:rPr>
      </w:pPr>
      <w:r>
        <w:rPr>
          <w:rFonts w:hint="eastAsia" w:ascii="黑体" w:hAnsi="华文楷体" w:eastAsia="黑体"/>
          <w:b/>
          <w:color w:val="auto"/>
          <w:sz w:val="24"/>
          <w:highlight w:val="none"/>
          <w:lang w:val="en-US" w:eastAsia="zh-CN"/>
        </w:rPr>
        <w:t>表1：报价一览表</w:t>
      </w:r>
    </w:p>
    <w:tbl>
      <w:tblPr>
        <w:tblStyle w:val="9"/>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740"/>
        <w:gridCol w:w="5666"/>
        <w:gridCol w:w="3361"/>
        <w:gridCol w:w="2837"/>
        <w:gridCol w:w="1410"/>
      </w:tblGrid>
      <w:tr w14:paraId="7D1AD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88" w:hRule="exact"/>
        </w:trPr>
        <w:tc>
          <w:tcPr>
            <w:tcW w:w="264" w:type="pct"/>
            <w:tcBorders>
              <w:top w:val="single" w:color="auto" w:sz="12" w:space="0"/>
              <w:left w:val="single" w:color="auto" w:sz="12" w:space="0"/>
            </w:tcBorders>
            <w:noWrap w:val="0"/>
            <w:vAlign w:val="center"/>
          </w:tcPr>
          <w:p w14:paraId="26DA97E1">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序号</w:t>
            </w:r>
          </w:p>
        </w:tc>
        <w:tc>
          <w:tcPr>
            <w:tcW w:w="2021" w:type="pct"/>
            <w:tcBorders>
              <w:top w:val="single" w:color="auto" w:sz="12" w:space="0"/>
            </w:tcBorders>
            <w:noWrap w:val="0"/>
            <w:vAlign w:val="center"/>
          </w:tcPr>
          <w:p w14:paraId="579BB4EC">
            <w:pPr>
              <w:spacing w:line="360" w:lineRule="atLeast"/>
              <w:jc w:val="center"/>
              <w:rPr>
                <w:rFonts w:hint="eastAsia" w:ascii="黑体" w:hAnsi="黑体" w:eastAsia="黑体" w:cs="宋体"/>
                <w:b/>
                <w:color w:val="auto"/>
                <w:sz w:val="24"/>
                <w:highlight w:val="none"/>
                <w:lang w:val="en-US" w:eastAsia="zh-CN"/>
              </w:rPr>
            </w:pPr>
            <w:r>
              <w:rPr>
                <w:rFonts w:hint="eastAsia" w:ascii="黑体" w:hAnsi="黑体" w:eastAsia="黑体" w:cs="宋体"/>
                <w:b/>
                <w:color w:val="auto"/>
                <w:sz w:val="24"/>
                <w:highlight w:val="none"/>
              </w:rPr>
              <w:t>项目</w:t>
            </w:r>
            <w:r>
              <w:rPr>
                <w:rFonts w:hint="eastAsia" w:ascii="黑体" w:hAnsi="黑体" w:eastAsia="黑体" w:cs="宋体"/>
                <w:b/>
                <w:color w:val="auto"/>
                <w:sz w:val="24"/>
                <w:highlight w:val="none"/>
                <w:lang w:val="en-US" w:eastAsia="zh-CN"/>
              </w:rPr>
              <w:t>名称</w:t>
            </w:r>
          </w:p>
        </w:tc>
        <w:tc>
          <w:tcPr>
            <w:tcW w:w="1199" w:type="pct"/>
            <w:tcBorders>
              <w:top w:val="single" w:color="auto" w:sz="12" w:space="0"/>
            </w:tcBorders>
            <w:noWrap w:val="0"/>
            <w:vAlign w:val="center"/>
          </w:tcPr>
          <w:p w14:paraId="22509838">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lang w:val="en-US" w:eastAsia="zh-CN"/>
              </w:rPr>
              <w:t>项目</w:t>
            </w:r>
            <w:r>
              <w:rPr>
                <w:rFonts w:hint="eastAsia" w:ascii="黑体" w:hAnsi="黑体" w:eastAsia="黑体" w:cs="宋体"/>
                <w:b/>
                <w:color w:val="auto"/>
                <w:sz w:val="24"/>
                <w:highlight w:val="none"/>
              </w:rPr>
              <w:t>报价（元）</w:t>
            </w:r>
          </w:p>
        </w:tc>
        <w:tc>
          <w:tcPr>
            <w:tcW w:w="1012" w:type="pct"/>
            <w:tcBorders>
              <w:top w:val="single" w:color="auto" w:sz="12" w:space="0"/>
              <w:right w:val="single" w:color="auto" w:sz="4" w:space="0"/>
            </w:tcBorders>
            <w:noWrap w:val="0"/>
            <w:vAlign w:val="center"/>
          </w:tcPr>
          <w:p w14:paraId="1509F9FC">
            <w:pPr>
              <w:spacing w:line="360" w:lineRule="atLeast"/>
              <w:jc w:val="center"/>
              <w:rPr>
                <w:rFonts w:hint="default" w:ascii="黑体" w:hAnsi="黑体" w:eastAsia="黑体" w:cs="宋体"/>
                <w:b/>
                <w:color w:val="auto"/>
                <w:sz w:val="24"/>
                <w:highlight w:val="none"/>
                <w:lang w:val="en-US" w:eastAsia="zh-CN"/>
              </w:rPr>
            </w:pPr>
            <w:r>
              <w:rPr>
                <w:rFonts w:hint="eastAsia" w:ascii="黑体" w:hAnsi="黑体" w:eastAsia="黑体" w:cs="宋体"/>
                <w:b/>
                <w:color w:val="auto"/>
                <w:sz w:val="24"/>
                <w:highlight w:val="none"/>
                <w:lang w:val="en-US" w:eastAsia="zh-CN"/>
              </w:rPr>
              <w:t>完成期限</w:t>
            </w:r>
          </w:p>
        </w:tc>
        <w:tc>
          <w:tcPr>
            <w:tcW w:w="503" w:type="pct"/>
            <w:tcBorders>
              <w:top w:val="single" w:color="auto" w:sz="12" w:space="0"/>
              <w:left w:val="single" w:color="auto" w:sz="4" w:space="0"/>
              <w:right w:val="single" w:color="auto" w:sz="12" w:space="0"/>
            </w:tcBorders>
            <w:noWrap w:val="0"/>
            <w:vAlign w:val="center"/>
          </w:tcPr>
          <w:p w14:paraId="6C15CC9A">
            <w:pPr>
              <w:spacing w:line="360" w:lineRule="atLeast"/>
              <w:jc w:val="center"/>
              <w:rPr>
                <w:rFonts w:hint="default" w:ascii="黑体" w:hAnsi="黑体" w:eastAsia="黑体" w:cs="宋体"/>
                <w:b/>
                <w:color w:val="auto"/>
                <w:sz w:val="24"/>
                <w:highlight w:val="none"/>
                <w:lang w:val="en-US" w:eastAsia="zh-CN"/>
              </w:rPr>
            </w:pPr>
            <w:r>
              <w:rPr>
                <w:rFonts w:hint="eastAsia" w:ascii="黑体" w:hAnsi="黑体" w:eastAsia="黑体" w:cs="宋体"/>
                <w:b/>
                <w:color w:val="auto"/>
                <w:sz w:val="24"/>
                <w:highlight w:val="none"/>
                <w:lang w:val="en-US" w:eastAsia="zh-CN"/>
              </w:rPr>
              <w:t>备注</w:t>
            </w:r>
          </w:p>
        </w:tc>
      </w:tr>
      <w:tr w14:paraId="01F57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32" w:hRule="exact"/>
        </w:trPr>
        <w:tc>
          <w:tcPr>
            <w:tcW w:w="264" w:type="pct"/>
            <w:tcBorders>
              <w:left w:val="single" w:color="auto" w:sz="12" w:space="0"/>
            </w:tcBorders>
            <w:noWrap w:val="0"/>
            <w:vAlign w:val="center"/>
          </w:tcPr>
          <w:p w14:paraId="538486EE">
            <w:pPr>
              <w:spacing w:before="120" w:line="240" w:lineRule="auto"/>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1</w:t>
            </w:r>
          </w:p>
        </w:tc>
        <w:tc>
          <w:tcPr>
            <w:tcW w:w="2021" w:type="pct"/>
            <w:noWrap w:val="0"/>
            <w:vAlign w:val="center"/>
          </w:tcPr>
          <w:p w14:paraId="29B01571">
            <w:pPr>
              <w:spacing w:line="240" w:lineRule="auto"/>
              <w:jc w:val="center"/>
              <w:rPr>
                <w:rFonts w:ascii="黑体" w:hAnsi="黑体" w:eastAsia="黑体" w:cs="宋体"/>
                <w:b/>
                <w:color w:val="auto"/>
                <w:sz w:val="24"/>
                <w:highlight w:val="none"/>
              </w:rPr>
            </w:pPr>
            <w:r>
              <w:rPr>
                <w:rFonts w:hint="eastAsia" w:ascii="黑体" w:hAnsi="黑体" w:eastAsia="黑体" w:cs="宋体"/>
                <w:b/>
                <w:color w:val="auto"/>
                <w:sz w:val="24"/>
                <w:highlight w:val="none"/>
                <w:lang w:val="en-US" w:eastAsia="zh-CN"/>
              </w:rPr>
              <w:t>信息办数据中心UPS机房空调系统更新改造项目</w:t>
            </w:r>
          </w:p>
        </w:tc>
        <w:tc>
          <w:tcPr>
            <w:tcW w:w="1199" w:type="pct"/>
            <w:noWrap w:val="0"/>
            <w:vAlign w:val="center"/>
          </w:tcPr>
          <w:p w14:paraId="36239602">
            <w:pPr>
              <w:tabs>
                <w:tab w:val="left" w:pos="7020"/>
              </w:tabs>
              <w:spacing w:before="120" w:line="240" w:lineRule="auto"/>
              <w:jc w:val="center"/>
              <w:rPr>
                <w:rFonts w:hint="default" w:ascii="黑体" w:hAnsi="黑体" w:eastAsia="黑体" w:cs="宋体"/>
                <w:b/>
                <w:color w:val="auto"/>
                <w:sz w:val="24"/>
                <w:highlight w:val="none"/>
                <w:lang w:val="en-US" w:eastAsia="zh-CN"/>
              </w:rPr>
            </w:pPr>
            <w:r>
              <w:rPr>
                <w:rFonts w:hint="eastAsia" w:ascii="黑体" w:hAnsi="黑体" w:eastAsia="黑体" w:cs="宋体"/>
                <w:b/>
                <w:color w:val="auto"/>
                <w:sz w:val="24"/>
                <w:highlight w:val="none"/>
              </w:rPr>
              <w:t>__________元</w:t>
            </w:r>
          </w:p>
        </w:tc>
        <w:tc>
          <w:tcPr>
            <w:tcW w:w="1012" w:type="pct"/>
            <w:tcBorders>
              <w:right w:val="single" w:color="auto" w:sz="4" w:space="0"/>
            </w:tcBorders>
            <w:noWrap w:val="0"/>
            <w:vAlign w:val="center"/>
          </w:tcPr>
          <w:p w14:paraId="483A5896">
            <w:pPr>
              <w:spacing w:line="240" w:lineRule="auto"/>
              <w:jc w:val="center"/>
              <w:rPr>
                <w:rFonts w:hint="default" w:ascii="黑体" w:hAnsi="黑体" w:eastAsia="黑体" w:cs="宋体"/>
                <w:b/>
                <w:color w:val="auto"/>
                <w:sz w:val="24"/>
                <w:highlight w:val="none"/>
                <w:lang w:val="en-US" w:eastAsia="zh-CN"/>
              </w:rPr>
            </w:pPr>
            <w:r>
              <w:rPr>
                <w:rFonts w:hint="eastAsia" w:ascii="黑体" w:hAnsi="黑体" w:eastAsia="黑体" w:cs="宋体"/>
                <w:b/>
                <w:color w:val="auto"/>
                <w:sz w:val="24"/>
                <w:highlight w:val="none"/>
                <w:lang w:val="en-US" w:eastAsia="zh-CN"/>
              </w:rPr>
              <w:t>我方承诺自合同签订后____天内完成项目</w:t>
            </w:r>
          </w:p>
        </w:tc>
        <w:tc>
          <w:tcPr>
            <w:tcW w:w="503" w:type="pct"/>
            <w:tcBorders>
              <w:left w:val="single" w:color="auto" w:sz="4" w:space="0"/>
              <w:right w:val="single" w:color="auto" w:sz="12" w:space="0"/>
            </w:tcBorders>
            <w:noWrap w:val="0"/>
            <w:vAlign w:val="center"/>
          </w:tcPr>
          <w:p w14:paraId="3FECBFE5">
            <w:pPr>
              <w:spacing w:line="240" w:lineRule="auto"/>
              <w:jc w:val="center"/>
              <w:rPr>
                <w:rFonts w:hint="default" w:ascii="黑体" w:hAnsi="黑体" w:eastAsia="黑体" w:cs="宋体"/>
                <w:b/>
                <w:color w:val="auto"/>
                <w:sz w:val="24"/>
                <w:highlight w:val="none"/>
                <w:lang w:val="en-US" w:eastAsia="zh-CN"/>
              </w:rPr>
            </w:pPr>
          </w:p>
        </w:tc>
      </w:tr>
      <w:tr w14:paraId="799AF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17" w:hRule="exact"/>
        </w:trPr>
        <w:tc>
          <w:tcPr>
            <w:tcW w:w="2285" w:type="pct"/>
            <w:gridSpan w:val="2"/>
            <w:tcBorders>
              <w:left w:val="single" w:color="auto" w:sz="12" w:space="0"/>
              <w:bottom w:val="single" w:color="auto" w:sz="12" w:space="0"/>
              <w:right w:val="single" w:color="auto" w:sz="4" w:space="0"/>
            </w:tcBorders>
            <w:noWrap w:val="0"/>
            <w:vAlign w:val="center"/>
          </w:tcPr>
          <w:p w14:paraId="08EB8646">
            <w:pPr>
              <w:spacing w:before="120"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合计金额（人民币）</w:t>
            </w:r>
          </w:p>
        </w:tc>
        <w:tc>
          <w:tcPr>
            <w:tcW w:w="2714" w:type="pct"/>
            <w:gridSpan w:val="3"/>
            <w:tcBorders>
              <w:left w:val="single" w:color="auto" w:sz="4" w:space="0"/>
              <w:bottom w:val="single" w:color="auto" w:sz="12" w:space="0"/>
              <w:right w:val="single" w:color="auto" w:sz="12" w:space="0"/>
            </w:tcBorders>
            <w:noWrap w:val="0"/>
            <w:vAlign w:val="center"/>
          </w:tcPr>
          <w:p w14:paraId="310CDCE8">
            <w:pPr>
              <w:spacing w:before="120" w:line="360" w:lineRule="atLeast"/>
              <w:ind w:left="647"/>
              <w:jc w:val="center"/>
              <w:rPr>
                <w:rFonts w:hint="eastAsia" w:ascii="黑体" w:hAnsi="黑体" w:eastAsia="黑体" w:cs="宋体"/>
                <w:b/>
                <w:color w:val="auto"/>
                <w:sz w:val="24"/>
                <w:highlight w:val="none"/>
              </w:rPr>
            </w:pPr>
            <w:r>
              <w:rPr>
                <w:rFonts w:hint="eastAsia" w:ascii="黑体" w:hAnsi="黑体" w:eastAsia="黑体" w:cs="宋体"/>
                <w:b/>
                <w:color w:val="auto"/>
                <w:sz w:val="24"/>
                <w:highlight w:val="none"/>
              </w:rPr>
              <w:t>￥           （大写）：</w:t>
            </w:r>
          </w:p>
        </w:tc>
      </w:tr>
    </w:tbl>
    <w:p w14:paraId="423AA1BA">
      <w:pPr>
        <w:spacing w:line="440" w:lineRule="exact"/>
        <w:rPr>
          <w:rFonts w:hint="eastAsia" w:ascii="黑体" w:hAnsi="华文楷体" w:eastAsia="黑体"/>
          <w:color w:val="auto"/>
          <w:sz w:val="24"/>
          <w:highlight w:val="none"/>
        </w:rPr>
      </w:pPr>
    </w:p>
    <w:p w14:paraId="13F384DC">
      <w:pPr>
        <w:spacing w:line="440" w:lineRule="exact"/>
        <w:rPr>
          <w:rFonts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3E32B539">
      <w:pPr>
        <w:rPr>
          <w:rFonts w:ascii="黑体" w:hAnsi="华文楷体" w:eastAsia="黑体"/>
          <w:color w:val="auto"/>
          <w:szCs w:val="21"/>
          <w:highlight w:val="none"/>
        </w:rPr>
      </w:pPr>
    </w:p>
    <w:p w14:paraId="6F2435B7">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201E10AE">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454CE324">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18E66384">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5D415C18">
      <w:pPr>
        <w:spacing w:line="440" w:lineRule="exact"/>
        <w:rPr>
          <w:rFonts w:hint="default" w:ascii="黑体" w:hAnsi="华文楷体" w:eastAsia="黑体"/>
          <w:b/>
          <w:color w:val="auto"/>
          <w:sz w:val="24"/>
          <w:highlight w:val="none"/>
          <w:lang w:val="en-US" w:eastAsia="zh-CN"/>
        </w:rPr>
      </w:pPr>
      <w:r>
        <w:rPr>
          <w:rFonts w:hint="eastAsia" w:ascii="黑体" w:hAnsi="华文楷体" w:eastAsia="黑体"/>
          <w:b/>
          <w:color w:val="auto"/>
          <w:sz w:val="24"/>
          <w:highlight w:val="none"/>
          <w:lang w:val="en-US" w:eastAsia="zh-CN"/>
        </w:rPr>
        <w:t>表2：报价明细表</w:t>
      </w:r>
    </w:p>
    <w:tbl>
      <w:tblPr>
        <w:tblStyle w:val="9"/>
        <w:tblW w:w="13825" w:type="dxa"/>
        <w:tblInd w:w="96" w:type="dxa"/>
        <w:tblLayout w:type="autofit"/>
        <w:tblCellMar>
          <w:top w:w="0" w:type="dxa"/>
          <w:left w:w="108" w:type="dxa"/>
          <w:bottom w:w="0" w:type="dxa"/>
          <w:right w:w="108" w:type="dxa"/>
        </w:tblCellMar>
      </w:tblPr>
      <w:tblGrid>
        <w:gridCol w:w="645"/>
        <w:gridCol w:w="2357"/>
        <w:gridCol w:w="6371"/>
        <w:gridCol w:w="816"/>
        <w:gridCol w:w="684"/>
        <w:gridCol w:w="1068"/>
        <w:gridCol w:w="852"/>
        <w:gridCol w:w="1032"/>
      </w:tblGrid>
      <w:tr w14:paraId="01874662">
        <w:tblPrEx>
          <w:tblCellMar>
            <w:top w:w="0" w:type="dxa"/>
            <w:left w:w="108" w:type="dxa"/>
            <w:bottom w:w="0" w:type="dxa"/>
            <w:right w:w="108" w:type="dxa"/>
          </w:tblCellMar>
        </w:tblPrEx>
        <w:trPr>
          <w:trHeight w:val="360" w:hRule="atLeast"/>
        </w:trPr>
        <w:tc>
          <w:tcPr>
            <w:tcW w:w="645"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B00CEEC">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2357"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013FEE9">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名称</w:t>
            </w:r>
          </w:p>
        </w:tc>
        <w:tc>
          <w:tcPr>
            <w:tcW w:w="6371"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04543B5">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技术要求</w:t>
            </w:r>
          </w:p>
        </w:tc>
        <w:tc>
          <w:tcPr>
            <w:tcW w:w="816"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D1C162C">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单位</w:t>
            </w:r>
          </w:p>
        </w:tc>
        <w:tc>
          <w:tcPr>
            <w:tcW w:w="684"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3050DD4">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数量</w:t>
            </w:r>
          </w:p>
        </w:tc>
        <w:tc>
          <w:tcPr>
            <w:tcW w:w="1068"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A346BE7">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单价</w:t>
            </w:r>
          </w:p>
        </w:tc>
        <w:tc>
          <w:tcPr>
            <w:tcW w:w="852"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C45AB4B">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合 价</w:t>
            </w:r>
          </w:p>
        </w:tc>
        <w:tc>
          <w:tcPr>
            <w:tcW w:w="1032" w:type="dxa"/>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0F1B5445">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投标品牌</w:t>
            </w:r>
          </w:p>
        </w:tc>
      </w:tr>
      <w:tr w14:paraId="1FC0DF42">
        <w:tblPrEx>
          <w:tblCellMar>
            <w:top w:w="0" w:type="dxa"/>
            <w:left w:w="108" w:type="dxa"/>
            <w:bottom w:w="0" w:type="dxa"/>
            <w:right w:w="108" w:type="dxa"/>
          </w:tblCellMar>
        </w:tblPrEx>
        <w:trPr>
          <w:trHeight w:val="4154"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BCEEBD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23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ADFF1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变冷媒流量多联机室外机-VRF-RF-01、02</w:t>
            </w:r>
          </w:p>
        </w:tc>
        <w:tc>
          <w:tcPr>
            <w:tcW w:w="6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0690C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1.名称:多联式顶出风空调室外机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2.编号:VRF-RF-01、02</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3.要求:制冷量：28KW；制热量31.5KW;功率</w:t>
            </w:r>
            <w:r>
              <w:rPr>
                <w:rFonts w:ascii="宋体" w:hAnsi="宋体" w:cs="宋体"/>
                <w:color w:val="auto"/>
                <w:kern w:val="0"/>
                <w:sz w:val="18"/>
                <w:szCs w:val="18"/>
                <w:highlight w:val="none"/>
                <w:lang w:bidi="ar"/>
              </w:rPr>
              <w:t>8</w:t>
            </w:r>
            <w:r>
              <w:rPr>
                <w:rFonts w:hint="eastAsia" w:ascii="宋体" w:hAnsi="宋体" w:cs="宋体"/>
                <w:color w:val="auto"/>
                <w:kern w:val="0"/>
                <w:sz w:val="18"/>
                <w:szCs w:val="18"/>
                <w:highlight w:val="none"/>
                <w:lang w:bidi="ar"/>
              </w:rPr>
              <w:t>.</w:t>
            </w:r>
            <w:r>
              <w:rPr>
                <w:rFonts w:ascii="宋体" w:hAnsi="宋体" w:cs="宋体"/>
                <w:color w:val="auto"/>
                <w:kern w:val="0"/>
                <w:sz w:val="18"/>
                <w:szCs w:val="18"/>
                <w:highlight w:val="none"/>
                <w:lang w:bidi="ar"/>
              </w:rPr>
              <w:t>1</w:t>
            </w:r>
            <w:r>
              <w:rPr>
                <w:rFonts w:hint="eastAsia" w:ascii="宋体" w:hAnsi="宋体" w:cs="宋体"/>
                <w:color w:val="auto"/>
                <w:kern w:val="0"/>
                <w:sz w:val="18"/>
                <w:szCs w:val="18"/>
                <w:highlight w:val="none"/>
                <w:lang w:bidi="ar"/>
              </w:rPr>
              <w:t>KW，顶出风，提供485接口，由投标人接入原有环控系统；</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4.安装形式:落地式；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5.隔振垫(器）、支架形式、材质:橡胶减震，混凝土基础（原有）；                     6.控制要求：                                                        （1）两独立空调系统24小时轮换运行。</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（2）故障自动启动另一系统。</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（3）具有自动重启功能，断电以前的设置不会被消除。</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多联机室外机和主机系统组合应先进：对于模块机组必须具备后备运转功能，各个模块与模块之间以及单个模块中各个压缩机之间都必须具备后备运转功能，保证某一台室外机组其中一个模块发生故障或其中一个压缩机发生故障时，其它模块或压缩机能紧急启动运转以避免整个系统瘫痪。对于整装机必须具备各个压缩机之间的后备运转功能；                                  7.提供RS485通讯接口及协议                                         8.接入现有环控系统，包含环控系统扩展与接入费用，已包含在投标总价。</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4AC07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B88FB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81E750">
            <w:pPr>
              <w:jc w:val="right"/>
              <w:rPr>
                <w:rFonts w:hint="eastAsia"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A2BAC3">
            <w:pPr>
              <w:jc w:val="right"/>
              <w:rPr>
                <w:rFonts w:hint="eastAsia" w:ascii="宋体" w:hAnsi="宋体" w:cs="宋体"/>
                <w:color w:val="auto"/>
                <w:sz w:val="18"/>
                <w:szCs w:val="18"/>
                <w:highlight w:val="none"/>
              </w:rPr>
            </w:pPr>
          </w:p>
        </w:tc>
        <w:tc>
          <w:tcPr>
            <w:tcW w:w="1032"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878767D">
            <w:pPr>
              <w:jc w:val="center"/>
              <w:rPr>
                <w:rFonts w:hint="eastAsia" w:ascii="宋体" w:hAnsi="宋体" w:cs="宋体"/>
                <w:color w:val="auto"/>
                <w:sz w:val="18"/>
                <w:szCs w:val="18"/>
                <w:highlight w:val="none"/>
              </w:rPr>
            </w:pPr>
          </w:p>
        </w:tc>
      </w:tr>
      <w:tr w14:paraId="371D154A">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7EFFF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23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6DD20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变冷媒流量多联机室内机 VIU-H-14</w:t>
            </w:r>
          </w:p>
        </w:tc>
        <w:tc>
          <w:tcPr>
            <w:tcW w:w="6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FD400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1.名称:多联机室内机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2.型号:VIU-H-14</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3.规格:制冷量:14kW，制热量:16kW，功率410W 其他详见图纸</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4.形式:中静压风管式 带冷凝水提升泵，配线控器、控制线、送回风口2套</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5.安装方式:吊顶式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6.隔振垫(器）、支架形式、材质:弹簧隔振方式 详见图纸                            </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18C78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6538F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887FC5">
            <w:pPr>
              <w:jc w:val="right"/>
              <w:rPr>
                <w:rFonts w:hint="eastAsia"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C801DD">
            <w:pPr>
              <w:jc w:val="right"/>
              <w:rPr>
                <w:rFonts w:hint="eastAsia" w:ascii="宋体" w:hAnsi="宋体" w:cs="宋体"/>
                <w:color w:val="auto"/>
                <w:sz w:val="18"/>
                <w:szCs w:val="18"/>
                <w:highlight w:val="none"/>
              </w:rPr>
            </w:pPr>
          </w:p>
        </w:tc>
        <w:tc>
          <w:tcPr>
            <w:tcW w:w="1032"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7B4999C">
            <w:pPr>
              <w:jc w:val="center"/>
              <w:rPr>
                <w:rFonts w:hint="eastAsia" w:ascii="宋体" w:hAnsi="宋体" w:cs="宋体"/>
                <w:color w:val="auto"/>
                <w:sz w:val="18"/>
                <w:szCs w:val="18"/>
                <w:highlight w:val="none"/>
              </w:rPr>
            </w:pPr>
          </w:p>
        </w:tc>
      </w:tr>
      <w:tr w14:paraId="52105AE1">
        <w:tblPrEx>
          <w:tblCellMar>
            <w:top w:w="0" w:type="dxa"/>
            <w:left w:w="108" w:type="dxa"/>
            <w:bottom w:w="0" w:type="dxa"/>
            <w:right w:w="108" w:type="dxa"/>
          </w:tblCellMar>
        </w:tblPrEx>
        <w:trPr>
          <w:trHeight w:val="200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EBA4C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23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C7C14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变冷媒流量多联机室内机 VIU-G-14</w:t>
            </w:r>
          </w:p>
        </w:tc>
        <w:tc>
          <w:tcPr>
            <w:tcW w:w="6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32E15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1.名称:多联机室内机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2.型号:VIU-G-14</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3.规格:制冷量:14kW，制热量:16kW，功率104W 其他详见图纸</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4.形式:四面出风嵌入式 带冷凝水提升泵，配线控器及控制线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5.安装方式:吊顶式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5.安装方式:吊顶式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6.隔振垫(器）、支架形式、材质:弹簧隔振方式 详见图纸；                      </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78966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83FAC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078BAB">
            <w:pPr>
              <w:jc w:val="right"/>
              <w:rPr>
                <w:rFonts w:hint="eastAsia"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79A4EB">
            <w:pPr>
              <w:jc w:val="right"/>
              <w:rPr>
                <w:rFonts w:hint="eastAsia" w:ascii="宋体" w:hAnsi="宋体" w:cs="宋体"/>
                <w:color w:val="auto"/>
                <w:sz w:val="18"/>
                <w:szCs w:val="18"/>
                <w:highlight w:val="none"/>
              </w:rPr>
            </w:pPr>
          </w:p>
        </w:tc>
        <w:tc>
          <w:tcPr>
            <w:tcW w:w="1032"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BBEC30F">
            <w:pPr>
              <w:jc w:val="center"/>
              <w:rPr>
                <w:rFonts w:hint="eastAsia" w:ascii="宋体" w:hAnsi="宋体" w:cs="宋体"/>
                <w:color w:val="auto"/>
                <w:sz w:val="18"/>
                <w:szCs w:val="18"/>
                <w:highlight w:val="none"/>
              </w:rPr>
            </w:pPr>
          </w:p>
        </w:tc>
      </w:tr>
      <w:tr w14:paraId="7A865CD0">
        <w:tblPrEx>
          <w:tblCellMar>
            <w:top w:w="0" w:type="dxa"/>
            <w:left w:w="108" w:type="dxa"/>
            <w:bottom w:w="0" w:type="dxa"/>
            <w:right w:w="108" w:type="dxa"/>
          </w:tblCellMar>
        </w:tblPrEx>
        <w:trPr>
          <w:trHeight w:val="2554"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CF8B16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23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F78399">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安装材料</w:t>
            </w:r>
          </w:p>
        </w:tc>
        <w:tc>
          <w:tcPr>
            <w:tcW w:w="6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334B2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1.室内机分支器2套；                                                2.冷媒铜管、保温、管件￠9.5mm/21米；￠12.7mm /90米；￠15.9mm/21米； ￠25.4mm/90米；管道安装氮气焊接、氮气吹扫、氮气压力试验、真空度试验。</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冷媒管保温:厚度15mm,保温难燃B1级发泡橡塑隔热保温管保温。用PVC扎带包扎成束,固定方式，冷媒管安装于桥架内。                               3.空调冷凝水管43米；                                                4.室外机电缆179米，室内机电线80米，电线需安装于桥架内； 每台室外机安装独立的隔离开关及独立的箱体；                                    5.镀锌钢板风管50平方，采用玻璃棉保温材料绝热；                                6.制冷系统R410a充注，系统调试；                                     7.报价需包含整个系统所有的材料、防火封堵、开洞、电源线、信号线安装，8.清单内数量仅供参考，具体数量以现场实际为准，结算价不做调整；</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C110B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2431D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8015E8">
            <w:pPr>
              <w:jc w:val="right"/>
              <w:rPr>
                <w:rFonts w:hint="eastAsia"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B3A78B">
            <w:pPr>
              <w:jc w:val="right"/>
              <w:rPr>
                <w:rFonts w:hint="eastAsia" w:ascii="宋体" w:hAnsi="宋体" w:cs="宋体"/>
                <w:color w:val="auto"/>
                <w:sz w:val="18"/>
                <w:szCs w:val="18"/>
                <w:highlight w:val="none"/>
              </w:rPr>
            </w:pPr>
          </w:p>
        </w:tc>
        <w:tc>
          <w:tcPr>
            <w:tcW w:w="1032"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D40D147">
            <w:pPr>
              <w:jc w:val="center"/>
              <w:rPr>
                <w:rFonts w:hint="eastAsia" w:ascii="宋体" w:hAnsi="宋体" w:cs="宋体"/>
                <w:color w:val="auto"/>
                <w:sz w:val="18"/>
                <w:szCs w:val="18"/>
                <w:highlight w:val="none"/>
              </w:rPr>
            </w:pPr>
          </w:p>
        </w:tc>
      </w:tr>
      <w:tr w14:paraId="2FFBBC93">
        <w:tblPrEx>
          <w:tblCellMar>
            <w:top w:w="0" w:type="dxa"/>
            <w:left w:w="108" w:type="dxa"/>
            <w:bottom w:w="0" w:type="dxa"/>
            <w:right w:w="108" w:type="dxa"/>
          </w:tblCellMar>
        </w:tblPrEx>
        <w:trPr>
          <w:trHeight w:val="4228" w:hRule="atLeast"/>
        </w:trPr>
        <w:tc>
          <w:tcPr>
            <w:tcW w:w="645" w:type="dxa"/>
            <w:tcBorders>
              <w:top w:val="single" w:color="000000" w:sz="4" w:space="0"/>
              <w:left w:val="single" w:color="000000" w:sz="8" w:space="0"/>
              <w:bottom w:val="nil"/>
              <w:right w:val="single" w:color="000000" w:sz="4" w:space="0"/>
            </w:tcBorders>
            <w:shd w:val="clear" w:color="FFFFFF" w:fill="FFFFFF"/>
            <w:noWrap w:val="0"/>
            <w:vAlign w:val="center"/>
          </w:tcPr>
          <w:p w14:paraId="2766E38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2357" w:type="dxa"/>
            <w:tcBorders>
              <w:top w:val="single" w:color="000000" w:sz="4" w:space="0"/>
              <w:left w:val="single" w:color="000000" w:sz="4" w:space="0"/>
              <w:bottom w:val="nil"/>
              <w:right w:val="single" w:color="000000" w:sz="4" w:space="0"/>
            </w:tcBorders>
            <w:shd w:val="clear" w:color="FFFFFF" w:fill="FFFFFF"/>
            <w:noWrap w:val="0"/>
            <w:vAlign w:val="center"/>
          </w:tcPr>
          <w:p w14:paraId="77DDFCD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接入原有环控系统</w:t>
            </w:r>
          </w:p>
        </w:tc>
        <w:tc>
          <w:tcPr>
            <w:tcW w:w="6371" w:type="dxa"/>
            <w:tcBorders>
              <w:top w:val="single" w:color="000000" w:sz="4" w:space="0"/>
              <w:left w:val="single" w:color="000000" w:sz="4" w:space="0"/>
              <w:bottom w:val="nil"/>
              <w:right w:val="single" w:color="000000" w:sz="4" w:space="0"/>
            </w:tcBorders>
            <w:shd w:val="clear" w:color="FFFFFF" w:fill="FFFFFF"/>
            <w:noWrap w:val="0"/>
            <w:vAlign w:val="top"/>
          </w:tcPr>
          <w:p w14:paraId="4FCA7F60">
            <w:pPr>
              <w:widowControl/>
              <w:jc w:val="left"/>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1、品牌：软派                                                        2、功能：冷凝水漏水报警；监测室内机及室外机（主机）空调状态监控、故障监测、温度监测；故障、漏水电话告警功能；告警输出短路，灯为红色，闪烁，蜂鸣器鸣叫；                                                        3、漏水模块：区域式漏水变送器、漏水感应绳，区域式漏水监控软件模块； 在漏水监测系统中所监控漏水感应线的状态以动态线条和图标的形式显示；一旦有漏水发生，整条线条会立即变成红色，线条正常情况下是绿色的；漏水绳呈现为动态流动效果；                                                  4、开关量采集模块： 配有16路开关采集端口，可同时采集16路开关量信号。装置面板上有相应16路指示灯显示结果。可采集干(无源)接点和湿(有源)接点。每路检测输入端口都有光电隔离电路，使得保护模块不受外来浪涌高压损坏。要求可设定不同地址，同一RS-485总线可连接多个设备。针对于干接点(无源)，要求开关状态为对地线短路或开路。针对于湿接点(有源)，开关状态为0电压(+1V以下)或有电压(3V以上至12V)。要求通过上位软件设定地址，最多可设置256个不同地址(0-255)。同一RS-485总线可连接256个设备并地址不能重复。要求其可用于网络长度达4000英吋。宽电压供电+10～+30V DC，电源消耗1.2W，使用温度0-70C，湿度5～95％，不冷凝。                              5、多联式空调监测软件模块：由温湿度传感器采集各档案库房内的温湿度数据，实时显示温度信号、湿度信号；                                         6、接入现有环控系统，包含环控系统扩展与接入费用，已包含在投标总价。              </w:t>
            </w:r>
          </w:p>
        </w:tc>
        <w:tc>
          <w:tcPr>
            <w:tcW w:w="816" w:type="dxa"/>
            <w:tcBorders>
              <w:top w:val="single" w:color="000000" w:sz="4" w:space="0"/>
              <w:left w:val="single" w:color="000000" w:sz="4" w:space="0"/>
              <w:bottom w:val="nil"/>
              <w:right w:val="single" w:color="000000" w:sz="4" w:space="0"/>
            </w:tcBorders>
            <w:shd w:val="clear" w:color="FFFFFF" w:fill="FFFFFF"/>
            <w:noWrap w:val="0"/>
            <w:vAlign w:val="center"/>
          </w:tcPr>
          <w:p w14:paraId="69559C2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684" w:type="dxa"/>
            <w:tcBorders>
              <w:top w:val="single" w:color="000000" w:sz="4" w:space="0"/>
              <w:left w:val="single" w:color="000000" w:sz="4" w:space="0"/>
              <w:bottom w:val="nil"/>
              <w:right w:val="single" w:color="000000" w:sz="4" w:space="0"/>
            </w:tcBorders>
            <w:shd w:val="clear" w:color="FFFFFF" w:fill="FFFFFF"/>
            <w:noWrap w:val="0"/>
            <w:vAlign w:val="center"/>
          </w:tcPr>
          <w:p w14:paraId="03445BB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068" w:type="dxa"/>
            <w:tcBorders>
              <w:top w:val="single" w:color="000000" w:sz="4" w:space="0"/>
              <w:left w:val="single" w:color="000000" w:sz="4" w:space="0"/>
              <w:bottom w:val="nil"/>
              <w:right w:val="single" w:color="000000" w:sz="4" w:space="0"/>
            </w:tcBorders>
            <w:shd w:val="clear" w:color="FFFFFF" w:fill="FFFFFF"/>
            <w:noWrap w:val="0"/>
            <w:vAlign w:val="center"/>
          </w:tcPr>
          <w:p w14:paraId="7D67C51C">
            <w:pPr>
              <w:jc w:val="right"/>
              <w:rPr>
                <w:rFonts w:hint="eastAsia" w:ascii="宋体" w:hAnsi="宋体" w:cs="宋体"/>
                <w:color w:val="auto"/>
                <w:sz w:val="18"/>
                <w:szCs w:val="18"/>
                <w:highlight w:val="none"/>
              </w:rPr>
            </w:pPr>
          </w:p>
        </w:tc>
        <w:tc>
          <w:tcPr>
            <w:tcW w:w="852" w:type="dxa"/>
            <w:tcBorders>
              <w:top w:val="single" w:color="000000" w:sz="4" w:space="0"/>
              <w:left w:val="single" w:color="000000" w:sz="4" w:space="0"/>
              <w:bottom w:val="nil"/>
              <w:right w:val="single" w:color="000000" w:sz="4" w:space="0"/>
            </w:tcBorders>
            <w:shd w:val="clear" w:color="FFFFFF" w:fill="FFFFFF"/>
            <w:noWrap w:val="0"/>
            <w:vAlign w:val="center"/>
          </w:tcPr>
          <w:p w14:paraId="7128B5C5">
            <w:pPr>
              <w:jc w:val="right"/>
              <w:rPr>
                <w:rFonts w:hint="eastAsia" w:ascii="宋体" w:hAnsi="宋体" w:cs="宋体"/>
                <w:color w:val="auto"/>
                <w:sz w:val="18"/>
                <w:szCs w:val="18"/>
                <w:highlight w:val="none"/>
              </w:rPr>
            </w:pPr>
          </w:p>
        </w:tc>
        <w:tc>
          <w:tcPr>
            <w:tcW w:w="1032" w:type="dxa"/>
            <w:tcBorders>
              <w:top w:val="single" w:color="000000" w:sz="4" w:space="0"/>
              <w:left w:val="single" w:color="000000" w:sz="4" w:space="0"/>
              <w:bottom w:val="nil"/>
              <w:right w:val="single" w:color="000000" w:sz="8" w:space="0"/>
            </w:tcBorders>
            <w:shd w:val="clear" w:color="FFFFFF" w:fill="FFFFFF"/>
            <w:noWrap w:val="0"/>
            <w:vAlign w:val="center"/>
          </w:tcPr>
          <w:p w14:paraId="646ABD4C">
            <w:pPr>
              <w:jc w:val="center"/>
              <w:rPr>
                <w:rFonts w:hint="eastAsia" w:ascii="宋体" w:hAnsi="宋体" w:cs="宋体"/>
                <w:color w:val="auto"/>
                <w:sz w:val="18"/>
                <w:szCs w:val="18"/>
                <w:highlight w:val="none"/>
              </w:rPr>
            </w:pPr>
          </w:p>
        </w:tc>
      </w:tr>
      <w:tr w14:paraId="29F3CA37">
        <w:tblPrEx>
          <w:tblCellMar>
            <w:top w:w="0" w:type="dxa"/>
            <w:left w:w="108" w:type="dxa"/>
            <w:bottom w:w="0" w:type="dxa"/>
            <w:right w:w="108" w:type="dxa"/>
          </w:tblCellMar>
        </w:tblPrEx>
        <w:trPr>
          <w:trHeight w:val="600" w:hRule="atLeast"/>
        </w:trPr>
        <w:tc>
          <w:tcPr>
            <w:tcW w:w="645" w:type="dxa"/>
            <w:tcBorders>
              <w:top w:val="single" w:color="000000" w:sz="4" w:space="0"/>
              <w:left w:val="single" w:color="auto" w:sz="4" w:space="0"/>
              <w:bottom w:val="single" w:color="auto" w:sz="4" w:space="0"/>
              <w:right w:val="single" w:color="000000" w:sz="4" w:space="0"/>
            </w:tcBorders>
            <w:shd w:val="clear" w:color="FFFFFF" w:fill="FFFFFF"/>
            <w:noWrap w:val="0"/>
            <w:vAlign w:val="center"/>
          </w:tcPr>
          <w:p w14:paraId="5DD2920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2357"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30496C5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安装调试费</w:t>
            </w:r>
          </w:p>
        </w:tc>
        <w:tc>
          <w:tcPr>
            <w:tcW w:w="6371"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12EA71B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多联机安装调试费，环控系统调试费</w:t>
            </w:r>
          </w:p>
        </w:tc>
        <w:tc>
          <w:tcPr>
            <w:tcW w:w="816"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58159CE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684"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631EF9C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068"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2E14330A">
            <w:pPr>
              <w:jc w:val="right"/>
              <w:rPr>
                <w:rFonts w:hint="eastAsia" w:ascii="宋体" w:hAnsi="宋体" w:cs="宋体"/>
                <w:color w:val="auto"/>
                <w:sz w:val="18"/>
                <w:szCs w:val="18"/>
                <w:highlight w:val="none"/>
              </w:rPr>
            </w:pPr>
          </w:p>
        </w:tc>
        <w:tc>
          <w:tcPr>
            <w:tcW w:w="852"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27C122AC">
            <w:pPr>
              <w:jc w:val="right"/>
              <w:rPr>
                <w:rFonts w:hint="eastAsia" w:ascii="宋体" w:hAnsi="宋体" w:cs="宋体"/>
                <w:color w:val="auto"/>
                <w:sz w:val="18"/>
                <w:szCs w:val="18"/>
                <w:highlight w:val="none"/>
              </w:rPr>
            </w:pPr>
          </w:p>
        </w:tc>
        <w:tc>
          <w:tcPr>
            <w:tcW w:w="1032" w:type="dxa"/>
            <w:tcBorders>
              <w:top w:val="single" w:color="000000" w:sz="4" w:space="0"/>
              <w:left w:val="single" w:color="000000" w:sz="4" w:space="0"/>
              <w:bottom w:val="single" w:color="auto" w:sz="4" w:space="0"/>
              <w:right w:val="single" w:color="000000" w:sz="8" w:space="0"/>
            </w:tcBorders>
            <w:shd w:val="clear" w:color="FFFFFF" w:fill="FFFFFF"/>
            <w:noWrap w:val="0"/>
            <w:vAlign w:val="center"/>
          </w:tcPr>
          <w:p w14:paraId="378227FF">
            <w:pPr>
              <w:jc w:val="center"/>
              <w:rPr>
                <w:rFonts w:hint="eastAsia" w:ascii="宋体" w:hAnsi="宋体" w:cs="宋体"/>
                <w:color w:val="auto"/>
                <w:sz w:val="18"/>
                <w:szCs w:val="18"/>
                <w:highlight w:val="none"/>
              </w:rPr>
            </w:pPr>
          </w:p>
        </w:tc>
      </w:tr>
    </w:tbl>
    <w:p w14:paraId="02DB8835">
      <w:pPr>
        <w:pStyle w:val="3"/>
        <w:rPr>
          <w:rFonts w:hint="eastAsia" w:ascii="方正兰亭黑简体" w:hAnsi="方正兰亭黑简体" w:eastAsia="方正兰亭黑简体" w:cs="方正兰亭黑简体"/>
          <w:color w:val="auto"/>
          <w:sz w:val="22"/>
          <w:szCs w:val="28"/>
          <w:highlight w:val="none"/>
          <w:lang w:val="en-US" w:eastAsia="zh-CN"/>
        </w:rPr>
      </w:pPr>
    </w:p>
    <w:p w14:paraId="2A2BA40E">
      <w:pPr>
        <w:pStyle w:val="3"/>
        <w:rPr>
          <w:rFonts w:hint="eastAsia" w:ascii="方正兰亭黑简体" w:hAnsi="方正兰亭黑简体" w:eastAsia="方正兰亭黑简体" w:cs="方正兰亭黑简体"/>
          <w:color w:val="auto"/>
          <w:sz w:val="22"/>
          <w:szCs w:val="28"/>
          <w:highlight w:val="none"/>
          <w:lang w:val="en-US" w:eastAsia="zh-CN"/>
        </w:rPr>
      </w:pPr>
    </w:p>
    <w:p w14:paraId="4F1DC8FA">
      <w:pPr>
        <w:pStyle w:val="3"/>
        <w:rPr>
          <w:rFonts w:hint="eastAsia" w:ascii="方正兰亭黑简体" w:hAnsi="方正兰亭黑简体" w:eastAsia="方正兰亭黑简体" w:cs="方正兰亭黑简体"/>
          <w:color w:val="auto"/>
          <w:sz w:val="22"/>
          <w:szCs w:val="28"/>
          <w:highlight w:val="none"/>
          <w:lang w:val="en-US" w:eastAsia="zh-CN"/>
        </w:rPr>
      </w:pPr>
    </w:p>
    <w:p w14:paraId="2CC3360C">
      <w:pPr>
        <w:pStyle w:val="3"/>
        <w:rPr>
          <w:rFonts w:hint="eastAsia" w:ascii="方正兰亭黑简体" w:hAnsi="方正兰亭黑简体" w:eastAsia="方正兰亭黑简体" w:cs="方正兰亭黑简体"/>
          <w:color w:val="auto"/>
          <w:sz w:val="22"/>
          <w:szCs w:val="28"/>
          <w:highlight w:val="none"/>
          <w:lang w:val="en-US" w:eastAsia="zh-CN"/>
        </w:rPr>
      </w:pP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活动中，作为</w:t>
      </w:r>
      <w:r>
        <w:rPr>
          <w:rFonts w:hint="eastAsia" w:ascii="仿宋" w:hAnsi="仿宋" w:eastAsia="仿宋" w:cs="宋体"/>
          <w:color w:val="auto"/>
          <w:sz w:val="24"/>
          <w:szCs w:val="24"/>
          <w:highlight w:val="none"/>
          <w:lang w:val="zh-CN"/>
        </w:rPr>
        <w:t>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09B2690C">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2D04C0D2">
      <w:pPr>
        <w:pStyle w:val="3"/>
        <w:rPr>
          <w:rFonts w:hint="default" w:ascii="方正兰亭黑简体" w:hAnsi="方正兰亭黑简体" w:eastAsia="方正兰亭黑简体" w:cs="方正兰亭黑简体"/>
          <w:color w:val="auto"/>
          <w:sz w:val="22"/>
          <w:szCs w:val="28"/>
          <w:highlight w:val="none"/>
          <w:lang w:val="en-US" w:eastAsia="zh-CN"/>
        </w:rPr>
      </w:pPr>
    </w:p>
    <w:p w14:paraId="3F5F1DB4">
      <w:pPr>
        <w:pStyle w:val="3"/>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6838" w:h="11906" w:orient="landscape"/>
          <w:pgMar w:top="1083" w:right="1440" w:bottom="1083" w:left="1440" w:header="851" w:footer="992" w:gutter="0"/>
          <w:pgNumType w:fmt="decimal"/>
          <w:cols w:space="0" w:num="1"/>
          <w:rtlGutter w:val="0"/>
          <w:docGrid w:type="lines" w:linePitch="314" w:charSpace="0"/>
        </w:sectPr>
      </w:pPr>
    </w:p>
    <w:p w14:paraId="00798ACC">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20A3E701">
      <w:pPr>
        <w:pStyle w:val="2"/>
        <w:ind w:left="0" w:leftChars="0" w:firstLine="0" w:firstLineChars="0"/>
        <w:rPr>
          <w:rFonts w:hint="default"/>
          <w:color w:val="auto"/>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6EB7D9FB">
      <w:pPr>
        <w:pStyle w:val="2"/>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1、</w:t>
      </w:r>
      <w:r>
        <w:rPr>
          <w:rFonts w:hint="eastAsia" w:ascii="方正兰亭黑简体" w:hAnsi="方正兰亭黑简体" w:eastAsia="方正兰亭黑简体" w:cs="方正兰亭黑简体"/>
          <w:color w:val="auto"/>
          <w:sz w:val="22"/>
          <w:szCs w:val="28"/>
          <w:highlight w:val="none"/>
          <w:lang w:val="en-US" w:eastAsia="zh-CN"/>
        </w:rPr>
        <w:t>营业执照扫描件</w:t>
      </w:r>
    </w:p>
    <w:p w14:paraId="78A512EA">
      <w:pPr>
        <w:pStyle w:val="2"/>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2、</w:t>
      </w:r>
      <w:r>
        <w:rPr>
          <w:rFonts w:hint="eastAsia" w:ascii="方正兰亭黑简体" w:hAnsi="方正兰亭黑简体" w:eastAsia="方正兰亭黑简体" w:cs="方正兰亭黑简体"/>
          <w:color w:val="auto"/>
          <w:sz w:val="22"/>
          <w:szCs w:val="28"/>
          <w:highlight w:val="none"/>
          <w:lang w:val="en-US" w:eastAsia="zh-CN"/>
        </w:rPr>
        <w:t>产品资料（设备参数）</w:t>
      </w:r>
    </w:p>
    <w:p w14:paraId="753746F1">
      <w:pPr>
        <w:pStyle w:val="2"/>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3、</w:t>
      </w:r>
      <w:r>
        <w:rPr>
          <w:rFonts w:hint="eastAsia" w:ascii="方正兰亭黑简体" w:hAnsi="方正兰亭黑简体" w:eastAsia="方正兰亭黑简体" w:cs="方正兰亭黑简体"/>
          <w:color w:val="auto"/>
          <w:sz w:val="22"/>
          <w:szCs w:val="28"/>
          <w:highlight w:val="none"/>
          <w:lang w:val="en-US" w:eastAsia="zh-CN"/>
        </w:rPr>
        <w:t>实施计划</w:t>
      </w:r>
    </w:p>
    <w:p w14:paraId="24BA34CB">
      <w:pPr>
        <w:pStyle w:val="2"/>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4、</w:t>
      </w:r>
      <w:r>
        <w:rPr>
          <w:rFonts w:hint="eastAsia" w:ascii="方正兰亭黑简体" w:hAnsi="方正兰亭黑简体" w:eastAsia="方正兰亭黑简体" w:cs="方正兰亭黑简体"/>
          <w:color w:val="auto"/>
          <w:sz w:val="22"/>
          <w:szCs w:val="28"/>
          <w:highlight w:val="none"/>
          <w:lang w:val="en-US" w:eastAsia="zh-CN"/>
        </w:rPr>
        <w:t>售后方案</w:t>
      </w:r>
    </w:p>
    <w:p w14:paraId="3DF3D2C1">
      <w:pPr>
        <w:pStyle w:val="2"/>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5、</w:t>
      </w:r>
      <w:r>
        <w:rPr>
          <w:rFonts w:hint="eastAsia" w:ascii="方正兰亭黑简体" w:hAnsi="方正兰亭黑简体" w:eastAsia="方正兰亭黑简体" w:cs="方正兰亭黑简体"/>
          <w:color w:val="auto"/>
          <w:sz w:val="22"/>
          <w:szCs w:val="28"/>
          <w:highlight w:val="none"/>
          <w:lang w:val="en-US" w:eastAsia="zh-CN"/>
        </w:rPr>
        <w:t>业绩案例</w:t>
      </w:r>
    </w:p>
    <w:p w14:paraId="06636227">
      <w:pPr>
        <w:pStyle w:val="2"/>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3D1B88-EE92-47C8-9D8A-17E034945F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简体">
    <w:panose1 w:val="02000000000000000000"/>
    <w:charset w:val="86"/>
    <w:family w:val="auto"/>
    <w:pitch w:val="default"/>
    <w:sig w:usb0="A00002BF" w:usb1="184F6CFA" w:usb2="00000012" w:usb3="00000000" w:csb0="00040001" w:csb1="00000000"/>
    <w:embedRegular r:id="rId2" w:fontKey="{1DA09466-C3EA-4D86-B6BC-567350A88518}"/>
  </w:font>
  <w:font w:name="仿宋">
    <w:panose1 w:val="02010609060101010101"/>
    <w:charset w:val="86"/>
    <w:family w:val="modern"/>
    <w:pitch w:val="default"/>
    <w:sig w:usb0="800002BF" w:usb1="38CF7CFA" w:usb2="00000016" w:usb3="00000000" w:csb0="00040001" w:csb1="00000000"/>
    <w:embedRegular r:id="rId3" w:fontKey="{61ADF457-7350-4235-927D-98551AF83809}"/>
  </w:font>
  <w:font w:name="华文楷体">
    <w:altName w:val="宋体"/>
    <w:panose1 w:val="02010600040101010101"/>
    <w:charset w:val="86"/>
    <w:family w:val="auto"/>
    <w:pitch w:val="default"/>
    <w:sig w:usb0="00000000" w:usb1="00000000" w:usb2="00000000" w:usb3="00000000" w:csb0="0004009F" w:csb1="DFD70000"/>
    <w:embedRegular r:id="rId4" w:fontKey="{69D21655-1FE9-4A1B-AC18-78C26AB051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1A730D2C"/>
    <w:rsid w:val="2FB07FD7"/>
    <w:rsid w:val="76ED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rPr>
      <w:rFonts w:ascii="Calibri" w:hAnsi="Calibri" w:eastAsia="宋体" w:cs="Times New Roman"/>
    </w:rPr>
  </w:style>
  <w:style w:type="paragraph" w:styleId="7">
    <w:name w:val="Body Text Indent 3"/>
    <w:basedOn w:val="1"/>
    <w:qFormat/>
    <w:uiPriority w:val="0"/>
    <w:pPr>
      <w:ind w:firstLine="600" w:firstLineChars="200"/>
    </w:pPr>
    <w:rPr>
      <w:color w:val="FF0000"/>
      <w:sz w:val="30"/>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4516</Words>
  <Characters>4829</Characters>
  <Lines>0</Lines>
  <Paragraphs>0</Paragraphs>
  <TotalTime>24</TotalTime>
  <ScaleCrop>false</ScaleCrop>
  <LinksUpToDate>false</LinksUpToDate>
  <CharactersWithSpaces>5105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2025-04-07T03:26:26Z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eyJoZGlkIjoiZDlmOGQwYjhiNmI4NDMzYTcyZjE3NmU1NDRkMTcyMTMiLCJ1c2VySWQiOiIyOTgyOTgyOTEifQ==</vt:lpwstr>
  </property>
  <property fmtid="{D5CDD505-2E9C-101B-9397-08002B2CF9AE}" pid="4" name="ICV">
    <vt:lpwstr>2BFD31D5F3FB4B709DBC969892577809_12</vt:lpwstr>
  </property>
</Properties>
</file>