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cs="宋体"/>
          <w:b/>
          <w:bCs/>
          <w:sz w:val="28"/>
          <w:szCs w:val="28"/>
          <w:highlight w:val="none"/>
        </w:rPr>
      </w:pPr>
      <w:bookmarkStart w:id="0" w:name="_GoBack"/>
      <w:bookmarkEnd w:id="0"/>
      <w:r>
        <w:rPr>
          <w:rFonts w:hint="eastAsia" w:cs="宋体"/>
          <w:b/>
          <w:bCs/>
          <w:sz w:val="28"/>
          <w:szCs w:val="28"/>
          <w:highlight w:val="none"/>
        </w:rPr>
        <w:t>课程建设开发需求</w:t>
      </w:r>
    </w:p>
    <w:p>
      <w:pPr>
        <w:ind w:firstLine="480"/>
        <w:rPr>
          <w:rFonts w:cs="宋体"/>
          <w:szCs w:val="21"/>
          <w:highlight w:val="none"/>
        </w:rPr>
      </w:pPr>
    </w:p>
    <w:p>
      <w:pPr>
        <w:ind w:firstLine="480"/>
        <w:rPr>
          <w:rFonts w:hint="eastAsia" w:cs="宋体"/>
          <w:szCs w:val="21"/>
          <w:highlight w:val="none"/>
        </w:rPr>
      </w:pPr>
      <w:r>
        <w:rPr>
          <w:rFonts w:hint="eastAsia" w:cs="宋体"/>
          <w:szCs w:val="21"/>
          <w:highlight w:val="none"/>
        </w:rPr>
        <w:t>为进一步扩充海事技术基础、开发海事新技术，为下一步的国际海事合作提供技术资源。结合国际海事组织</w:t>
      </w:r>
      <w:r>
        <w:rPr>
          <w:rFonts w:cs="宋体"/>
          <w:szCs w:val="21"/>
          <w:highlight w:val="none"/>
        </w:rPr>
        <w:t>制定船舶温室气体减排初步战略</w:t>
      </w:r>
      <w:r>
        <w:rPr>
          <w:rFonts w:hint="eastAsia" w:cs="宋体"/>
          <w:szCs w:val="21"/>
          <w:highlight w:val="none"/>
        </w:rPr>
        <w:t>，实现国际航运温室气体减排的短、中、长期措施，以及船舶碳强度及碳排放总量降低需要逐渐采用替代性低碳、零碳燃料的实际情况，拟建设有关专业课程。课程建设基本要求说明如下。</w:t>
      </w:r>
    </w:p>
    <w:p>
      <w:pPr>
        <w:pStyle w:val="3"/>
        <w:ind w:firstLine="562"/>
        <w:rPr>
          <w:highlight w:val="none"/>
        </w:rPr>
      </w:pPr>
      <w:r>
        <w:rPr>
          <w:rFonts w:hint="eastAsia"/>
          <w:highlight w:val="none"/>
        </w:rPr>
        <w:t>一、课程建设内容：</w:t>
      </w:r>
    </w:p>
    <w:p>
      <w:pPr>
        <w:pStyle w:val="3"/>
        <w:ind w:firstLine="562"/>
        <w:rPr>
          <w:highlight w:val="none"/>
        </w:rPr>
      </w:pPr>
      <w:r>
        <w:rPr>
          <w:rFonts w:hint="eastAsia"/>
          <w:highlight w:val="none"/>
        </w:rPr>
        <w:t>课程建设名称1：船用替代燃料与生命周期碳强度评估</w:t>
      </w:r>
    </w:p>
    <w:p>
      <w:pPr>
        <w:ind w:firstLine="480"/>
        <w:rPr>
          <w:highlight w:val="none"/>
        </w:rPr>
      </w:pPr>
      <w:r>
        <w:rPr>
          <w:rFonts w:hint="eastAsia"/>
          <w:highlight w:val="none"/>
        </w:rPr>
        <w:t>为降低船舶碳强度及减少船舶温室气体的排放总量，为实现</w:t>
      </w:r>
      <w:r>
        <w:rPr>
          <w:highlight w:val="none"/>
        </w:rPr>
        <w:t>海运碳强度</w:t>
      </w:r>
      <w:r>
        <w:rPr>
          <w:rFonts w:hint="eastAsia"/>
          <w:highlight w:val="none"/>
        </w:rPr>
        <w:t>阶段性量化目标、准确核算船舶温室气体排放及保证船舶所采用的燃料真正有助于控制全球变暖。</w:t>
      </w:r>
      <w:r>
        <w:rPr>
          <w:highlight w:val="none"/>
        </w:rPr>
        <w:t>2018年</w:t>
      </w:r>
      <w:r>
        <w:rPr>
          <w:rFonts w:hint="eastAsia"/>
          <w:highlight w:val="none"/>
        </w:rPr>
        <w:t>开始</w:t>
      </w:r>
      <w:r>
        <w:rPr>
          <w:highlight w:val="none"/>
        </w:rPr>
        <w:t>，国际海事组织（IMO）</w:t>
      </w:r>
      <w:r>
        <w:rPr>
          <w:rFonts w:hint="eastAsia"/>
          <w:highlight w:val="none"/>
        </w:rPr>
        <w:t>就开始了船用燃料温室气体排放全生命周期评估导则（L</w:t>
      </w:r>
      <w:r>
        <w:rPr>
          <w:highlight w:val="none"/>
        </w:rPr>
        <w:t>CA</w:t>
      </w:r>
      <w:r>
        <w:rPr>
          <w:rFonts w:hint="eastAsia"/>
          <w:highlight w:val="none"/>
        </w:rPr>
        <w:t>导则）的讨论、制定工作，并计划在2</w:t>
      </w:r>
      <w:r>
        <w:rPr>
          <w:highlight w:val="none"/>
        </w:rPr>
        <w:t>023</w:t>
      </w:r>
      <w:r>
        <w:rPr>
          <w:rFonts w:hint="eastAsia"/>
          <w:highlight w:val="none"/>
        </w:rPr>
        <w:t>年完成船用燃料L</w:t>
      </w:r>
      <w:r>
        <w:rPr>
          <w:highlight w:val="none"/>
        </w:rPr>
        <w:t>CA</w:t>
      </w:r>
      <w:r>
        <w:rPr>
          <w:rFonts w:hint="eastAsia"/>
          <w:highlight w:val="none"/>
        </w:rPr>
        <w:t>导则的制定</w:t>
      </w:r>
      <w:r>
        <w:rPr>
          <w:highlight w:val="none"/>
        </w:rPr>
        <w:t>。</w:t>
      </w:r>
      <w:r>
        <w:rPr>
          <w:rFonts w:hint="eastAsia"/>
          <w:highlight w:val="none"/>
        </w:rPr>
        <w:t>船用燃料L</w:t>
      </w:r>
      <w:r>
        <w:rPr>
          <w:highlight w:val="none"/>
        </w:rPr>
        <w:t>CA</w:t>
      </w:r>
      <w:r>
        <w:rPr>
          <w:rFonts w:hint="eastAsia"/>
          <w:highlight w:val="none"/>
        </w:rPr>
        <w:t>导则将来的实施也将为船舶碳强度、温室气体排放总量核算带来新的挑战，也必将会对船舶燃料全行业带来深远的影响。本课程重在介绍船舶燃料相关知识及船用燃料温室气体排放全生命周期评估导则的相关内容。课程内容主要包括但不限于以下方面：</w:t>
      </w:r>
    </w:p>
    <w:p>
      <w:pPr>
        <w:ind w:firstLine="480"/>
        <w:rPr>
          <w:highlight w:val="none"/>
        </w:rPr>
      </w:pPr>
      <w:r>
        <w:rPr>
          <w:rFonts w:hint="eastAsia"/>
          <w:highlight w:val="none"/>
        </w:rPr>
        <w:t>1</w:t>
      </w:r>
      <w:r>
        <w:rPr>
          <w:highlight w:val="none"/>
        </w:rPr>
        <w:t>.</w:t>
      </w:r>
      <w:r>
        <w:rPr>
          <w:rFonts w:hint="eastAsia"/>
          <w:highlight w:val="none"/>
        </w:rPr>
        <w:t>船用替代燃料</w:t>
      </w:r>
    </w:p>
    <w:p>
      <w:pPr>
        <w:ind w:left="480" w:leftChars="200" w:firstLine="480"/>
        <w:rPr>
          <w:highlight w:val="none"/>
        </w:rPr>
      </w:pPr>
      <w:r>
        <w:rPr>
          <w:rFonts w:hint="eastAsia"/>
          <w:highlight w:val="none"/>
        </w:rPr>
        <w:t>1）船舶使用替代燃料必要性；</w:t>
      </w:r>
    </w:p>
    <w:p>
      <w:pPr>
        <w:ind w:left="480" w:leftChars="200" w:firstLine="480" w:firstLineChars="0"/>
        <w:rPr>
          <w:highlight w:val="none"/>
        </w:rPr>
      </w:pPr>
      <w:r>
        <w:rPr>
          <w:rFonts w:hint="eastAsia"/>
          <w:highlight w:val="none"/>
        </w:rPr>
        <w:t>2）船用替代燃料的分类；</w:t>
      </w:r>
    </w:p>
    <w:p>
      <w:pPr>
        <w:ind w:left="480" w:leftChars="200" w:firstLine="480" w:firstLineChars="0"/>
        <w:rPr>
          <w:highlight w:val="none"/>
        </w:rPr>
      </w:pPr>
      <w:r>
        <w:rPr>
          <w:rFonts w:hint="eastAsia"/>
          <w:highlight w:val="none"/>
        </w:rPr>
        <w:t>3）船用替代燃料的特性；</w:t>
      </w:r>
    </w:p>
    <w:p>
      <w:pPr>
        <w:ind w:left="480" w:leftChars="200" w:firstLine="480" w:firstLineChars="0"/>
        <w:rPr>
          <w:highlight w:val="none"/>
        </w:rPr>
      </w:pPr>
      <w:r>
        <w:rPr>
          <w:rFonts w:hint="eastAsia"/>
          <w:highlight w:val="none"/>
        </w:rPr>
        <w:t>4）船用替代燃料的应用形式。</w:t>
      </w:r>
    </w:p>
    <w:p>
      <w:pPr>
        <w:ind w:left="480" w:firstLine="0" w:firstLineChars="0"/>
        <w:rPr>
          <w:highlight w:val="none"/>
        </w:rPr>
      </w:pPr>
      <w:r>
        <w:rPr>
          <w:rFonts w:hint="eastAsia"/>
          <w:highlight w:val="none"/>
        </w:rPr>
        <w:t>2</w:t>
      </w:r>
      <w:r>
        <w:rPr>
          <w:highlight w:val="none"/>
        </w:rPr>
        <w:t>.</w:t>
      </w:r>
      <w:r>
        <w:rPr>
          <w:rFonts w:hint="eastAsia"/>
          <w:highlight w:val="none"/>
        </w:rPr>
        <w:t xml:space="preserve"> 船用燃料全生命周期碳强度评估</w:t>
      </w:r>
    </w:p>
    <w:p>
      <w:pPr>
        <w:ind w:left="480" w:leftChars="200" w:firstLine="480"/>
        <w:rPr>
          <w:highlight w:val="none"/>
        </w:rPr>
      </w:pPr>
      <w:r>
        <w:rPr>
          <w:rFonts w:hint="eastAsia"/>
          <w:highlight w:val="none"/>
        </w:rPr>
        <w:t>1）船用燃料全生命周期碳强度评估提出的背景；</w:t>
      </w:r>
    </w:p>
    <w:p>
      <w:pPr>
        <w:ind w:left="480" w:leftChars="200" w:firstLine="480" w:firstLineChars="0"/>
        <w:rPr>
          <w:highlight w:val="none"/>
        </w:rPr>
      </w:pPr>
      <w:r>
        <w:rPr>
          <w:rFonts w:hint="eastAsia"/>
          <w:highlight w:val="none"/>
        </w:rPr>
        <w:t>2）船用燃料全生命周期碳强度评估导则的制定历程；</w:t>
      </w:r>
    </w:p>
    <w:p>
      <w:pPr>
        <w:ind w:left="480" w:leftChars="200" w:firstLine="480" w:firstLineChars="0"/>
        <w:rPr>
          <w:highlight w:val="none"/>
        </w:rPr>
      </w:pPr>
      <w:r>
        <w:rPr>
          <w:rFonts w:hint="eastAsia"/>
          <w:highlight w:val="none"/>
        </w:rPr>
        <w:t>3）全生命周期评估基本知识介绍；</w:t>
      </w:r>
    </w:p>
    <w:p>
      <w:pPr>
        <w:ind w:left="480" w:leftChars="200" w:firstLine="480" w:firstLineChars="0"/>
        <w:rPr>
          <w:highlight w:val="none"/>
        </w:rPr>
      </w:pPr>
      <w:r>
        <w:rPr>
          <w:highlight w:val="none"/>
        </w:rPr>
        <w:t>4</w:t>
      </w:r>
      <w:r>
        <w:rPr>
          <w:rFonts w:hint="eastAsia"/>
          <w:highlight w:val="none"/>
        </w:rPr>
        <w:t>）船用燃料全生命周期碳强度评估导则主要内容介绍；</w:t>
      </w:r>
    </w:p>
    <w:p>
      <w:pPr>
        <w:ind w:left="960" w:leftChars="400" w:firstLine="0" w:firstLineChars="0"/>
        <w:rPr>
          <w:rFonts w:hint="eastAsia"/>
          <w:highlight w:val="none"/>
        </w:rPr>
      </w:pPr>
      <w:r>
        <w:rPr>
          <w:highlight w:val="none"/>
        </w:rPr>
        <w:t>5</w:t>
      </w:r>
      <w:r>
        <w:rPr>
          <w:rFonts w:hint="eastAsia"/>
          <w:highlight w:val="none"/>
        </w:rPr>
        <w:t>）船用燃料全生命周期碳强度评估导则实施带来的挑战。</w:t>
      </w:r>
    </w:p>
    <w:p>
      <w:pPr>
        <w:ind w:firstLine="482"/>
        <w:rPr>
          <w:rFonts w:hint="eastAsia" w:cs="宋体"/>
          <w:b/>
          <w:szCs w:val="21"/>
          <w:highlight w:val="none"/>
        </w:rPr>
      </w:pPr>
    </w:p>
    <w:p>
      <w:pPr>
        <w:pStyle w:val="3"/>
        <w:ind w:firstLine="562"/>
        <w:rPr>
          <w:highlight w:val="none"/>
        </w:rPr>
      </w:pPr>
      <w:r>
        <w:rPr>
          <w:rFonts w:hint="eastAsia"/>
          <w:highlight w:val="none"/>
        </w:rPr>
        <w:t>课程建设名称2：</w:t>
      </w:r>
      <w:r>
        <w:rPr>
          <w:highlight w:val="none"/>
        </w:rPr>
        <w:t>船舶营运碳强度评级机制与履约要点</w:t>
      </w:r>
    </w:p>
    <w:p>
      <w:pPr>
        <w:ind w:firstLine="480"/>
        <w:rPr>
          <w:highlight w:val="none"/>
        </w:rPr>
      </w:pPr>
      <w:r>
        <w:rPr>
          <w:rFonts w:hint="eastAsia"/>
          <w:highlight w:val="none"/>
        </w:rPr>
        <w:t>为减少船舶温室气体的排放，实现</w:t>
      </w:r>
      <w:r>
        <w:rPr>
          <w:highlight w:val="none"/>
        </w:rPr>
        <w:t>海运碳强度</w:t>
      </w:r>
      <w:r>
        <w:rPr>
          <w:rFonts w:hint="eastAsia"/>
          <w:highlight w:val="none"/>
        </w:rPr>
        <w:t>阶段性量化目标，</w:t>
      </w:r>
      <w:r>
        <w:rPr>
          <w:highlight w:val="none"/>
        </w:rPr>
        <w:t>2021年6月，国际海事组织（IMO）通过</w:t>
      </w:r>
      <w:r>
        <w:rPr>
          <w:rFonts w:hint="eastAsia"/>
          <w:highlight w:val="none"/>
        </w:rPr>
        <w:t>了船舶</w:t>
      </w:r>
      <w:r>
        <w:rPr>
          <w:highlight w:val="none"/>
        </w:rPr>
        <w:t>营运碳强度（CII）评级机制。</w:t>
      </w:r>
      <w:r>
        <w:rPr>
          <w:rFonts w:hint="eastAsia"/>
          <w:highlight w:val="none"/>
        </w:rPr>
        <w:t>一方面，</w:t>
      </w:r>
      <w:r>
        <w:rPr>
          <w:highlight w:val="none"/>
        </w:rPr>
        <w:t>CII评级机制</w:t>
      </w:r>
      <w:r>
        <w:rPr>
          <w:rFonts w:hint="eastAsia"/>
          <w:highlight w:val="none"/>
        </w:rPr>
        <w:t>的实施</w:t>
      </w:r>
      <w:r>
        <w:rPr>
          <w:highlight w:val="none"/>
        </w:rPr>
        <w:t>将激励船舶采取有效营运措施</w:t>
      </w:r>
      <w:r>
        <w:rPr>
          <w:rFonts w:hint="eastAsia"/>
          <w:highlight w:val="none"/>
        </w:rPr>
        <w:t>降低船舶温室气体的排放</w:t>
      </w:r>
      <w:r>
        <w:rPr>
          <w:highlight w:val="none"/>
        </w:rPr>
        <w:t>，推动海运船队整体实现碳强度逐渐降低的目标。</w:t>
      </w:r>
      <w:r>
        <w:rPr>
          <w:rFonts w:hint="eastAsia"/>
          <w:highlight w:val="none"/>
        </w:rPr>
        <w:t>同时，</w:t>
      </w:r>
      <w:r>
        <w:rPr>
          <w:highlight w:val="none"/>
        </w:rPr>
        <w:t>CII评级机制</w:t>
      </w:r>
      <w:r>
        <w:rPr>
          <w:rFonts w:hint="eastAsia"/>
          <w:highlight w:val="none"/>
        </w:rPr>
        <w:t>的实施也将为船舶履约带来新的挑战。本课程重在介绍</w:t>
      </w:r>
      <w:r>
        <w:rPr>
          <w:highlight w:val="none"/>
        </w:rPr>
        <w:t>船舶营运碳强度评级机制</w:t>
      </w:r>
      <w:r>
        <w:rPr>
          <w:rFonts w:hint="eastAsia"/>
          <w:highlight w:val="none"/>
        </w:rPr>
        <w:t>和履约要点等。课程内容主要包括但不限于以下方面：</w:t>
      </w:r>
    </w:p>
    <w:p>
      <w:pPr>
        <w:pStyle w:val="16"/>
        <w:numPr>
          <w:ilvl w:val="0"/>
          <w:numId w:val="1"/>
        </w:numPr>
        <w:ind w:firstLineChars="0"/>
        <w:rPr>
          <w:highlight w:val="none"/>
        </w:rPr>
      </w:pPr>
      <w:r>
        <w:rPr>
          <w:rFonts w:hint="eastAsia"/>
          <w:highlight w:val="none"/>
        </w:rPr>
        <w:t>船舶营运强度评级机制概述；</w:t>
      </w:r>
    </w:p>
    <w:p>
      <w:pPr>
        <w:pStyle w:val="16"/>
        <w:numPr>
          <w:ilvl w:val="0"/>
          <w:numId w:val="1"/>
        </w:numPr>
        <w:ind w:firstLineChars="0"/>
        <w:rPr>
          <w:highlight w:val="none"/>
        </w:rPr>
      </w:pPr>
      <w:r>
        <w:rPr>
          <w:highlight w:val="none"/>
        </w:rPr>
        <w:t>船舶营运碳强度指标</w:t>
      </w:r>
      <w:r>
        <w:rPr>
          <w:rFonts w:hint="eastAsia"/>
          <w:highlight w:val="none"/>
        </w:rPr>
        <w:t>的</w:t>
      </w:r>
      <w:r>
        <w:rPr>
          <w:highlight w:val="none"/>
        </w:rPr>
        <w:t>计算与修正方法</w:t>
      </w:r>
      <w:r>
        <w:rPr>
          <w:rFonts w:hint="eastAsia"/>
          <w:highlight w:val="none"/>
        </w:rPr>
        <w:t>；</w:t>
      </w:r>
    </w:p>
    <w:p>
      <w:pPr>
        <w:pStyle w:val="16"/>
        <w:numPr>
          <w:ilvl w:val="0"/>
          <w:numId w:val="1"/>
        </w:numPr>
        <w:ind w:firstLineChars="0"/>
        <w:rPr>
          <w:highlight w:val="none"/>
        </w:rPr>
      </w:pPr>
      <w:r>
        <w:rPr>
          <w:rFonts w:hint="eastAsia"/>
          <w:highlight w:val="none"/>
        </w:rPr>
        <w:t>船舶营运强度指标计算和等级评估；</w:t>
      </w:r>
    </w:p>
    <w:p>
      <w:pPr>
        <w:pStyle w:val="16"/>
        <w:numPr>
          <w:ilvl w:val="0"/>
          <w:numId w:val="1"/>
        </w:numPr>
        <w:ind w:firstLineChars="0"/>
        <w:rPr>
          <w:highlight w:val="none"/>
        </w:rPr>
      </w:pPr>
      <w:r>
        <w:rPr>
          <w:rFonts w:hint="eastAsia"/>
          <w:highlight w:val="none"/>
        </w:rPr>
        <w:t>船舶营运强度评级机制履约要点。</w:t>
      </w:r>
    </w:p>
    <w:p>
      <w:pPr>
        <w:ind w:left="960" w:leftChars="400" w:firstLine="0" w:firstLineChars="0"/>
        <w:rPr>
          <w:highlight w:val="none"/>
        </w:rPr>
      </w:pPr>
    </w:p>
    <w:p>
      <w:pPr>
        <w:pStyle w:val="3"/>
        <w:ind w:firstLine="562"/>
        <w:rPr>
          <w:highlight w:val="none"/>
        </w:rPr>
      </w:pPr>
      <w:r>
        <w:rPr>
          <w:rFonts w:hint="eastAsia"/>
          <w:highlight w:val="none"/>
        </w:rPr>
        <w:t>二、课程建设要求</w:t>
      </w:r>
    </w:p>
    <w:p>
      <w:pPr>
        <w:pStyle w:val="16"/>
        <w:numPr>
          <w:ilvl w:val="0"/>
          <w:numId w:val="2"/>
        </w:numPr>
        <w:ind w:firstLineChars="0"/>
        <w:rPr>
          <w:highlight w:val="none"/>
        </w:rPr>
      </w:pPr>
      <w:r>
        <w:rPr>
          <w:rFonts w:hint="eastAsia"/>
          <w:highlight w:val="none"/>
        </w:rPr>
        <w:t>使用最新的资料和参考；</w:t>
      </w:r>
    </w:p>
    <w:p>
      <w:pPr>
        <w:pStyle w:val="16"/>
        <w:numPr>
          <w:ilvl w:val="0"/>
          <w:numId w:val="2"/>
        </w:numPr>
        <w:ind w:firstLineChars="0"/>
        <w:rPr>
          <w:highlight w:val="none"/>
        </w:rPr>
      </w:pPr>
      <w:r>
        <w:rPr>
          <w:rFonts w:hint="eastAsia"/>
          <w:highlight w:val="none"/>
        </w:rPr>
        <w:t>高水平的P</w:t>
      </w:r>
      <w:r>
        <w:rPr>
          <w:highlight w:val="none"/>
        </w:rPr>
        <w:t>PT</w:t>
      </w:r>
      <w:r>
        <w:rPr>
          <w:rFonts w:hint="eastAsia"/>
          <w:highlight w:val="none"/>
        </w:rPr>
        <w:t>课件展示（结合有关图片、视频和音频等）；</w:t>
      </w:r>
    </w:p>
    <w:p>
      <w:pPr>
        <w:pStyle w:val="16"/>
        <w:numPr>
          <w:ilvl w:val="0"/>
          <w:numId w:val="2"/>
        </w:numPr>
        <w:ind w:firstLineChars="0"/>
        <w:rPr>
          <w:highlight w:val="none"/>
        </w:rPr>
      </w:pPr>
      <w:r>
        <w:rPr>
          <w:highlight w:val="none"/>
        </w:rPr>
        <w:t>PPT</w:t>
      </w:r>
      <w:r>
        <w:rPr>
          <w:rFonts w:hint="eastAsia"/>
          <w:highlight w:val="none"/>
        </w:rPr>
        <w:t>课件</w:t>
      </w:r>
      <w:r>
        <w:rPr>
          <w:rFonts w:hint="eastAsia"/>
          <w:highlight w:val="none"/>
          <w:lang w:eastAsia="zh-CN"/>
        </w:rPr>
        <w:t>应在</w:t>
      </w:r>
      <w:r>
        <w:rPr>
          <w:rFonts w:hint="eastAsia"/>
          <w:highlight w:val="none"/>
        </w:rPr>
        <w:t>文中注明必要的参考（法规、网站等）；</w:t>
      </w:r>
    </w:p>
    <w:p>
      <w:pPr>
        <w:pStyle w:val="16"/>
        <w:numPr>
          <w:ilvl w:val="0"/>
          <w:numId w:val="2"/>
        </w:numPr>
        <w:ind w:firstLineChars="0"/>
        <w:rPr>
          <w:highlight w:val="none"/>
        </w:rPr>
      </w:pPr>
      <w:r>
        <w:rPr>
          <w:rFonts w:hint="eastAsia"/>
          <w:highlight w:val="none"/>
        </w:rPr>
        <w:t>提供课程相应的参考资料；</w:t>
      </w:r>
    </w:p>
    <w:p>
      <w:pPr>
        <w:pStyle w:val="16"/>
        <w:numPr>
          <w:ilvl w:val="0"/>
          <w:numId w:val="2"/>
        </w:numPr>
        <w:ind w:firstLineChars="0"/>
        <w:rPr>
          <w:highlight w:val="none"/>
        </w:rPr>
      </w:pPr>
      <w:r>
        <w:rPr>
          <w:rFonts w:hint="eastAsia"/>
          <w:highlight w:val="none"/>
        </w:rPr>
        <w:t>每门课程篇幅不少于100页P</w:t>
      </w:r>
      <w:r>
        <w:rPr>
          <w:highlight w:val="none"/>
        </w:rPr>
        <w:t>PT</w:t>
      </w:r>
      <w:r>
        <w:rPr>
          <w:rFonts w:hint="eastAsia"/>
          <w:highlight w:val="none"/>
        </w:rPr>
        <w:t>（英文），适于8个学时授课；</w:t>
      </w:r>
    </w:p>
    <w:p>
      <w:pPr>
        <w:pStyle w:val="16"/>
        <w:numPr>
          <w:ilvl w:val="0"/>
          <w:numId w:val="2"/>
        </w:numPr>
        <w:ind w:firstLineChars="0"/>
        <w:rPr>
          <w:highlight w:val="none"/>
        </w:rPr>
      </w:pPr>
      <w:r>
        <w:rPr>
          <w:rFonts w:hint="eastAsia"/>
          <w:highlight w:val="none"/>
        </w:rPr>
        <w:t>打印装订课程P</w:t>
      </w:r>
      <w:r>
        <w:rPr>
          <w:highlight w:val="none"/>
        </w:rPr>
        <w:t>PT</w:t>
      </w:r>
      <w:r>
        <w:rPr>
          <w:rFonts w:hint="eastAsia"/>
          <w:highlight w:val="none"/>
        </w:rPr>
        <w:t>并简要介绍课程开发情况。</w:t>
      </w:r>
    </w:p>
    <w:p>
      <w:pPr>
        <w:ind w:left="480" w:leftChars="200" w:firstLine="0" w:firstLineChars="0"/>
        <w:rPr>
          <w:highlight w:val="none"/>
        </w:rPr>
      </w:pPr>
    </w:p>
    <w:p>
      <w:pPr>
        <w:pStyle w:val="3"/>
        <w:ind w:firstLine="562"/>
        <w:rPr>
          <w:highlight w:val="none"/>
        </w:rPr>
      </w:pPr>
      <w:r>
        <w:rPr>
          <w:rFonts w:hint="eastAsia"/>
          <w:highlight w:val="none"/>
        </w:rPr>
        <w:t>三、其他</w:t>
      </w:r>
    </w:p>
    <w:p>
      <w:pPr>
        <w:ind w:left="480" w:leftChars="200" w:firstLine="0" w:firstLineChars="0"/>
        <w:rPr>
          <w:highlight w:val="none"/>
        </w:rPr>
      </w:pPr>
      <w:r>
        <w:rPr>
          <w:rFonts w:hint="eastAsia"/>
          <w:highlight w:val="none"/>
        </w:rPr>
        <w:t>项目总建设经费不超过10万，项目完成后通过上海海事大学组织的验收。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46463"/>
    <w:multiLevelType w:val="multilevel"/>
    <w:tmpl w:val="1384646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A3176C3"/>
    <w:multiLevelType w:val="multilevel"/>
    <w:tmpl w:val="4A3176C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NGQyMDEwMjRiNGNmZDEzOTQ1OTBhZWVlM2NiNmMifQ=="/>
  </w:docVars>
  <w:rsids>
    <w:rsidRoot w:val="001A316B"/>
    <w:rsid w:val="00014950"/>
    <w:rsid w:val="00014D3F"/>
    <w:rsid w:val="000177D5"/>
    <w:rsid w:val="00017DEC"/>
    <w:rsid w:val="00020185"/>
    <w:rsid w:val="00030959"/>
    <w:rsid w:val="0006002A"/>
    <w:rsid w:val="00096E4E"/>
    <w:rsid w:val="000A0F52"/>
    <w:rsid w:val="000B223F"/>
    <w:rsid w:val="000B3056"/>
    <w:rsid w:val="000B640D"/>
    <w:rsid w:val="000E0F9C"/>
    <w:rsid w:val="000E78D7"/>
    <w:rsid w:val="000F364B"/>
    <w:rsid w:val="0011689B"/>
    <w:rsid w:val="00135117"/>
    <w:rsid w:val="00144C96"/>
    <w:rsid w:val="0018677E"/>
    <w:rsid w:val="00187088"/>
    <w:rsid w:val="00190310"/>
    <w:rsid w:val="001A306E"/>
    <w:rsid w:val="001A316B"/>
    <w:rsid w:val="001B4137"/>
    <w:rsid w:val="001C36B1"/>
    <w:rsid w:val="00202D74"/>
    <w:rsid w:val="00204B88"/>
    <w:rsid w:val="002606EB"/>
    <w:rsid w:val="00280DC4"/>
    <w:rsid w:val="002A0C02"/>
    <w:rsid w:val="002B1621"/>
    <w:rsid w:val="00324BB6"/>
    <w:rsid w:val="00356FBB"/>
    <w:rsid w:val="00357079"/>
    <w:rsid w:val="003660CC"/>
    <w:rsid w:val="00384C13"/>
    <w:rsid w:val="003D6ED3"/>
    <w:rsid w:val="00405DDB"/>
    <w:rsid w:val="00430B21"/>
    <w:rsid w:val="0047331C"/>
    <w:rsid w:val="0048121D"/>
    <w:rsid w:val="00485E0B"/>
    <w:rsid w:val="00494374"/>
    <w:rsid w:val="00495525"/>
    <w:rsid w:val="004A09B0"/>
    <w:rsid w:val="004A5485"/>
    <w:rsid w:val="004C4B6A"/>
    <w:rsid w:val="004E2A7D"/>
    <w:rsid w:val="004F1D6A"/>
    <w:rsid w:val="00523FF5"/>
    <w:rsid w:val="00535A2E"/>
    <w:rsid w:val="00561310"/>
    <w:rsid w:val="00564BCF"/>
    <w:rsid w:val="00575264"/>
    <w:rsid w:val="00581624"/>
    <w:rsid w:val="005D4F98"/>
    <w:rsid w:val="005D54E4"/>
    <w:rsid w:val="005E1E0B"/>
    <w:rsid w:val="006009D9"/>
    <w:rsid w:val="00610042"/>
    <w:rsid w:val="0064696E"/>
    <w:rsid w:val="00653029"/>
    <w:rsid w:val="006815E0"/>
    <w:rsid w:val="00683EC6"/>
    <w:rsid w:val="006D5E55"/>
    <w:rsid w:val="006E073D"/>
    <w:rsid w:val="00712625"/>
    <w:rsid w:val="00746B1D"/>
    <w:rsid w:val="007616D8"/>
    <w:rsid w:val="00784B9E"/>
    <w:rsid w:val="00795020"/>
    <w:rsid w:val="00797980"/>
    <w:rsid w:val="007B6CDA"/>
    <w:rsid w:val="007B7BA9"/>
    <w:rsid w:val="007C04F1"/>
    <w:rsid w:val="007C2FAF"/>
    <w:rsid w:val="007C7F13"/>
    <w:rsid w:val="007E0440"/>
    <w:rsid w:val="007E2601"/>
    <w:rsid w:val="007F4AF8"/>
    <w:rsid w:val="007F4D5B"/>
    <w:rsid w:val="007F6388"/>
    <w:rsid w:val="007F69B5"/>
    <w:rsid w:val="008124C0"/>
    <w:rsid w:val="00834205"/>
    <w:rsid w:val="008469B2"/>
    <w:rsid w:val="0087060D"/>
    <w:rsid w:val="008A14CA"/>
    <w:rsid w:val="008C1916"/>
    <w:rsid w:val="008C5682"/>
    <w:rsid w:val="008D173A"/>
    <w:rsid w:val="008E5115"/>
    <w:rsid w:val="00906212"/>
    <w:rsid w:val="00926C39"/>
    <w:rsid w:val="00950EA2"/>
    <w:rsid w:val="00973193"/>
    <w:rsid w:val="009827DE"/>
    <w:rsid w:val="009949BC"/>
    <w:rsid w:val="00997C21"/>
    <w:rsid w:val="009A2F31"/>
    <w:rsid w:val="009D6F30"/>
    <w:rsid w:val="009E0CFD"/>
    <w:rsid w:val="009F0D98"/>
    <w:rsid w:val="00A018A9"/>
    <w:rsid w:val="00A04053"/>
    <w:rsid w:val="00A040D1"/>
    <w:rsid w:val="00A42E2D"/>
    <w:rsid w:val="00A47006"/>
    <w:rsid w:val="00A51454"/>
    <w:rsid w:val="00A73F1E"/>
    <w:rsid w:val="00A75F5B"/>
    <w:rsid w:val="00A832BF"/>
    <w:rsid w:val="00AC741D"/>
    <w:rsid w:val="00AD5585"/>
    <w:rsid w:val="00AF21CA"/>
    <w:rsid w:val="00AF3C86"/>
    <w:rsid w:val="00B16427"/>
    <w:rsid w:val="00B2272F"/>
    <w:rsid w:val="00B26504"/>
    <w:rsid w:val="00B33C95"/>
    <w:rsid w:val="00B35BAE"/>
    <w:rsid w:val="00B50214"/>
    <w:rsid w:val="00B5208E"/>
    <w:rsid w:val="00B53563"/>
    <w:rsid w:val="00B60D50"/>
    <w:rsid w:val="00B92F9A"/>
    <w:rsid w:val="00BA6D3E"/>
    <w:rsid w:val="00BB4671"/>
    <w:rsid w:val="00BC781D"/>
    <w:rsid w:val="00BE4778"/>
    <w:rsid w:val="00BE5166"/>
    <w:rsid w:val="00BF0B67"/>
    <w:rsid w:val="00BF5AAB"/>
    <w:rsid w:val="00C009EB"/>
    <w:rsid w:val="00C11CDE"/>
    <w:rsid w:val="00C171AF"/>
    <w:rsid w:val="00C274A9"/>
    <w:rsid w:val="00C32CED"/>
    <w:rsid w:val="00C74A0D"/>
    <w:rsid w:val="00CA31C9"/>
    <w:rsid w:val="00CD71C6"/>
    <w:rsid w:val="00D0634B"/>
    <w:rsid w:val="00D270D5"/>
    <w:rsid w:val="00D53CBE"/>
    <w:rsid w:val="00D73305"/>
    <w:rsid w:val="00D96CD0"/>
    <w:rsid w:val="00DC5A83"/>
    <w:rsid w:val="00DF3FAD"/>
    <w:rsid w:val="00E22DB2"/>
    <w:rsid w:val="00E534F0"/>
    <w:rsid w:val="00E555B2"/>
    <w:rsid w:val="00E6312C"/>
    <w:rsid w:val="00E66F4D"/>
    <w:rsid w:val="00E72CB7"/>
    <w:rsid w:val="00E95251"/>
    <w:rsid w:val="00EA43EC"/>
    <w:rsid w:val="00EB0BEC"/>
    <w:rsid w:val="00ED0A41"/>
    <w:rsid w:val="00EE7E76"/>
    <w:rsid w:val="00EF6AED"/>
    <w:rsid w:val="00F0601D"/>
    <w:rsid w:val="00F32EF2"/>
    <w:rsid w:val="00F72A4B"/>
    <w:rsid w:val="00FA7DC0"/>
    <w:rsid w:val="00FB1665"/>
    <w:rsid w:val="00FC2B45"/>
    <w:rsid w:val="00FE28D9"/>
    <w:rsid w:val="00FF4AF6"/>
    <w:rsid w:val="6C6864E6"/>
    <w:rsid w:val="7250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Times New Roman"/>
      <w:color w:val="000000"/>
      <w:kern w:val="0"/>
      <w:sz w:val="24"/>
      <w:szCs w:val="24"/>
      <w:lang w:val="en-US" w:eastAsia="zh-CN" w:bidi="ar-SA"/>
    </w:rPr>
  </w:style>
  <w:style w:type="paragraph" w:styleId="2">
    <w:name w:val="heading 1"/>
    <w:basedOn w:val="1"/>
    <w:next w:val="1"/>
    <w:link w:val="10"/>
    <w:qFormat/>
    <w:uiPriority w:val="9"/>
    <w:pPr>
      <w:keepNext/>
      <w:keepLines/>
      <w:ind w:left="3835" w:hanging="432"/>
      <w:jc w:val="center"/>
      <w:outlineLvl w:val="0"/>
    </w:pPr>
    <w:rPr>
      <w:rFonts w:ascii="Times New Roman" w:hAnsi="Times New Roman"/>
      <w:b/>
      <w:bCs/>
      <w:kern w:val="44"/>
      <w:sz w:val="30"/>
      <w:szCs w:val="44"/>
    </w:rPr>
  </w:style>
  <w:style w:type="paragraph" w:styleId="3">
    <w:name w:val="heading 2"/>
    <w:basedOn w:val="1"/>
    <w:next w:val="1"/>
    <w:link w:val="15"/>
    <w:unhideWhenUsed/>
    <w:qFormat/>
    <w:uiPriority w:val="9"/>
    <w:pPr>
      <w:keepNext/>
      <w:keepLines/>
      <w:adjustRightInd w:val="0"/>
      <w:outlineLvl w:val="1"/>
    </w:pPr>
    <w:rPr>
      <w:rFonts w:asciiTheme="majorHAnsi" w:hAnsiTheme="majorHAnsi" w:cstheme="majorBidi"/>
      <w:b/>
      <w:bCs/>
      <w:sz w:val="28"/>
      <w:szCs w:val="32"/>
    </w:rPr>
  </w:style>
  <w:style w:type="paragraph" w:styleId="4">
    <w:name w:val="heading 3"/>
    <w:basedOn w:val="1"/>
    <w:next w:val="1"/>
    <w:link w:val="14"/>
    <w:unhideWhenUsed/>
    <w:qFormat/>
    <w:uiPriority w:val="9"/>
    <w:pPr>
      <w:keepNext/>
      <w:keepLines/>
      <w:outlineLvl w:val="2"/>
    </w:pPr>
    <w:rPr>
      <w:b/>
      <w:bCs/>
      <w:szCs w:val="32"/>
    </w:rPr>
  </w:style>
  <w:style w:type="paragraph" w:styleId="5">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semiHidden/>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标题 1 Char"/>
    <w:basedOn w:val="9"/>
    <w:link w:val="2"/>
    <w:qFormat/>
    <w:uiPriority w:val="9"/>
    <w:rPr>
      <w:rFonts w:ascii="Times New Roman" w:hAnsi="Times New Roman" w:eastAsia="宋体" w:cs="Times New Roman"/>
      <w:b/>
      <w:bCs/>
      <w:kern w:val="44"/>
      <w:sz w:val="30"/>
      <w:szCs w:val="44"/>
    </w:rPr>
  </w:style>
  <w:style w:type="paragraph" w:customStyle="1" w:styleId="11">
    <w:name w:val="标题四"/>
    <w:basedOn w:val="5"/>
    <w:next w:val="5"/>
    <w:link w:val="12"/>
    <w:qFormat/>
    <w:uiPriority w:val="0"/>
    <w:pPr>
      <w:spacing w:line="240" w:lineRule="auto"/>
    </w:pPr>
    <w:rPr>
      <w:rFonts w:eastAsia="宋体"/>
      <w:sz w:val="24"/>
    </w:rPr>
  </w:style>
  <w:style w:type="character" w:customStyle="1" w:styleId="12">
    <w:name w:val="标题四 字符"/>
    <w:basedOn w:val="13"/>
    <w:link w:val="11"/>
    <w:qFormat/>
    <w:uiPriority w:val="0"/>
    <w:rPr>
      <w:rFonts w:eastAsia="宋体" w:asciiTheme="majorHAnsi" w:hAnsiTheme="majorHAnsi" w:cstheme="majorBidi"/>
      <w:color w:val="000000"/>
      <w:kern w:val="0"/>
      <w:sz w:val="24"/>
      <w:szCs w:val="28"/>
    </w:rPr>
  </w:style>
  <w:style w:type="character" w:customStyle="1" w:styleId="13">
    <w:name w:val="标题 4 Char"/>
    <w:basedOn w:val="9"/>
    <w:link w:val="5"/>
    <w:semiHidden/>
    <w:qFormat/>
    <w:uiPriority w:val="9"/>
    <w:rPr>
      <w:rFonts w:asciiTheme="majorHAnsi" w:hAnsiTheme="majorHAnsi" w:eastAsiaTheme="majorEastAsia" w:cstheme="majorBidi"/>
      <w:b/>
      <w:bCs/>
      <w:sz w:val="28"/>
      <w:szCs w:val="28"/>
    </w:rPr>
  </w:style>
  <w:style w:type="character" w:customStyle="1" w:styleId="14">
    <w:name w:val="标题 3 Char"/>
    <w:basedOn w:val="9"/>
    <w:link w:val="4"/>
    <w:qFormat/>
    <w:uiPriority w:val="9"/>
    <w:rPr>
      <w:rFonts w:ascii="宋体" w:hAnsi="宋体" w:eastAsia="宋体" w:cs="Times New Roman"/>
      <w:b/>
      <w:bCs/>
      <w:color w:val="000000"/>
      <w:kern w:val="0"/>
      <w:sz w:val="24"/>
      <w:szCs w:val="32"/>
    </w:rPr>
  </w:style>
  <w:style w:type="character" w:customStyle="1" w:styleId="15">
    <w:name w:val="标题 2 Char"/>
    <w:basedOn w:val="9"/>
    <w:link w:val="3"/>
    <w:qFormat/>
    <w:uiPriority w:val="9"/>
    <w:rPr>
      <w:rFonts w:eastAsia="宋体" w:asciiTheme="majorHAnsi" w:hAnsiTheme="majorHAnsi" w:cstheme="majorBidi"/>
      <w:b/>
      <w:bCs/>
      <w:color w:val="000000"/>
      <w:kern w:val="0"/>
      <w:sz w:val="28"/>
      <w:szCs w:val="32"/>
    </w:rPr>
  </w:style>
  <w:style w:type="paragraph" w:styleId="16">
    <w:name w:val="List Paragraph"/>
    <w:basedOn w:val="1"/>
    <w:qFormat/>
    <w:uiPriority w:val="34"/>
    <w:pPr>
      <w:ind w:firstLine="420"/>
    </w:pPr>
  </w:style>
  <w:style w:type="character" w:customStyle="1" w:styleId="17">
    <w:name w:val="页眉 Char"/>
    <w:basedOn w:val="9"/>
    <w:link w:val="7"/>
    <w:semiHidden/>
    <w:qFormat/>
    <w:uiPriority w:val="99"/>
    <w:rPr>
      <w:rFonts w:ascii="宋体" w:hAnsi="宋体" w:eastAsia="宋体" w:cs="Times New Roman"/>
      <w:color w:val="000000"/>
      <w:kern w:val="0"/>
      <w:sz w:val="18"/>
      <w:szCs w:val="18"/>
    </w:rPr>
  </w:style>
  <w:style w:type="character" w:customStyle="1" w:styleId="18">
    <w:name w:val="页脚 Char"/>
    <w:basedOn w:val="9"/>
    <w:link w:val="6"/>
    <w:semiHidden/>
    <w:qFormat/>
    <w:uiPriority w:val="99"/>
    <w:rPr>
      <w:rFonts w:ascii="宋体" w:hAnsi="宋体" w:eastAsia="宋体" w:cs="Times New Roman"/>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1066</Words>
  <Characters>1104</Characters>
  <Lines>8</Lines>
  <Paragraphs>2</Paragraphs>
  <TotalTime>121</TotalTime>
  <ScaleCrop>false</ScaleCrop>
  <LinksUpToDate>false</LinksUpToDate>
  <CharactersWithSpaces>1105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2022-09-24T06:28:00Z</dcterms:created>
  <dc:creator>ba</dc:creator>
  <cp:lastModifiedBy>仲杰</cp:lastModifiedBy>
  <dcterms:modified xsi:type="dcterms:W3CDTF">2022-10-19T11:15:05Z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297A5AA039CE420384A6515032689FBD</vt:lpwstr>
  </property>
</Properties>
</file>