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2" w:firstLineChars="200"/>
        <w:jc w:val="center"/>
        <w:rPr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kern w:val="0"/>
          <w:sz w:val="28"/>
          <w:szCs w:val="28"/>
        </w:rPr>
        <w:t>港航工程三维虚拟仿真平台技术及服务要求</w:t>
      </w:r>
    </w:p>
    <w:p>
      <w:pPr>
        <w:widowControl/>
        <w:spacing w:line="360" w:lineRule="auto"/>
        <w:ind w:firstLine="482" w:firstLineChars="200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一、功能技术要求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1.</w:t>
      </w:r>
      <w:r>
        <w:rPr>
          <w:rFonts w:hint="eastAsia"/>
          <w:kern w:val="0"/>
          <w:sz w:val="24"/>
        </w:rPr>
        <w:t>港航工程三维虚拟仿真软件，应满足我校《港口航道与海岸工程专业人才培养方案（最新版）》有关实习实践教学课程的要求。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2.</w:t>
      </w:r>
      <w:r>
        <w:rPr>
          <w:rFonts w:hint="eastAsia"/>
          <w:kern w:val="0"/>
          <w:sz w:val="24"/>
        </w:rPr>
        <w:t>软件平台应包含港口航道与海岸工程基础实训模块、港口航道与海岸工程专业实训模块、港口航道与海岸工程实习模块、在线教学管理及个人维护管理模块等五大功能模块。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3.</w:t>
      </w:r>
      <w:r>
        <w:rPr>
          <w:rFonts w:hint="eastAsia"/>
          <w:kern w:val="0"/>
          <w:sz w:val="24"/>
        </w:rPr>
        <w:t>港口航道与海岸工程基础实训模块，不少于16学时实训内容，包含但不限于以下子模块港航专业介绍与认知、港航工程总览、结构与构件模型、基础实训在线考核（实训学时查询、实训报告提交、实训在线测试、实训成绩查询）等功能模块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4.</w:t>
      </w:r>
      <w:r>
        <w:rPr>
          <w:rFonts w:hint="eastAsia"/>
          <w:kern w:val="0"/>
          <w:sz w:val="24"/>
        </w:rPr>
        <w:t>港口航道与海岸工程专业实训模块，不少于16学时实训内容，包含但不限于以下子模块：港口水工建筑物实训（实践与设计导论）、航道工程实训（实践与设计导论）、港口规划与布置实训（实践与设计导论）、港口装卸工艺实训（实践与设计导论）、海岸工程实训（实践与设计导论）、水运工程施工实训（实践与设计导论）、专业创新实践实验、专业实训在线考核（实训学时查询、实训报告提交、实训在线测试、实训成绩查询）等功能模块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5</w:t>
      </w:r>
      <w:r>
        <w:rPr>
          <w:rFonts w:hint="eastAsia"/>
          <w:kern w:val="0"/>
          <w:sz w:val="24"/>
        </w:rPr>
        <w:t>．专业创新实践实验功能，应具有</w:t>
      </w:r>
      <w:r>
        <w:rPr>
          <w:kern w:val="0"/>
          <w:sz w:val="24"/>
        </w:rPr>
        <w:t>重力式沉箱码头虚拟仿真</w:t>
      </w:r>
      <w:r>
        <w:rPr>
          <w:rFonts w:hint="eastAsia"/>
          <w:kern w:val="0"/>
          <w:sz w:val="24"/>
        </w:rPr>
        <w:t>实验软件功能模块，该实验符合国家虚拟仿真实验教学一流课程建设标准，集成并满足学生在线共享使用并能生成独立实验报告。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6.</w:t>
      </w:r>
      <w:r>
        <w:rPr>
          <w:rFonts w:hint="eastAsia"/>
          <w:kern w:val="0"/>
          <w:sz w:val="24"/>
        </w:rPr>
        <w:t>港口航道与海岸工程专业实习模块，不少于16学时实训内容，包含但不限于以下子模块：港航专业认识实习导论、生产实习导论、毕业实习导论及毕业设计导论。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7.</w:t>
      </w:r>
      <w:r>
        <w:rPr>
          <w:rFonts w:hint="eastAsia"/>
          <w:kern w:val="0"/>
          <w:sz w:val="24"/>
        </w:rPr>
        <w:t>毕业设计导论子系统，功能上具有高桩梁板式散货码头施工过程虚拟仿真实验子系统。该实验符合国家虚拟仿真实验教学一流课程建设标准，集成并满足学生在线共享使用并能生成独立实验报告。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8.</w:t>
      </w:r>
      <w:r>
        <w:rPr>
          <w:rFonts w:hint="eastAsia"/>
          <w:kern w:val="0"/>
          <w:sz w:val="24"/>
        </w:rPr>
        <w:t>在线教学管理模块，包含但不限于以下子模块：权限维护管理、院系师生管理、在线学习时长管理、实训课程考核管理（填空题维护管理、判断题维护管理、单选题维护管理、多选题维护管理、问答题维护管理、试卷维护管理、试卷评分管理、考试成绩管理、课程成绩管理）、教学辅助管理（学生实训日志、学生疑问解答、课程作业布置、课程测试布置等）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9.</w:t>
      </w:r>
      <w:r>
        <w:rPr>
          <w:rFonts w:hint="eastAsia"/>
          <w:kern w:val="0"/>
          <w:sz w:val="24"/>
        </w:rPr>
        <w:t>在线教学管理子系统中，需要具有包含港口航道与海岸工程专业不少于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门专业课（</w:t>
      </w:r>
      <w:r>
        <w:rPr>
          <w:kern w:val="0"/>
          <w:sz w:val="24"/>
        </w:rPr>
        <w:t>港口规划与布置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港口与海岸水工建筑物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港口装卸工艺学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渠化工程学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航道疏浚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航道整治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海岸工程（严恺）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海岸工程（河海大学自编教材）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港口水工建筑物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水力学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土力学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海岸动力学（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Port Planning and Layout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水运工程施工</w:t>
      </w:r>
      <w:r>
        <w:rPr>
          <w:rFonts w:hint="eastAsia"/>
          <w:kern w:val="0"/>
          <w:sz w:val="24"/>
        </w:rPr>
        <w:t>等）的试题库，且有不少于1</w:t>
      </w:r>
      <w:r>
        <w:rPr>
          <w:kern w:val="0"/>
          <w:sz w:val="24"/>
        </w:rPr>
        <w:t>300</w:t>
      </w:r>
      <w:r>
        <w:rPr>
          <w:rFonts w:hint="eastAsia"/>
          <w:kern w:val="0"/>
          <w:sz w:val="24"/>
        </w:rPr>
        <w:t>道题目，具备在线自动和手工组卷、在线分配考场、在线考试等无纸化考试考核功能模块。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10.</w:t>
      </w:r>
      <w:r>
        <w:rPr>
          <w:rFonts w:hint="eastAsia"/>
          <w:kern w:val="0"/>
          <w:sz w:val="24"/>
        </w:rPr>
        <w:t>个人维护管理模块，包含但不限于以下子模块：个人信息维护、个人密码修改、个人登录日志等功能模块。</w:t>
      </w:r>
    </w:p>
    <w:p>
      <w:pPr>
        <w:widowControl/>
        <w:spacing w:line="360" w:lineRule="auto"/>
        <w:ind w:firstLine="482" w:firstLineChars="200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二、技术服务要求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1.</w:t>
      </w:r>
      <w:r>
        <w:rPr>
          <w:rFonts w:hint="eastAsia"/>
          <w:kern w:val="0"/>
          <w:sz w:val="24"/>
        </w:rPr>
        <w:t>提供港航工程三维虚拟仿真软件最新网络版1套。软件可同时部署于本地实验室（机房）和互联网云端，支持网络版多用户（150用户）同时在线使用；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2.</w:t>
      </w:r>
      <w:r>
        <w:rPr>
          <w:rFonts w:hint="eastAsia"/>
          <w:kern w:val="0"/>
          <w:sz w:val="24"/>
        </w:rPr>
        <w:t>部署于本地实验室与互联网版的应用软件需要管理数据连通。能实现数据融合的线上线下混合式教学模式要求；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3.</w:t>
      </w:r>
      <w:r>
        <w:rPr>
          <w:rFonts w:hint="eastAsia"/>
          <w:kern w:val="0"/>
          <w:sz w:val="24"/>
        </w:rPr>
        <w:t>软件提供系统帮助引导模块，在系统明显位置可以随时通过在线帮助查询系统使用说明，主要界面上都有明确的功能按钮及使用引导按钮，场景可以通过快捷按键进行缩放、平移、旋转、平俯视角度调整等功能，可以通过方向键进行场景的移动，用户操作界面友好。提供平台操作使用手册纸质，</w:t>
      </w: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套、电子版1套。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4.</w:t>
      </w:r>
      <w:r>
        <w:rPr>
          <w:rFonts w:hint="eastAsia"/>
          <w:kern w:val="0"/>
          <w:sz w:val="24"/>
        </w:rPr>
        <w:t>随软件配备线上教学实训实习实验指导书。配合港口航道与海岸工程专业的教学大纲与实习实训需要，配合课程设计、实习需要，提供港口航道与海岸工程实训实习实验指导书，方便受训者能按照教学要求进行实训操作。提供基于此虚拟仿真平台软件的实训实习实验指导手册，纸质3套、电子版1套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5.</w:t>
      </w:r>
      <w:r>
        <w:rPr>
          <w:rFonts w:hint="eastAsia"/>
          <w:kern w:val="0"/>
          <w:sz w:val="24"/>
        </w:rPr>
        <w:t>提供安装</w:t>
      </w:r>
      <w:r>
        <w:rPr>
          <w:kern w:val="0"/>
          <w:sz w:val="24"/>
        </w:rPr>
        <w:t>培训</w:t>
      </w:r>
      <w:r>
        <w:rPr>
          <w:rFonts w:hint="eastAsia"/>
          <w:kern w:val="0"/>
          <w:sz w:val="24"/>
        </w:rPr>
        <w:t>。提供软件的安装（安装环境由采购方自行提供并满足要求）、培训，产品需包含自购买安装交付日起一年期内的免费维护和升级服务。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6.</w:t>
      </w:r>
      <w:r>
        <w:rPr>
          <w:rFonts w:hint="eastAsia"/>
          <w:kern w:val="0"/>
          <w:sz w:val="24"/>
        </w:rPr>
        <w:t>随</w:t>
      </w:r>
      <w:r>
        <w:rPr>
          <w:kern w:val="0"/>
          <w:sz w:val="24"/>
        </w:rPr>
        <w:t>时</w:t>
      </w:r>
      <w:r>
        <w:rPr>
          <w:rFonts w:hint="eastAsia"/>
          <w:kern w:val="0"/>
          <w:sz w:val="24"/>
        </w:rPr>
        <w:t>提供</w:t>
      </w:r>
      <w:r>
        <w:rPr>
          <w:kern w:val="0"/>
          <w:sz w:val="24"/>
        </w:rPr>
        <w:t>供货。</w:t>
      </w:r>
      <w:r>
        <w:rPr>
          <w:rFonts w:hint="eastAsia"/>
          <w:kern w:val="0"/>
          <w:sz w:val="24"/>
        </w:rPr>
        <w:t>在全</w:t>
      </w:r>
      <w:r>
        <w:rPr>
          <w:kern w:val="0"/>
          <w:sz w:val="24"/>
        </w:rPr>
        <w:t>国</w:t>
      </w:r>
      <w:r>
        <w:rPr>
          <w:rFonts w:hint="eastAsia"/>
          <w:kern w:val="0"/>
          <w:sz w:val="24"/>
        </w:rPr>
        <w:t>港</w:t>
      </w:r>
      <w:r>
        <w:rPr>
          <w:kern w:val="0"/>
          <w:sz w:val="24"/>
        </w:rPr>
        <w:t>航</w:t>
      </w:r>
      <w:r>
        <w:rPr>
          <w:rFonts w:hint="eastAsia"/>
          <w:kern w:val="0"/>
          <w:sz w:val="24"/>
        </w:rPr>
        <w:t>工程</w:t>
      </w:r>
      <w:r>
        <w:rPr>
          <w:kern w:val="0"/>
          <w:sz w:val="24"/>
        </w:rPr>
        <w:t>专业领域内已经</w:t>
      </w:r>
      <w:r>
        <w:rPr>
          <w:rFonts w:hint="eastAsia"/>
          <w:kern w:val="0"/>
          <w:sz w:val="24"/>
        </w:rPr>
        <w:t>有</w:t>
      </w:r>
      <w:r>
        <w:rPr>
          <w:kern w:val="0"/>
          <w:sz w:val="24"/>
        </w:rPr>
        <w:t>成熟的用户群</w:t>
      </w:r>
      <w:r>
        <w:rPr>
          <w:rFonts w:hint="eastAsia"/>
          <w:kern w:val="0"/>
          <w:sz w:val="24"/>
        </w:rPr>
        <w:t>及</w:t>
      </w:r>
      <w:r>
        <w:rPr>
          <w:kern w:val="0"/>
          <w:sz w:val="24"/>
        </w:rPr>
        <w:t>业绩，</w:t>
      </w:r>
      <w:r>
        <w:rPr>
          <w:rFonts w:hint="eastAsia"/>
          <w:kern w:val="0"/>
          <w:sz w:val="24"/>
        </w:rPr>
        <w:t>软件运</w:t>
      </w:r>
      <w:r>
        <w:rPr>
          <w:kern w:val="0"/>
          <w:sz w:val="24"/>
        </w:rPr>
        <w:t>行技术成熟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签订合同</w:t>
      </w:r>
      <w:r>
        <w:rPr>
          <w:rFonts w:hint="eastAsia"/>
          <w:kern w:val="0"/>
          <w:sz w:val="24"/>
        </w:rPr>
        <w:t>后</w:t>
      </w:r>
      <w:r>
        <w:rPr>
          <w:kern w:val="0"/>
          <w:sz w:val="24"/>
        </w:rPr>
        <w:t>10日内，完成设备</w:t>
      </w:r>
      <w:r>
        <w:rPr>
          <w:rFonts w:hint="eastAsia"/>
          <w:kern w:val="0"/>
          <w:sz w:val="24"/>
        </w:rPr>
        <w:t>供货、</w:t>
      </w:r>
      <w:r>
        <w:rPr>
          <w:kern w:val="0"/>
          <w:sz w:val="24"/>
        </w:rPr>
        <w:t>安装</w:t>
      </w:r>
      <w:r>
        <w:rPr>
          <w:rFonts w:hint="eastAsia"/>
          <w:kern w:val="0"/>
          <w:sz w:val="24"/>
        </w:rPr>
        <w:t>和</w:t>
      </w:r>
      <w:r>
        <w:rPr>
          <w:kern w:val="0"/>
          <w:sz w:val="24"/>
        </w:rPr>
        <w:t>调试</w:t>
      </w:r>
      <w:r>
        <w:rPr>
          <w:rFonts w:hint="eastAsia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7.</w:t>
      </w:r>
      <w:r>
        <w:rPr>
          <w:rFonts w:hint="eastAsia"/>
          <w:kern w:val="0"/>
          <w:sz w:val="24"/>
        </w:rPr>
        <w:t>提供长期售</w:t>
      </w:r>
      <w:r>
        <w:rPr>
          <w:kern w:val="0"/>
          <w:sz w:val="24"/>
        </w:rPr>
        <w:t>后服务</w:t>
      </w:r>
      <w:r>
        <w:rPr>
          <w:rFonts w:hint="eastAsia"/>
          <w:kern w:val="0"/>
          <w:sz w:val="24"/>
        </w:rPr>
        <w:t>。能提供方便灵活的售后服务方式，提供无限期长期技术支持（通过邮件，电话，微信）。</w:t>
      </w:r>
      <w:r>
        <w:rPr>
          <w:kern w:val="0"/>
          <w:sz w:val="24"/>
        </w:rPr>
        <w:t>免费维护期满后，</w:t>
      </w:r>
      <w:r>
        <w:rPr>
          <w:rFonts w:hint="eastAsia"/>
          <w:kern w:val="0"/>
          <w:sz w:val="24"/>
        </w:rPr>
        <w:t>中标</w:t>
      </w:r>
      <w:r>
        <w:rPr>
          <w:kern w:val="0"/>
          <w:sz w:val="24"/>
        </w:rPr>
        <w:t>方必须继续提供7*24应急响应，费用另行协商。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8.</w:t>
      </w:r>
      <w:r>
        <w:rPr>
          <w:rFonts w:hint="eastAsia"/>
          <w:kern w:val="0"/>
          <w:sz w:val="24"/>
        </w:rPr>
        <w:t>报</w:t>
      </w:r>
      <w:r>
        <w:rPr>
          <w:kern w:val="0"/>
          <w:sz w:val="24"/>
        </w:rPr>
        <w:t>价</w:t>
      </w:r>
      <w:r>
        <w:rPr>
          <w:rFonts w:hint="eastAsia"/>
          <w:kern w:val="0"/>
          <w:sz w:val="24"/>
        </w:rPr>
        <w:t>及</w:t>
      </w:r>
      <w:r>
        <w:rPr>
          <w:kern w:val="0"/>
          <w:sz w:val="24"/>
        </w:rPr>
        <w:t>费用</w:t>
      </w:r>
      <w:r>
        <w:rPr>
          <w:rFonts w:hint="eastAsia"/>
          <w:kern w:val="0"/>
          <w:sz w:val="24"/>
        </w:rPr>
        <w:t>要求</w:t>
      </w:r>
      <w:r>
        <w:rPr>
          <w:kern w:val="0"/>
          <w:sz w:val="24"/>
        </w:rPr>
        <w:t>。</w:t>
      </w:r>
      <w:r>
        <w:rPr>
          <w:rFonts w:hint="eastAsia"/>
          <w:kern w:val="0"/>
          <w:sz w:val="24"/>
        </w:rPr>
        <w:t>报价</w:t>
      </w:r>
      <w:r>
        <w:rPr>
          <w:kern w:val="0"/>
          <w:sz w:val="24"/>
        </w:rPr>
        <w:t>包含以上全部</w:t>
      </w:r>
      <w:r>
        <w:rPr>
          <w:rFonts w:hint="eastAsia"/>
          <w:kern w:val="0"/>
          <w:sz w:val="24"/>
        </w:rPr>
        <w:t>功能技术要求</w:t>
      </w:r>
      <w:r>
        <w:rPr>
          <w:kern w:val="0"/>
          <w:sz w:val="24"/>
        </w:rPr>
        <w:t>及</w:t>
      </w:r>
      <w:r>
        <w:rPr>
          <w:rFonts w:hint="eastAsia"/>
          <w:kern w:val="0"/>
          <w:sz w:val="24"/>
        </w:rPr>
        <w:t>服务要求</w:t>
      </w:r>
      <w:r>
        <w:rPr>
          <w:kern w:val="0"/>
          <w:sz w:val="24"/>
        </w:rPr>
        <w:t>，</w:t>
      </w:r>
      <w:r>
        <w:rPr>
          <w:rFonts w:hint="eastAsia"/>
          <w:kern w:val="0"/>
          <w:sz w:val="24"/>
        </w:rPr>
        <w:t>且包括软件版</w:t>
      </w:r>
      <w:r>
        <w:rPr>
          <w:kern w:val="0"/>
          <w:sz w:val="24"/>
        </w:rPr>
        <w:t>权</w:t>
      </w:r>
      <w:r>
        <w:rPr>
          <w:rFonts w:hint="eastAsia"/>
          <w:kern w:val="0"/>
          <w:sz w:val="24"/>
        </w:rPr>
        <w:t>永久</w:t>
      </w:r>
      <w:r>
        <w:rPr>
          <w:kern w:val="0"/>
          <w:sz w:val="24"/>
        </w:rPr>
        <w:t>使用费、</w:t>
      </w:r>
      <w:r>
        <w:rPr>
          <w:rFonts w:hint="eastAsia"/>
          <w:kern w:val="0"/>
          <w:sz w:val="24"/>
        </w:rPr>
        <w:t>1年</w:t>
      </w:r>
      <w:r>
        <w:rPr>
          <w:kern w:val="0"/>
          <w:sz w:val="24"/>
        </w:rPr>
        <w:t>服务费、</w:t>
      </w:r>
      <w:r>
        <w:rPr>
          <w:rFonts w:hint="eastAsia"/>
          <w:kern w:val="0"/>
          <w:sz w:val="24"/>
        </w:rPr>
        <w:t>本地实验室机房内的安装实施费</w:t>
      </w:r>
      <w:r>
        <w:rPr>
          <w:kern w:val="0"/>
          <w:sz w:val="24"/>
        </w:rPr>
        <w:t>、培训费、材料</w:t>
      </w:r>
      <w:r>
        <w:rPr>
          <w:rFonts w:hint="eastAsia"/>
          <w:kern w:val="0"/>
          <w:sz w:val="24"/>
        </w:rPr>
        <w:t>费、</w:t>
      </w:r>
      <w:r>
        <w:rPr>
          <w:kern w:val="0"/>
          <w:sz w:val="24"/>
        </w:rPr>
        <w:t>税费等</w:t>
      </w:r>
      <w:r>
        <w:rPr>
          <w:rFonts w:hint="eastAsia"/>
          <w:kern w:val="0"/>
          <w:sz w:val="24"/>
        </w:rPr>
        <w:t>一切费用。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9.</w:t>
      </w:r>
      <w:r>
        <w:rPr>
          <w:rFonts w:hint="eastAsia"/>
          <w:kern w:val="0"/>
          <w:sz w:val="24"/>
        </w:rPr>
        <w:t>付款条件。货到安装验收满足功能需求后，凭发票全额付款。</w:t>
      </w:r>
    </w:p>
    <w:p>
      <w:pPr>
        <w:widowControl/>
        <w:ind w:firstLine="480" w:firstLineChars="200"/>
        <w:rPr>
          <w:kern w:val="0"/>
          <w:sz w:val="24"/>
        </w:rPr>
      </w:pPr>
    </w:p>
    <w:p>
      <w:pPr>
        <w:widowControl/>
        <w:ind w:firstLine="480" w:firstLineChars="200"/>
        <w:rPr>
          <w:kern w:val="0"/>
          <w:sz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FB5E6"/>
    <w:multiLevelType w:val="multilevel"/>
    <w:tmpl w:val="5F3FB5E6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5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none"/>
      <w:lvlText w:val="1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009A42E4"/>
    <w:rsid w:val="00006C50"/>
    <w:rsid w:val="000B03A7"/>
    <w:rsid w:val="001E4659"/>
    <w:rsid w:val="001E5BF1"/>
    <w:rsid w:val="001F1462"/>
    <w:rsid w:val="001F7666"/>
    <w:rsid w:val="0020266B"/>
    <w:rsid w:val="00256946"/>
    <w:rsid w:val="00382C7F"/>
    <w:rsid w:val="003E203F"/>
    <w:rsid w:val="004E715D"/>
    <w:rsid w:val="005562AE"/>
    <w:rsid w:val="00587D25"/>
    <w:rsid w:val="005C0881"/>
    <w:rsid w:val="005C4D7E"/>
    <w:rsid w:val="0061143D"/>
    <w:rsid w:val="0061285A"/>
    <w:rsid w:val="00650569"/>
    <w:rsid w:val="00657607"/>
    <w:rsid w:val="0069662B"/>
    <w:rsid w:val="006A28D2"/>
    <w:rsid w:val="006B327A"/>
    <w:rsid w:val="006B6AAF"/>
    <w:rsid w:val="007D7A3E"/>
    <w:rsid w:val="008D4255"/>
    <w:rsid w:val="00922DCC"/>
    <w:rsid w:val="009230DB"/>
    <w:rsid w:val="00942237"/>
    <w:rsid w:val="009500E2"/>
    <w:rsid w:val="009A2A12"/>
    <w:rsid w:val="009A42E4"/>
    <w:rsid w:val="009E0B04"/>
    <w:rsid w:val="00A003C4"/>
    <w:rsid w:val="00A16D31"/>
    <w:rsid w:val="00A17256"/>
    <w:rsid w:val="00A20827"/>
    <w:rsid w:val="00B74A2C"/>
    <w:rsid w:val="00B80641"/>
    <w:rsid w:val="00B838E5"/>
    <w:rsid w:val="00B968FF"/>
    <w:rsid w:val="00BE642A"/>
    <w:rsid w:val="00C0736D"/>
    <w:rsid w:val="00C10CBA"/>
    <w:rsid w:val="00C23B3B"/>
    <w:rsid w:val="00C40A97"/>
    <w:rsid w:val="00D1133A"/>
    <w:rsid w:val="00D271F7"/>
    <w:rsid w:val="00D572EB"/>
    <w:rsid w:val="00D714EC"/>
    <w:rsid w:val="00D866FB"/>
    <w:rsid w:val="00DB1F8A"/>
    <w:rsid w:val="00E11140"/>
    <w:rsid w:val="00E26BCF"/>
    <w:rsid w:val="00E344E5"/>
    <w:rsid w:val="00E56765"/>
    <w:rsid w:val="00E63296"/>
    <w:rsid w:val="00EF49E9"/>
    <w:rsid w:val="00EF4C6F"/>
    <w:rsid w:val="00F24E62"/>
    <w:rsid w:val="00F410AD"/>
    <w:rsid w:val="00F65687"/>
    <w:rsid w:val="00FD5688"/>
    <w:rsid w:val="03D9427A"/>
    <w:rsid w:val="05FC4F5A"/>
    <w:rsid w:val="08377803"/>
    <w:rsid w:val="08FF7ECB"/>
    <w:rsid w:val="09526B53"/>
    <w:rsid w:val="095C4788"/>
    <w:rsid w:val="0A6C0B93"/>
    <w:rsid w:val="0A6F3A91"/>
    <w:rsid w:val="0D8F1F51"/>
    <w:rsid w:val="0E1A1A83"/>
    <w:rsid w:val="0E4E4A70"/>
    <w:rsid w:val="0F6B7F00"/>
    <w:rsid w:val="0FA46C85"/>
    <w:rsid w:val="10A11343"/>
    <w:rsid w:val="12505586"/>
    <w:rsid w:val="13A75FF9"/>
    <w:rsid w:val="14712759"/>
    <w:rsid w:val="14B24137"/>
    <w:rsid w:val="1525120F"/>
    <w:rsid w:val="17475046"/>
    <w:rsid w:val="19580456"/>
    <w:rsid w:val="196D2F9D"/>
    <w:rsid w:val="1A960D82"/>
    <w:rsid w:val="1AC81AC2"/>
    <w:rsid w:val="1B2C2E70"/>
    <w:rsid w:val="1B3D4578"/>
    <w:rsid w:val="1BD87F55"/>
    <w:rsid w:val="1BE05C66"/>
    <w:rsid w:val="1D600954"/>
    <w:rsid w:val="1DB771BF"/>
    <w:rsid w:val="1FB73742"/>
    <w:rsid w:val="217442BF"/>
    <w:rsid w:val="21BE73D9"/>
    <w:rsid w:val="22AA01FB"/>
    <w:rsid w:val="22FF5790"/>
    <w:rsid w:val="26C4388D"/>
    <w:rsid w:val="27245FCA"/>
    <w:rsid w:val="29836C04"/>
    <w:rsid w:val="2BBB1808"/>
    <w:rsid w:val="2D736379"/>
    <w:rsid w:val="2D8B1DC6"/>
    <w:rsid w:val="2DC13D6F"/>
    <w:rsid w:val="2FEC7403"/>
    <w:rsid w:val="2FF11213"/>
    <w:rsid w:val="301B6B16"/>
    <w:rsid w:val="301F7105"/>
    <w:rsid w:val="30D85B1F"/>
    <w:rsid w:val="326C4BFF"/>
    <w:rsid w:val="32830F81"/>
    <w:rsid w:val="34500435"/>
    <w:rsid w:val="34FB090E"/>
    <w:rsid w:val="35184759"/>
    <w:rsid w:val="352250CA"/>
    <w:rsid w:val="35762C3D"/>
    <w:rsid w:val="369E2424"/>
    <w:rsid w:val="373772BF"/>
    <w:rsid w:val="3762111F"/>
    <w:rsid w:val="387F7BBA"/>
    <w:rsid w:val="38F149F0"/>
    <w:rsid w:val="39570B93"/>
    <w:rsid w:val="3D937FC4"/>
    <w:rsid w:val="3D940161"/>
    <w:rsid w:val="3E662280"/>
    <w:rsid w:val="3F9E068F"/>
    <w:rsid w:val="449C7DF9"/>
    <w:rsid w:val="45856E81"/>
    <w:rsid w:val="46510434"/>
    <w:rsid w:val="468D21CC"/>
    <w:rsid w:val="46E171A2"/>
    <w:rsid w:val="47CE0EFD"/>
    <w:rsid w:val="47D4639B"/>
    <w:rsid w:val="47E66D0C"/>
    <w:rsid w:val="4851586C"/>
    <w:rsid w:val="48980021"/>
    <w:rsid w:val="4A775DD7"/>
    <w:rsid w:val="4A8953E6"/>
    <w:rsid w:val="4BC616A2"/>
    <w:rsid w:val="4CC47483"/>
    <w:rsid w:val="4DFA450D"/>
    <w:rsid w:val="4E735B64"/>
    <w:rsid w:val="4EDB6A6B"/>
    <w:rsid w:val="4F5C3D81"/>
    <w:rsid w:val="4F8C1517"/>
    <w:rsid w:val="50521141"/>
    <w:rsid w:val="50C14893"/>
    <w:rsid w:val="53827874"/>
    <w:rsid w:val="5439742A"/>
    <w:rsid w:val="54D24FB9"/>
    <w:rsid w:val="564C2503"/>
    <w:rsid w:val="593E4155"/>
    <w:rsid w:val="597B53F4"/>
    <w:rsid w:val="597D0224"/>
    <w:rsid w:val="599C7CFA"/>
    <w:rsid w:val="5A245324"/>
    <w:rsid w:val="5AA85832"/>
    <w:rsid w:val="5BB748B7"/>
    <w:rsid w:val="5BFC2D6F"/>
    <w:rsid w:val="5CEE6F12"/>
    <w:rsid w:val="5D656EA4"/>
    <w:rsid w:val="5E695B64"/>
    <w:rsid w:val="60584939"/>
    <w:rsid w:val="619C19EB"/>
    <w:rsid w:val="61A97029"/>
    <w:rsid w:val="61B0577F"/>
    <w:rsid w:val="62520374"/>
    <w:rsid w:val="62C53802"/>
    <w:rsid w:val="63FC2B40"/>
    <w:rsid w:val="645A783C"/>
    <w:rsid w:val="64AC7BAF"/>
    <w:rsid w:val="66486F9C"/>
    <w:rsid w:val="66624A24"/>
    <w:rsid w:val="66956D4F"/>
    <w:rsid w:val="67BF0BDA"/>
    <w:rsid w:val="68805132"/>
    <w:rsid w:val="6893573A"/>
    <w:rsid w:val="697943BF"/>
    <w:rsid w:val="6B653777"/>
    <w:rsid w:val="6BFC18EB"/>
    <w:rsid w:val="6DF92B9B"/>
    <w:rsid w:val="6F714D79"/>
    <w:rsid w:val="70E743B6"/>
    <w:rsid w:val="71E84539"/>
    <w:rsid w:val="72D27A5D"/>
    <w:rsid w:val="74BE48AC"/>
    <w:rsid w:val="74C207B1"/>
    <w:rsid w:val="74F22CA6"/>
    <w:rsid w:val="75FC5FAB"/>
    <w:rsid w:val="775B0193"/>
    <w:rsid w:val="776E469C"/>
    <w:rsid w:val="77B10F90"/>
    <w:rsid w:val="78886EB8"/>
    <w:rsid w:val="797A462E"/>
    <w:rsid w:val="799605EF"/>
    <w:rsid w:val="7B3454CB"/>
    <w:rsid w:val="7C3E26A9"/>
    <w:rsid w:val="7D3F4EEC"/>
    <w:rsid w:val="7D7645BE"/>
    <w:rsid w:val="7DD53BA1"/>
    <w:rsid w:val="7E121353"/>
    <w:rsid w:val="7E30659D"/>
    <w:rsid w:val="7EC3770B"/>
    <w:rsid w:val="7FE1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napToGrid w:val="0"/>
      <w:spacing w:before="100" w:beforeLines="100" w:after="50" w:afterLines="50"/>
      <w:outlineLvl w:val="0"/>
    </w:pPr>
    <w:rPr>
      <w:rFonts w:ascii="Times New Roman" w:hAnsi="Times New Roman"/>
      <w:b/>
      <w:bCs/>
      <w:kern w:val="44"/>
      <w:sz w:val="28"/>
      <w:szCs w:val="28"/>
    </w:rPr>
  </w:style>
  <w:style w:type="paragraph" w:styleId="3">
    <w:name w:val="heading 2"/>
    <w:basedOn w:val="1"/>
    <w:next w:val="1"/>
    <w:link w:val="21"/>
    <w:qFormat/>
    <w:uiPriority w:val="0"/>
    <w:pPr>
      <w:adjustRightInd w:val="0"/>
      <w:spacing w:before="50" w:beforeLines="50" w:line="300" w:lineRule="auto"/>
      <w:outlineLvl w:val="1"/>
    </w:pPr>
    <w:rPr>
      <w:rFonts w:ascii="Times New Roman" w:hAnsi="Times New Roman"/>
      <w:b/>
      <w:bCs/>
    </w:rPr>
  </w:style>
  <w:style w:type="paragraph" w:styleId="4">
    <w:name w:val="heading 3"/>
    <w:basedOn w:val="1"/>
    <w:next w:val="1"/>
    <w:qFormat/>
    <w:uiPriority w:val="0"/>
    <w:pPr>
      <w:adjustRightInd w:val="0"/>
      <w:snapToGrid w:val="0"/>
      <w:spacing w:before="50" w:beforeLines="50" w:line="300" w:lineRule="auto"/>
      <w:outlineLvl w:val="2"/>
    </w:pPr>
    <w:rPr>
      <w:rFonts w:ascii="Times New Roman" w:hAnsi="Times New Roman"/>
      <w:b/>
      <w:bCs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tabs>
        <w:tab w:val="left" w:pos="1440"/>
      </w:tabs>
      <w:spacing w:before="30" w:beforeLines="30" w:after="30" w:afterLines="30" w:line="300" w:lineRule="auto"/>
      <w:jc w:val="center"/>
      <w:outlineLvl w:val="3"/>
    </w:pPr>
    <w:rPr>
      <w:rFonts w:ascii="Times New Roman" w:hAnsi="Times New Roman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360" w:lineRule="auto"/>
    </w:pPr>
    <w:rPr>
      <w:rFonts w:ascii="宋体" w:hAnsi="宋体"/>
      <w:sz w:val="24"/>
      <w:szCs w:val="21"/>
    </w:rPr>
  </w:style>
  <w:style w:type="paragraph" w:styleId="12">
    <w:name w:val="Balloon Text"/>
    <w:basedOn w:val="1"/>
    <w:link w:val="23"/>
    <w:qFormat/>
    <w:uiPriority w:val="0"/>
    <w:rPr>
      <w:sz w:val="18"/>
      <w:szCs w:val="18"/>
    </w:rPr>
  </w:style>
  <w:style w:type="paragraph" w:styleId="13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  <w:pPr>
      <w:widowControl/>
      <w:spacing w:after="100" w:line="276" w:lineRule="auto"/>
      <w:jc w:val="center"/>
    </w:pPr>
    <w:rPr>
      <w:b/>
      <w:kern w:val="0"/>
      <w:sz w:val="30"/>
      <w:szCs w:val="22"/>
    </w:rPr>
  </w:style>
  <w:style w:type="paragraph" w:styleId="16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19">
    <w:name w:val="标题 字符"/>
    <w:link w:val="16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28"/>
    </w:rPr>
  </w:style>
  <w:style w:type="character" w:customStyle="1" w:styleId="21">
    <w:name w:val="标题 2 字符"/>
    <w:link w:val="3"/>
    <w:qFormat/>
    <w:uiPriority w:val="9"/>
    <w:rPr>
      <w:rFonts w:ascii="Times New Roman" w:hAnsi="Times New Roman" w:eastAsia="黑体" w:cs="Times New Roman"/>
      <w:bCs/>
      <w:spacing w:val="10"/>
      <w:sz w:val="24"/>
      <w:szCs w:val="24"/>
    </w:rPr>
  </w:style>
  <w:style w:type="character" w:customStyle="1" w:styleId="22">
    <w:name w:val="标题 4 字符"/>
    <w:link w:val="5"/>
    <w:qFormat/>
    <w:uiPriority w:val="0"/>
    <w:rPr>
      <w:rFonts w:ascii="Times New Roman" w:hAnsi="Times New Roman" w:eastAsia="宋体"/>
      <w:sz w:val="21"/>
      <w:szCs w:val="24"/>
    </w:rPr>
  </w:style>
  <w:style w:type="character" w:customStyle="1" w:styleId="23">
    <w:name w:val="批注框文本 字符"/>
    <w:link w:val="12"/>
    <w:qFormat/>
    <w:uiPriority w:val="0"/>
    <w:rPr>
      <w:kern w:val="2"/>
      <w:sz w:val="18"/>
      <w:szCs w:val="18"/>
    </w:rPr>
  </w:style>
  <w:style w:type="character" w:customStyle="1" w:styleId="24">
    <w:name w:val="页眉 字符"/>
    <w:link w:val="14"/>
    <w:qFormat/>
    <w:uiPriority w:val="0"/>
    <w:rPr>
      <w:kern w:val="2"/>
      <w:sz w:val="18"/>
      <w:szCs w:val="18"/>
    </w:rPr>
  </w:style>
  <w:style w:type="character" w:customStyle="1" w:styleId="25">
    <w:name w:val="页脚 字符"/>
    <w:link w:val="1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1825</Words>
  <Characters>1874</Characters>
  <Lines>13</Lines>
  <Paragraphs>3</Paragraphs>
  <TotalTime>305</TotalTime>
  <ScaleCrop>false</ScaleCrop>
  <LinksUpToDate>false</LinksUpToDate>
  <CharactersWithSpaces>1877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2022-09-19T02:55:00Z</dcterms:created>
  <dc:creator>Administrator</dc:creator>
  <cp:lastModifiedBy>仲杰</cp:lastModifiedBy>
  <dcterms:modified xsi:type="dcterms:W3CDTF">2022-09-22T03:07:58Z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94A7654A2AEE48A79197A6A90DC86EB7</vt:lpwstr>
  </property>
</Properties>
</file>