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A56131">
        <w:rPr>
          <w:rFonts w:ascii="宋体" w:hAnsi="宋体" w:hint="eastAsia"/>
          <w:sz w:val="44"/>
        </w:rPr>
        <w:t>上海港湾学校</w:t>
      </w:r>
      <w:r w:rsidR="00204B27" w:rsidRPr="00204B27">
        <w:rPr>
          <w:rFonts w:ascii="宋体" w:hAnsi="宋体" w:hint="eastAsia"/>
          <w:sz w:val="44"/>
        </w:rPr>
        <w:t>网络专用防火墙</w:t>
      </w:r>
      <w:r w:rsidR="00720D08">
        <w:rPr>
          <w:rFonts w:ascii="宋体" w:hAnsi="宋体" w:hint="eastAsia"/>
          <w:sz w:val="44"/>
        </w:rPr>
        <w:t>项目</w:t>
      </w:r>
    </w:p>
    <w:p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A56131">
        <w:rPr>
          <w:rFonts w:ascii="宋体" w:hAnsi="宋体" w:hint="eastAsia"/>
          <w:sz w:val="44"/>
        </w:rPr>
        <w:t>技术要求</w:t>
      </w:r>
    </w:p>
    <w:bookmarkEnd w:id="0"/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项目概述</w:t>
      </w:r>
    </w:p>
    <w:p w:rsidR="00A57203" w:rsidRPr="00A56131" w:rsidRDefault="004817E6" w:rsidP="00A57203">
      <w:pPr>
        <w:ind w:firstLine="480"/>
        <w:rPr>
          <w:rFonts w:ascii="宋体" w:hAnsi="宋体"/>
        </w:rPr>
      </w:pPr>
      <w:r w:rsidRPr="00A56131">
        <w:rPr>
          <w:rFonts w:ascii="宋体" w:hAnsi="宋体" w:hint="eastAsia"/>
        </w:rPr>
        <w:t>上</w:t>
      </w:r>
      <w:r w:rsidRPr="00A56131">
        <w:rPr>
          <w:rFonts w:ascii="宋体" w:hAnsi="宋体"/>
        </w:rPr>
        <w:t>海港湾学校</w:t>
      </w:r>
      <w:r w:rsidR="00204B27">
        <w:rPr>
          <w:rFonts w:ascii="宋体" w:hAnsi="宋体" w:hint="eastAsia"/>
        </w:rPr>
        <w:t>计划采购一台网络防火墙设备，部署在网络出口区域，与学校现有的</w:t>
      </w:r>
      <w:r w:rsidR="009B0E01">
        <w:rPr>
          <w:rFonts w:ascii="宋体" w:hAnsi="宋体" w:hint="eastAsia"/>
        </w:rPr>
        <w:t>华为</w:t>
      </w:r>
      <w:bookmarkStart w:id="1" w:name="_GoBack"/>
      <w:bookmarkEnd w:id="1"/>
      <w:r w:rsidR="00204B27">
        <w:rPr>
          <w:rFonts w:ascii="宋体" w:hAnsi="宋体" w:hint="eastAsia"/>
        </w:rPr>
        <w:t>网络防火墙设备双机部署，</w:t>
      </w:r>
      <w:r w:rsidR="0064051B">
        <w:rPr>
          <w:rFonts w:ascii="宋体" w:hAnsi="宋体" w:hint="eastAsia"/>
        </w:rPr>
        <w:t>同时实现搭建数据中心D</w:t>
      </w:r>
      <w:r w:rsidR="0064051B">
        <w:rPr>
          <w:rFonts w:ascii="宋体" w:hAnsi="宋体"/>
        </w:rPr>
        <w:t>MZ</w:t>
      </w:r>
      <w:r w:rsidR="0064051B">
        <w:rPr>
          <w:rFonts w:ascii="宋体" w:hAnsi="宋体" w:hint="eastAsia"/>
        </w:rPr>
        <w:t>区域，实现数据中心的</w:t>
      </w:r>
      <w:r w:rsidR="00204B27">
        <w:rPr>
          <w:rFonts w:ascii="宋体" w:hAnsi="宋体" w:hint="eastAsia"/>
        </w:rPr>
        <w:t>安全隔离</w:t>
      </w:r>
      <w:r w:rsidR="00D059CD">
        <w:rPr>
          <w:rFonts w:ascii="宋体" w:hAnsi="宋体" w:hint="eastAsia"/>
        </w:rPr>
        <w:t>。</w:t>
      </w:r>
    </w:p>
    <w:p w:rsidR="007E24A3" w:rsidRDefault="007E24A3" w:rsidP="00277973">
      <w:pPr>
        <w:pStyle w:val="2"/>
        <w:numPr>
          <w:ilvl w:val="0"/>
          <w:numId w:val="1"/>
        </w:numPr>
        <w:spacing w:beforeLines="50" w:afterLines="50" w:line="240" w:lineRule="auto"/>
        <w:ind w:left="0" w:firstLine="0"/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技术要求</w:t>
      </w:r>
    </w:p>
    <w:p w:rsidR="00204B27" w:rsidRPr="00204B27" w:rsidRDefault="00204B27" w:rsidP="00277973">
      <w:pPr>
        <w:spacing w:beforeLines="50" w:afterLines="50" w:line="240" w:lineRule="auto"/>
        <w:ind w:firstLineChars="0" w:firstLine="0"/>
      </w:pPr>
    </w:p>
    <w:tbl>
      <w:tblPr>
        <w:tblStyle w:val="a8"/>
        <w:tblW w:w="0" w:type="auto"/>
        <w:tblLook w:val="04A0"/>
      </w:tblPr>
      <w:tblGrid>
        <w:gridCol w:w="1619"/>
        <w:gridCol w:w="8343"/>
      </w:tblGrid>
      <w:tr w:rsidR="00204B27" w:rsidRPr="00204B27" w:rsidTr="00277973">
        <w:trPr>
          <w:trHeight w:val="360"/>
        </w:trPr>
        <w:tc>
          <w:tcPr>
            <w:tcW w:w="0" w:type="auto"/>
            <w:noWrap/>
            <w:vAlign w:val="center"/>
            <w:hideMark/>
          </w:tcPr>
          <w:p w:rsidR="00204B27" w:rsidRPr="00204B27" w:rsidRDefault="00204B27" w:rsidP="00277973">
            <w:pPr>
              <w:widowControl/>
              <w:spacing w:beforeLines="50" w:afterLines="5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204B27">
              <w:rPr>
                <w:rFonts w:ascii="宋体" w:hAnsi="宋体" w:cs="宋体"/>
                <w:color w:val="000000"/>
              </w:rPr>
              <w:t>指标项</w:t>
            </w:r>
          </w:p>
        </w:tc>
        <w:tc>
          <w:tcPr>
            <w:tcW w:w="0" w:type="auto"/>
            <w:noWrap/>
            <w:vAlign w:val="center"/>
            <w:hideMark/>
          </w:tcPr>
          <w:p w:rsidR="00204B27" w:rsidRPr="00204B27" w:rsidRDefault="00204B27" w:rsidP="00277973">
            <w:pPr>
              <w:widowControl/>
              <w:spacing w:beforeLines="50" w:afterLines="5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</w:rPr>
            </w:pPr>
            <w:r w:rsidRPr="00204B27">
              <w:rPr>
                <w:rFonts w:ascii="宋体" w:hAnsi="宋体" w:cs="宋体"/>
                <w:color w:val="000000"/>
              </w:rPr>
              <w:t>指标要求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智能威胁防御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具有未知威胁的检测能力，支持与云沙箱联动（</w:t>
            </w:r>
            <w:r w:rsidRPr="00204B27">
              <w:rPr>
                <w:rFonts w:ascii="宋体" w:hAnsi="宋体" w:hint="eastAsia"/>
              </w:rPr>
              <w:t>三年升级服务</w:t>
            </w:r>
            <w:r w:rsidRPr="00204B27">
              <w:rPr>
                <w:rFonts w:ascii="宋体" w:hAnsi="宋体"/>
              </w:rPr>
              <w:t>），实现对APT攻击的防御功能；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硬件架构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 xml:space="preserve">采用多核架构，自研芯片；（提供官网截图) 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 w:val="restart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IPV6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 xml:space="preserve">支持IPv6协议栈、IPV6穿越技术、IPV6路由协议； 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支持IPv6 over IPv4 GRE隧道，6RD隧道；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协议识别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支持识别国标SIP协议及主流安防厂家的私有协议；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 w:val="restart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数据安全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支持数据防泄露，对传输的文件和内容进行识别过滤，对内容与身份证、信用卡、银行卡、社会安全卡号等类型进行匹配；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支持DNS过滤，提高WEB网页过滤的性能；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</w:t>
            </w:r>
            <w:proofErr w:type="spellStart"/>
            <w:r w:rsidRPr="00204B27">
              <w:rPr>
                <w:rFonts w:ascii="宋体" w:hAnsi="宋体"/>
              </w:rPr>
              <w:t>SafeSearch</w:t>
            </w:r>
            <w:proofErr w:type="spellEnd"/>
            <w:r w:rsidRPr="00204B27">
              <w:rPr>
                <w:rFonts w:ascii="宋体" w:hAnsi="宋体"/>
              </w:rPr>
              <w:t>，过滤掉Google等搜索引擎返回的不健康的内容；</w:t>
            </w:r>
          </w:p>
        </w:tc>
      </w:tr>
      <w:tr w:rsidR="00204B27" w:rsidRPr="00204B27" w:rsidTr="00277973">
        <w:trPr>
          <w:trHeight w:val="990"/>
        </w:trPr>
        <w:tc>
          <w:tcPr>
            <w:tcW w:w="0" w:type="auto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DDoS防护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支持HTTP、HTTPS、DNS、SIP等应用层Flood攻击，支持流量自学习功能，可设置自学习时间，并自动生成DDoS防范策略；（提供功能截图）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 w:val="restart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NAT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支持全面NAT功能，对多种应用层协议支持ALG功能，包括ILS、DNS、PPTP、SIP、FTP、ICQ、RTSP、QQ、MSN、MMS等；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支持源NAT自动探测并排除NAT-IP地址池中无效地址（防封杀）；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支持源NAT地址池使用率超限告警；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支持三元组NAT smart-</w:t>
            </w:r>
            <w:proofErr w:type="spellStart"/>
            <w:r w:rsidRPr="00204B27">
              <w:rPr>
                <w:rFonts w:ascii="宋体" w:hAnsi="宋体"/>
              </w:rPr>
              <w:t>fullcone</w:t>
            </w:r>
            <w:proofErr w:type="spellEnd"/>
            <w:r w:rsidRPr="00204B27">
              <w:rPr>
                <w:rFonts w:ascii="宋体" w:hAnsi="宋体"/>
              </w:rPr>
              <w:t>；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 w:val="restart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入侵防御及病毒防护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基于特征检测，支持超过8000种特征的攻击检测和防御；（提供功能截图）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支持基于场景进行策略入侵防御的模板定制；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支持对常见应用服务（HTTP、FTP、SSH、SMTP、IMAP）和数据库软件（MySQL、Oracle、MSSQL）的口令暴力破解防护功能；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支持恶意域名过滤，实现对C&amp;C进行阻断；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可以支持HTTP、FTP、SMTP、POP3、IMAP、NFS等协议的病毒防护；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反病毒&amp;入侵防御License试用，在试用期内反病毒和入侵防御功能可用，升级服务可用。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Merge w:val="restart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可靠性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支持BFD链路检测，支持BFD与VRRP联动实现双机快速切换，支持BFD与OSPF联动实现双机快速切换；（提供功能截图）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 xml:space="preserve">支持HA平滑升级，升级窗口中支持不同版本的软件形成双机热备； </w:t>
            </w:r>
          </w:p>
        </w:tc>
      </w:tr>
      <w:tr w:rsidR="00204B27" w:rsidRPr="00204B27" w:rsidTr="00277973">
        <w:trPr>
          <w:trHeight w:val="660"/>
        </w:trPr>
        <w:tc>
          <w:tcPr>
            <w:tcW w:w="0" w:type="auto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多出口智能选路</w:t>
            </w:r>
          </w:p>
        </w:tc>
        <w:tc>
          <w:tcPr>
            <w:tcW w:w="0" w:type="auto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204B27">
              <w:rPr>
                <w:rFonts w:ascii="宋体" w:hAnsi="宋体"/>
              </w:rPr>
              <w:t>可根据目的地址智能优选运营商链路，支持主备接口配置以及按比例分配的负载分担方式；</w:t>
            </w:r>
          </w:p>
        </w:tc>
      </w:tr>
      <w:tr w:rsidR="00204B27" w:rsidRPr="00204B27" w:rsidTr="00277973">
        <w:trPr>
          <w:trHeight w:val="330"/>
        </w:trPr>
        <w:tc>
          <w:tcPr>
            <w:tcW w:w="0" w:type="auto"/>
            <w:vAlign w:val="center"/>
            <w:hideMark/>
          </w:tcPr>
          <w:p w:rsidR="00204B27" w:rsidRPr="00204B27" w:rsidRDefault="00204B27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 w:rsidRPr="00204B27">
              <w:rPr>
                <w:rFonts w:ascii="宋体" w:hAnsi="宋体"/>
                <w:bCs/>
              </w:rPr>
              <w:t>配置要求</w:t>
            </w:r>
          </w:p>
        </w:tc>
        <w:tc>
          <w:tcPr>
            <w:tcW w:w="0" w:type="auto"/>
            <w:hideMark/>
          </w:tcPr>
          <w:p w:rsidR="00204B27" w:rsidRPr="00204B27" w:rsidRDefault="00D11E8B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A56131">
              <w:rPr>
                <w:rFonts w:ascii="宋体" w:hAnsi="宋体" w:hint="eastAsia"/>
              </w:rPr>
              <w:t>★</w:t>
            </w:r>
            <w:r w:rsidR="00204B27" w:rsidRPr="00204B27">
              <w:rPr>
                <w:rFonts w:ascii="宋体" w:hAnsi="宋体"/>
              </w:rPr>
              <w:t>实配：千兆电口≥16，</w:t>
            </w:r>
            <w:r w:rsidRPr="00204B27">
              <w:rPr>
                <w:rFonts w:ascii="宋体" w:hAnsi="宋体"/>
              </w:rPr>
              <w:t>千兆</w:t>
            </w:r>
            <w:r>
              <w:rPr>
                <w:rFonts w:ascii="宋体" w:hAnsi="宋体" w:hint="eastAsia"/>
              </w:rPr>
              <w:t>光</w:t>
            </w:r>
            <w:r w:rsidRPr="00204B27">
              <w:rPr>
                <w:rFonts w:ascii="宋体" w:hAnsi="宋体"/>
              </w:rPr>
              <w:t>口≥6，</w:t>
            </w:r>
            <w:r w:rsidR="00204B27" w:rsidRPr="00204B27">
              <w:rPr>
                <w:rFonts w:ascii="宋体" w:hAnsi="宋体"/>
              </w:rPr>
              <w:t>万兆光口≥</w:t>
            </w:r>
            <w:r w:rsidR="00204B27">
              <w:rPr>
                <w:rFonts w:ascii="宋体" w:hAnsi="宋体"/>
              </w:rPr>
              <w:t>6</w:t>
            </w:r>
            <w:r w:rsidR="00204B27" w:rsidRPr="00204B27">
              <w:rPr>
                <w:rFonts w:ascii="宋体" w:hAnsi="宋体"/>
              </w:rPr>
              <w:t>，硬盘≥240G SSD，配置双电源</w:t>
            </w:r>
            <w:r w:rsidR="0064051B" w:rsidRPr="00FB1AC0">
              <w:rPr>
                <w:rFonts w:hint="eastAsia"/>
                <w:b/>
              </w:rPr>
              <w:t>（必须提供</w:t>
            </w:r>
            <w:r w:rsidR="0064051B">
              <w:rPr>
                <w:rFonts w:hint="eastAsia"/>
                <w:b/>
              </w:rPr>
              <w:t>产品官方链接和截图</w:t>
            </w:r>
            <w:r w:rsidR="0064051B" w:rsidRPr="00FB1AC0">
              <w:rPr>
                <w:rFonts w:hint="eastAsia"/>
                <w:b/>
              </w:rPr>
              <w:t>，未提供废标处理）</w:t>
            </w:r>
            <w:r w:rsidR="00204B27" w:rsidRPr="00204B27">
              <w:rPr>
                <w:rFonts w:ascii="宋体" w:hAnsi="宋体"/>
              </w:rPr>
              <w:t>；</w:t>
            </w:r>
          </w:p>
        </w:tc>
      </w:tr>
      <w:tr w:rsidR="009B0E01" w:rsidRPr="00204B27" w:rsidTr="00277973">
        <w:trPr>
          <w:trHeight w:val="330"/>
        </w:trPr>
        <w:tc>
          <w:tcPr>
            <w:tcW w:w="0" w:type="auto"/>
            <w:vAlign w:val="center"/>
          </w:tcPr>
          <w:p w:rsidR="009B0E01" w:rsidRPr="00204B27" w:rsidRDefault="009B0E01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兼容性</w:t>
            </w:r>
          </w:p>
        </w:tc>
        <w:tc>
          <w:tcPr>
            <w:tcW w:w="0" w:type="auto"/>
          </w:tcPr>
          <w:p w:rsidR="009B0E01" w:rsidRPr="00A56131" w:rsidRDefault="009B0E01" w:rsidP="00277973">
            <w:pPr>
              <w:spacing w:beforeLines="50" w:afterLines="50" w:line="240" w:lineRule="auto"/>
              <w:ind w:firstLineChars="0" w:firstLine="0"/>
              <w:rPr>
                <w:rFonts w:ascii="宋体" w:hAnsi="宋体"/>
              </w:rPr>
            </w:pPr>
            <w:r w:rsidRPr="00A56131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>与学校现有的网络防火墙</w:t>
            </w:r>
            <w:r w:rsidR="0064051B">
              <w:rPr>
                <w:rFonts w:ascii="宋体" w:hAnsi="宋体" w:hint="eastAsia"/>
              </w:rPr>
              <w:t>实现</w:t>
            </w:r>
            <w:r>
              <w:rPr>
                <w:rFonts w:ascii="宋体" w:hAnsi="宋体" w:hint="eastAsia"/>
              </w:rPr>
              <w:t>双机部署</w:t>
            </w:r>
            <w:r w:rsidR="0064051B">
              <w:rPr>
                <w:rFonts w:ascii="宋体" w:hAnsi="宋体" w:hint="eastAsia"/>
              </w:rPr>
              <w:t>，提供主备方案</w:t>
            </w:r>
            <w:r w:rsidR="0064051B" w:rsidRPr="00FB1AC0">
              <w:rPr>
                <w:rFonts w:hint="eastAsia"/>
                <w:b/>
              </w:rPr>
              <w:t>（必须提供，未提供废标处理）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AD48DF" w:rsidRPr="00204B27" w:rsidRDefault="00AD48DF" w:rsidP="00277973">
      <w:pPr>
        <w:spacing w:beforeLines="50" w:afterLines="50" w:line="240" w:lineRule="auto"/>
        <w:ind w:firstLineChars="0" w:firstLine="0"/>
        <w:rPr>
          <w:rFonts w:ascii="宋体" w:hAnsi="宋体"/>
        </w:rPr>
      </w:pPr>
    </w:p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2" w:name="_Toc477780942"/>
      <w:bookmarkStart w:id="3" w:name="_Toc477784239"/>
      <w:r w:rsidRPr="00A56131">
        <w:rPr>
          <w:rFonts w:ascii="宋体" w:eastAsia="宋体" w:hAnsi="宋体" w:hint="eastAsia"/>
        </w:rPr>
        <w:t>公司资质要求</w:t>
      </w:r>
      <w:bookmarkEnd w:id="2"/>
      <w:bookmarkEnd w:id="3"/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/>
        </w:rPr>
        <w:t>在中国境内注册的合格法人机构，并具有相应的经营范围</w:t>
      </w:r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符合《中华人民共和国政府采购法》第二十二条规定的供应商；</w:t>
      </w:r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在上海市有固定的服务点。</w:t>
      </w:r>
    </w:p>
    <w:p w:rsidR="00D35F37" w:rsidRDefault="005B4018" w:rsidP="00D35F37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bookmarkStart w:id="4" w:name="OLE_LINK1"/>
      <w:bookmarkStart w:id="5" w:name="OLE_LINK2"/>
      <w:r w:rsidRPr="00A56131">
        <w:rPr>
          <w:rFonts w:ascii="宋体" w:hAnsi="宋体" w:hint="eastAsia"/>
        </w:rPr>
        <w:t>★</w:t>
      </w:r>
      <w:bookmarkEnd w:id="4"/>
      <w:bookmarkEnd w:id="5"/>
      <w:r w:rsidR="00E04340">
        <w:rPr>
          <w:rFonts w:ascii="宋体" w:hAnsi="宋体" w:hint="eastAsia"/>
        </w:rPr>
        <w:t>需提供</w:t>
      </w:r>
      <w:r w:rsidR="0064051B">
        <w:rPr>
          <w:rFonts w:ascii="宋体" w:hAnsi="宋体" w:hint="eastAsia"/>
        </w:rPr>
        <w:t>制造</w:t>
      </w:r>
      <w:r w:rsidR="00E04340">
        <w:rPr>
          <w:rFonts w:ascii="宋体" w:hAnsi="宋体" w:hint="eastAsia"/>
        </w:rPr>
        <w:t>厂商针对本项目的</w:t>
      </w:r>
      <w:r w:rsidR="00720D08">
        <w:rPr>
          <w:rFonts w:ascii="宋体" w:hAnsi="宋体" w:hint="eastAsia"/>
        </w:rPr>
        <w:t>授权函</w:t>
      </w:r>
      <w:r w:rsidR="0064051B" w:rsidRPr="00FB1AC0">
        <w:rPr>
          <w:rFonts w:hint="eastAsia"/>
          <w:b/>
        </w:rPr>
        <w:t>（必须提供，未提供废标处理）</w:t>
      </w:r>
      <w:r w:rsidR="00E04340">
        <w:rPr>
          <w:rFonts w:ascii="宋体" w:hAnsi="宋体" w:hint="eastAsia"/>
        </w:rPr>
        <w:t>；</w:t>
      </w:r>
    </w:p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6" w:name="_Toc477780943"/>
      <w:bookmarkStart w:id="7" w:name="_Toc477784240"/>
      <w:r w:rsidRPr="00A56131">
        <w:rPr>
          <w:rFonts w:ascii="宋体" w:eastAsia="宋体" w:hAnsi="宋体" w:hint="eastAsia"/>
        </w:rPr>
        <w:lastRenderedPageBreak/>
        <w:t>投标文件组成</w:t>
      </w:r>
      <w:bookmarkEnd w:id="6"/>
      <w:bookmarkEnd w:id="7"/>
    </w:p>
    <w:p w:rsidR="007E24A3" w:rsidRPr="00A56131" w:rsidRDefault="007E24A3" w:rsidP="007E24A3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 w:hint="eastAsia"/>
        </w:rPr>
        <w:t>报价单（附件二）</w:t>
      </w:r>
    </w:p>
    <w:p w:rsidR="001E0D64" w:rsidRDefault="007E24A3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/>
        </w:rPr>
        <w:t>营业执照、税务登记证、组织机构代码证或“三证合一”的营业执照</w:t>
      </w:r>
    </w:p>
    <w:p w:rsidR="00D535AC" w:rsidRPr="00A56131" w:rsidRDefault="00D535AC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sectPr w:rsidR="00D535AC" w:rsidRPr="00A56131" w:rsidSect="00277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DC" w:rsidRDefault="00E17ADC" w:rsidP="00580F20">
      <w:pPr>
        <w:spacing w:line="240" w:lineRule="auto"/>
        <w:ind w:firstLine="480"/>
      </w:pPr>
      <w:r>
        <w:separator/>
      </w:r>
    </w:p>
  </w:endnote>
  <w:endnote w:type="continuationSeparator" w:id="0">
    <w:p w:rsidR="00E17ADC" w:rsidRDefault="00E17ADC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DB1F06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E17ADC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DB1F06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7973">
      <w:rPr>
        <w:rStyle w:val="a5"/>
        <w:noProof/>
      </w:rPr>
      <w:t>3</w:t>
    </w:r>
    <w:r>
      <w:rPr>
        <w:rStyle w:val="a5"/>
      </w:rPr>
      <w:fldChar w:fldCharType="end"/>
    </w:r>
  </w:p>
  <w:p w:rsidR="000C621A" w:rsidRDefault="00E17ADC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E17AD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DC" w:rsidRDefault="00E17ADC" w:rsidP="00580F20">
      <w:pPr>
        <w:spacing w:line="240" w:lineRule="auto"/>
        <w:ind w:firstLine="480"/>
      </w:pPr>
      <w:r>
        <w:separator/>
      </w:r>
    </w:p>
  </w:footnote>
  <w:footnote w:type="continuationSeparator" w:id="0">
    <w:p w:rsidR="00E17ADC" w:rsidRDefault="00E17ADC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E17ADC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E17ADC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E17ADC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60B7A"/>
    <w:multiLevelType w:val="singleLevel"/>
    <w:tmpl w:val="8C160B7A"/>
    <w:lvl w:ilvl="0">
      <w:start w:val="1"/>
      <w:numFmt w:val="decimal"/>
      <w:suff w:val="nothing"/>
      <w:lvlText w:val="%1、"/>
      <w:lvlJc w:val="left"/>
    </w:lvl>
  </w:abstractNum>
  <w:abstractNum w:abstractNumId="1">
    <w:nsid w:val="92D3159A"/>
    <w:multiLevelType w:val="singleLevel"/>
    <w:tmpl w:val="92D3159A"/>
    <w:lvl w:ilvl="0">
      <w:start w:val="1"/>
      <w:numFmt w:val="decimal"/>
      <w:suff w:val="nothing"/>
      <w:lvlText w:val="%1、"/>
      <w:lvlJc w:val="left"/>
    </w:lvl>
  </w:abstractNum>
  <w:abstractNum w:abstractNumId="2">
    <w:nsid w:val="A979614A"/>
    <w:multiLevelType w:val="singleLevel"/>
    <w:tmpl w:val="A979614A"/>
    <w:lvl w:ilvl="0">
      <w:start w:val="1"/>
      <w:numFmt w:val="decimal"/>
      <w:suff w:val="nothing"/>
      <w:lvlText w:val="%1、"/>
      <w:lvlJc w:val="left"/>
    </w:lvl>
  </w:abstractNum>
  <w:abstractNum w:abstractNumId="3">
    <w:nsid w:val="C0572737"/>
    <w:multiLevelType w:val="singleLevel"/>
    <w:tmpl w:val="C0572737"/>
    <w:lvl w:ilvl="0">
      <w:start w:val="1"/>
      <w:numFmt w:val="decimal"/>
      <w:suff w:val="nothing"/>
      <w:lvlText w:val="%1、"/>
      <w:lvlJc w:val="left"/>
    </w:lvl>
  </w:abstractNum>
  <w:abstractNum w:abstractNumId="4">
    <w:nsid w:val="C3426636"/>
    <w:multiLevelType w:val="singleLevel"/>
    <w:tmpl w:val="C3426636"/>
    <w:lvl w:ilvl="0">
      <w:start w:val="1"/>
      <w:numFmt w:val="decimal"/>
      <w:suff w:val="nothing"/>
      <w:lvlText w:val="%1、"/>
      <w:lvlJc w:val="left"/>
    </w:lvl>
  </w:abstractNum>
  <w:abstractNum w:abstractNumId="5">
    <w:nsid w:val="D305C521"/>
    <w:multiLevelType w:val="singleLevel"/>
    <w:tmpl w:val="D305C521"/>
    <w:lvl w:ilvl="0">
      <w:start w:val="1"/>
      <w:numFmt w:val="decimal"/>
      <w:suff w:val="nothing"/>
      <w:lvlText w:val="%1、"/>
      <w:lvlJc w:val="left"/>
    </w:lvl>
  </w:abstractNum>
  <w:abstractNum w:abstractNumId="6">
    <w:nsid w:val="D44E40E0"/>
    <w:multiLevelType w:val="singleLevel"/>
    <w:tmpl w:val="D44E40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3DF85AC"/>
    <w:multiLevelType w:val="singleLevel"/>
    <w:tmpl w:val="F3DF85AC"/>
    <w:lvl w:ilvl="0">
      <w:start w:val="1"/>
      <w:numFmt w:val="decimal"/>
      <w:suff w:val="nothing"/>
      <w:lvlText w:val="%1、"/>
      <w:lvlJc w:val="left"/>
    </w:lvl>
  </w:abstractNum>
  <w:abstractNum w:abstractNumId="8">
    <w:nsid w:val="15744913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2185DE1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>
    <w:nsid w:val="481A5544"/>
    <w:multiLevelType w:val="singleLevel"/>
    <w:tmpl w:val="481A5544"/>
    <w:lvl w:ilvl="0">
      <w:start w:val="1"/>
      <w:numFmt w:val="decimal"/>
      <w:suff w:val="nothing"/>
      <w:lvlText w:val="%1、"/>
      <w:lvlJc w:val="left"/>
    </w:lvl>
  </w:abstractNum>
  <w:abstractNum w:abstractNumId="15">
    <w:nsid w:val="55238D86"/>
    <w:multiLevelType w:val="singleLevel"/>
    <w:tmpl w:val="55238D86"/>
    <w:lvl w:ilvl="0">
      <w:start w:val="1"/>
      <w:numFmt w:val="decimal"/>
      <w:suff w:val="nothing"/>
      <w:lvlText w:val="%1、"/>
      <w:lvlJc w:val="left"/>
    </w:lvl>
  </w:abstractNum>
  <w:abstractNum w:abstractNumId="16">
    <w:nsid w:val="58C3A828"/>
    <w:multiLevelType w:val="singleLevel"/>
    <w:tmpl w:val="58C3A828"/>
    <w:lvl w:ilvl="0">
      <w:start w:val="1"/>
      <w:numFmt w:val="decimal"/>
      <w:suff w:val="nothing"/>
      <w:lvlText w:val="%1、"/>
      <w:lvlJc w:val="left"/>
    </w:lvl>
  </w:abstractNum>
  <w:abstractNum w:abstractNumId="17">
    <w:nsid w:val="58C3AFBE"/>
    <w:multiLevelType w:val="singleLevel"/>
    <w:tmpl w:val="58C3AFBE"/>
    <w:lvl w:ilvl="0">
      <w:start w:val="1"/>
      <w:numFmt w:val="decimal"/>
      <w:suff w:val="nothing"/>
      <w:lvlText w:val="%1、"/>
      <w:lvlJc w:val="left"/>
    </w:lvl>
  </w:abstractNum>
  <w:abstractNum w:abstractNumId="1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79A623BA"/>
    <w:multiLevelType w:val="singleLevel"/>
    <w:tmpl w:val="79A623BA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0"/>
  </w:num>
  <w:num w:numId="20">
    <w:abstractNumId w:val="5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39C3"/>
    <w:rsid w:val="000314FC"/>
    <w:rsid w:val="00044E43"/>
    <w:rsid w:val="00064CAF"/>
    <w:rsid w:val="000D297A"/>
    <w:rsid w:val="00145FA9"/>
    <w:rsid w:val="00166CA4"/>
    <w:rsid w:val="001D240F"/>
    <w:rsid w:val="001E0D64"/>
    <w:rsid w:val="00204B27"/>
    <w:rsid w:val="00250163"/>
    <w:rsid w:val="00277973"/>
    <w:rsid w:val="00287EDA"/>
    <w:rsid w:val="00311D0F"/>
    <w:rsid w:val="00357822"/>
    <w:rsid w:val="003B414D"/>
    <w:rsid w:val="004817E6"/>
    <w:rsid w:val="004D58E8"/>
    <w:rsid w:val="004D7F6A"/>
    <w:rsid w:val="00522C4A"/>
    <w:rsid w:val="00580F20"/>
    <w:rsid w:val="005B4018"/>
    <w:rsid w:val="005B58C1"/>
    <w:rsid w:val="005F7535"/>
    <w:rsid w:val="00602D9B"/>
    <w:rsid w:val="00631F90"/>
    <w:rsid w:val="0064051B"/>
    <w:rsid w:val="006B6799"/>
    <w:rsid w:val="006D7472"/>
    <w:rsid w:val="00720D08"/>
    <w:rsid w:val="007366F9"/>
    <w:rsid w:val="00764F52"/>
    <w:rsid w:val="007A3050"/>
    <w:rsid w:val="007A6C1C"/>
    <w:rsid w:val="007E24A3"/>
    <w:rsid w:val="007E58B1"/>
    <w:rsid w:val="008300BD"/>
    <w:rsid w:val="00863F4F"/>
    <w:rsid w:val="00895738"/>
    <w:rsid w:val="00896E96"/>
    <w:rsid w:val="008A27C2"/>
    <w:rsid w:val="008C43F6"/>
    <w:rsid w:val="008E0636"/>
    <w:rsid w:val="008F7679"/>
    <w:rsid w:val="00935CA3"/>
    <w:rsid w:val="009374F4"/>
    <w:rsid w:val="00947305"/>
    <w:rsid w:val="00982A65"/>
    <w:rsid w:val="009B0E01"/>
    <w:rsid w:val="009C2971"/>
    <w:rsid w:val="00A01430"/>
    <w:rsid w:val="00A03060"/>
    <w:rsid w:val="00A24712"/>
    <w:rsid w:val="00A31D1D"/>
    <w:rsid w:val="00A56131"/>
    <w:rsid w:val="00A57203"/>
    <w:rsid w:val="00A60DD7"/>
    <w:rsid w:val="00AA2267"/>
    <w:rsid w:val="00AD48DF"/>
    <w:rsid w:val="00B067DF"/>
    <w:rsid w:val="00B15978"/>
    <w:rsid w:val="00B73F5B"/>
    <w:rsid w:val="00B75481"/>
    <w:rsid w:val="00B8056E"/>
    <w:rsid w:val="00B913FD"/>
    <w:rsid w:val="00C0490D"/>
    <w:rsid w:val="00C1421A"/>
    <w:rsid w:val="00C42A65"/>
    <w:rsid w:val="00C52C31"/>
    <w:rsid w:val="00C72CFA"/>
    <w:rsid w:val="00D059CD"/>
    <w:rsid w:val="00D0689E"/>
    <w:rsid w:val="00D11E8B"/>
    <w:rsid w:val="00D30147"/>
    <w:rsid w:val="00D35F37"/>
    <w:rsid w:val="00D52A7C"/>
    <w:rsid w:val="00D535AC"/>
    <w:rsid w:val="00DB1F06"/>
    <w:rsid w:val="00DC624E"/>
    <w:rsid w:val="00DF1F8B"/>
    <w:rsid w:val="00E04340"/>
    <w:rsid w:val="00E17ADC"/>
    <w:rsid w:val="00E20AA2"/>
    <w:rsid w:val="00EF6146"/>
    <w:rsid w:val="00F03178"/>
    <w:rsid w:val="00F10723"/>
    <w:rsid w:val="00FB3174"/>
    <w:rsid w:val="00FC19C8"/>
    <w:rsid w:val="00FE22B9"/>
    <w:rsid w:val="00FF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7">
    <w:name w:val="Document Map"/>
    <w:basedOn w:val="a"/>
    <w:link w:val="Char1"/>
    <w:uiPriority w:val="99"/>
    <w:semiHidden/>
    <w:unhideWhenUsed/>
    <w:rsid w:val="004817E6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next w:val="a6"/>
    <w:uiPriority w:val="34"/>
    <w:qFormat/>
    <w:rsid w:val="00E04340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6329E-53E8-49D1-B40F-B3227087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202</Words>
  <Characters>1156</Characters>
  <Application>Microsoft Office Word</Application>
  <DocSecurity>0</DocSecurity>
  <Lines>9</Lines>
  <Paragraphs>2</Paragraphs>
  <ScaleCrop>false</ScaleCrop>
  <Company>china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</cp:revision>
  <dcterms:created xsi:type="dcterms:W3CDTF">2020-08-03T06:32:00Z</dcterms:created>
  <dcterms:modified xsi:type="dcterms:W3CDTF">2020-08-07T15:04:00Z</dcterms:modified>
</cp:coreProperties>
</file>