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rPr>
          <w:rFonts w:ascii="宋体" w:hAnsi="宋体"/>
          <w:sz w:val="44"/>
        </w:rPr>
      </w:pPr>
      <w:bookmarkStart w:id="0" w:name="_Toc153907544"/>
      <w:bookmarkStart w:id="10" w:name="_GoBack"/>
      <w:bookmarkEnd w:id="10"/>
      <w:r>
        <w:rPr>
          <w:rFonts w:hint="eastAsia" w:ascii="宋体" w:hAnsi="宋体"/>
          <w:sz w:val="44"/>
        </w:rPr>
        <w:t>教师文档管理系统等保</w:t>
      </w:r>
      <w:r>
        <w:rPr>
          <w:rFonts w:ascii="宋体" w:hAnsi="宋体"/>
          <w:sz w:val="44"/>
        </w:rPr>
        <w:t>测评服务</w:t>
      </w:r>
      <w:r>
        <w:rPr>
          <w:rFonts w:hint="eastAsia" w:ascii="宋体" w:hAnsi="宋体"/>
          <w:sz w:val="44"/>
        </w:rPr>
        <w:t>(二级)</w:t>
      </w:r>
      <w:r>
        <w:rPr>
          <w:rFonts w:ascii="宋体" w:hAnsi="宋体"/>
          <w:sz w:val="44"/>
        </w:rPr>
        <w:t xml:space="preserve"> </w:t>
      </w:r>
    </w:p>
    <w:p>
      <w:pPr>
        <w:ind w:firstLine="880"/>
        <w:jc w:val="center"/>
        <w:rPr>
          <w:rFonts w:ascii="宋体" w:hAnsi="宋体"/>
          <w:sz w:val="44"/>
        </w:rPr>
      </w:pPr>
      <w:r>
        <w:rPr>
          <w:rFonts w:hint="eastAsia" w:ascii="宋体" w:hAnsi="宋体"/>
          <w:sz w:val="44"/>
        </w:rPr>
        <w:t>服务要求</w:t>
      </w:r>
    </w:p>
    <w:bookmarkEnd w:id="0"/>
    <w:p>
      <w:pPr>
        <w:pStyle w:val="3"/>
        <w:rPr>
          <w:rFonts w:ascii="宋体" w:hAnsi="宋体" w:eastAsia="宋体"/>
        </w:rPr>
      </w:pPr>
      <w:bookmarkStart w:id="1" w:name="_Toc477281189"/>
      <w:bookmarkStart w:id="2" w:name="_Toc153907545"/>
      <w:bookmarkStart w:id="3" w:name="_Toc477780937"/>
      <w:r>
        <w:rPr>
          <w:rFonts w:hint="eastAsia" w:ascii="宋体" w:hAnsi="宋体" w:eastAsia="宋体"/>
        </w:rPr>
        <w:t>项目背景</w:t>
      </w:r>
      <w:bookmarkEnd w:id="1"/>
      <w:bookmarkEnd w:id="2"/>
      <w:bookmarkEnd w:id="3"/>
      <w:r>
        <w:rPr>
          <w:rFonts w:hint="eastAsia" w:ascii="宋体" w:hAnsi="宋体" w:eastAsia="宋体"/>
        </w:rPr>
        <w:tab/>
      </w:r>
    </w:p>
    <w:p>
      <w:pPr>
        <w:spacing w:after="120" w:afterLines="50"/>
        <w:ind w:firstLine="480"/>
        <w:rPr>
          <w:rFonts w:ascii="宋体" w:hAnsi="宋体"/>
        </w:rPr>
      </w:pPr>
      <w:r>
        <w:rPr>
          <w:rFonts w:hint="eastAsia" w:ascii="宋体" w:hAnsi="宋体"/>
        </w:rPr>
        <w:t>上海港湾学校教师文档管理系统承载着学校教师的教学数据，包括Office类办公文档、PDF、TXT等文件，让所有使用者有统一的资源平台使用且是资源均可从系统上进行访问获取，文档协作只需在系统</w:t>
      </w:r>
      <w:r>
        <w:rPr>
          <w:rFonts w:ascii="宋体" w:hAnsi="宋体"/>
        </w:rPr>
        <w:t>上进行，点击</w:t>
      </w:r>
      <w:r>
        <w:rPr>
          <w:rFonts w:hint="eastAsia" w:ascii="宋体" w:hAnsi="宋体"/>
        </w:rPr>
        <w:t>选中</w:t>
      </w:r>
      <w:r>
        <w:rPr>
          <w:rFonts w:ascii="宋体" w:hAnsi="宋体"/>
        </w:rPr>
        <w:t>的文件，文件即可实时同步</w:t>
      </w:r>
      <w:r>
        <w:rPr>
          <w:rFonts w:hint="eastAsia" w:ascii="宋体" w:hAnsi="宋体"/>
        </w:rPr>
        <w:t>到本地，教师也可直接在系统上编辑、使用文档，无需反复传输，无需向他人索要，保持信息对称，提升协作效率；支持个人文档、部门文档、共享文档等的方式呈现，可以将自己的文档共享给他人、访问他人共享的文档、以及在学校内进行团队协作。</w:t>
      </w:r>
    </w:p>
    <w:p>
      <w:pPr>
        <w:spacing w:after="120" w:afterLines="50"/>
        <w:ind w:firstLine="480"/>
        <w:rPr>
          <w:rFonts w:ascii="宋体" w:hAnsi="宋体"/>
        </w:rPr>
      </w:pPr>
      <w:r>
        <w:rPr>
          <w:rFonts w:ascii="宋体" w:hAnsi="宋体"/>
        </w:rPr>
        <w:t>我国《网络安全法》明确规定，国家重要信息基础设施经营者和关键信息基础设施运营者应当落实信息安全保护措施，必须对其信息系统进行等保测评，以确保其安全性符合国家规定的等级要求。</w:t>
      </w:r>
      <w:r>
        <w:rPr>
          <w:rFonts w:hint="eastAsia" w:ascii="宋体" w:hAnsi="宋体"/>
        </w:rPr>
        <w:t>上海港湾学校教师文档管理系统安全评测势在必行，教师文档管理系统详见下图：</w:t>
      </w:r>
    </w:p>
    <w:p>
      <w:pPr>
        <w:spacing w:after="120" w:afterLines="50"/>
        <w:ind w:firstLine="0" w:firstLineChars="0"/>
        <w:rPr>
          <w:rFonts w:ascii="宋体" w:hAnsi="宋体"/>
        </w:rPr>
      </w:pPr>
      <w:r>
        <w:rPr>
          <w:rFonts w:ascii="宋体" w:hAnsi="宋体"/>
        </w:rPr>
        <w:drawing>
          <wp:inline distT="0" distB="0" distL="0" distR="0">
            <wp:extent cx="52768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82226" cy="3013460"/>
                    </a:xfrm>
                    <a:prstGeom prst="rect">
                      <a:avLst/>
                    </a:prstGeom>
                  </pic:spPr>
                </pic:pic>
              </a:graphicData>
            </a:graphic>
          </wp:inline>
        </w:drawing>
      </w:r>
    </w:p>
    <w:p>
      <w:pPr>
        <w:spacing w:after="120" w:afterLines="50"/>
        <w:ind w:firstLine="480"/>
        <w:rPr>
          <w:rFonts w:ascii="宋体" w:hAnsi="宋体"/>
        </w:rPr>
      </w:pPr>
    </w:p>
    <w:p>
      <w:pPr>
        <w:spacing w:after="120" w:afterLines="50"/>
        <w:ind w:firstLine="0" w:firstLineChars="0"/>
        <w:rPr>
          <w:rFonts w:ascii="宋体" w:hAnsi="宋体"/>
        </w:rPr>
      </w:pPr>
    </w:p>
    <w:p>
      <w:pPr>
        <w:pStyle w:val="3"/>
        <w:rPr>
          <w:rFonts w:ascii="宋体" w:hAnsi="宋体" w:eastAsia="宋体"/>
        </w:rPr>
      </w:pPr>
      <w:bookmarkStart w:id="4" w:name="_Toc477780938"/>
      <w:bookmarkStart w:id="5" w:name="_Toc477281195"/>
      <w:bookmarkStart w:id="6" w:name="_Toc477282707"/>
      <w:r>
        <w:rPr>
          <w:rFonts w:hint="eastAsia" w:ascii="宋体" w:hAnsi="宋体" w:eastAsia="宋体"/>
        </w:rPr>
        <w:t>建设依据</w:t>
      </w:r>
      <w:bookmarkEnd w:id="4"/>
      <w:bookmarkEnd w:id="5"/>
      <w:bookmarkEnd w:id="6"/>
    </w:p>
    <w:p>
      <w:pPr>
        <w:spacing w:after="120" w:afterLines="50"/>
        <w:ind w:firstLine="480"/>
        <w:rPr>
          <w:rFonts w:ascii="宋体" w:hAnsi="宋体"/>
        </w:rPr>
      </w:pPr>
      <w:r>
        <w:rPr>
          <w:rFonts w:hint="eastAsia" w:ascii="宋体" w:hAnsi="宋体"/>
        </w:rPr>
        <w:t>教育部2014年发布《教育部关于加强教育行业网络与信息安全工作的指导意见》（教技[2014]4号）明确规定“各单位信息系统要按照教育行业有关规范准确定级和备案”，“按照国际和教育行业有关标准规范要求进行等级测评”。</w:t>
      </w:r>
    </w:p>
    <w:p>
      <w:pPr>
        <w:spacing w:after="120" w:afterLines="50"/>
        <w:ind w:firstLine="480"/>
        <w:rPr>
          <w:rFonts w:ascii="宋体" w:hAnsi="宋体"/>
        </w:rPr>
      </w:pPr>
      <w:r>
        <w:rPr>
          <w:rFonts w:hint="eastAsia" w:ascii="宋体" w:hAnsi="宋体"/>
        </w:rPr>
        <w:t>根据教师文档管理系统的安全、业务、系统服务器情况，等级保护定义为：第二级，详细如下：</w:t>
      </w:r>
    </w:p>
    <w:tbl>
      <w:tblPr>
        <w:tblStyle w:val="15"/>
        <w:tblW w:w="7464"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255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vAlign w:val="center"/>
          </w:tcPr>
          <w:p>
            <w:pPr>
              <w:spacing w:before="120" w:beforeLines="50"/>
              <w:ind w:firstLine="0" w:firstLineChars="0"/>
              <w:jc w:val="center"/>
              <w:rPr>
                <w:rFonts w:ascii="宋体" w:hAnsi="宋体"/>
              </w:rPr>
            </w:pPr>
            <w:r>
              <w:rPr>
                <w:rFonts w:hint="eastAsia" w:ascii="宋体" w:hAnsi="宋体"/>
              </w:rPr>
              <w:t>安全保护等级</w:t>
            </w:r>
          </w:p>
        </w:tc>
        <w:tc>
          <w:tcPr>
            <w:tcW w:w="2551" w:type="dxa"/>
            <w:vAlign w:val="center"/>
          </w:tcPr>
          <w:p>
            <w:pPr>
              <w:spacing w:before="120" w:beforeLines="50"/>
              <w:ind w:firstLine="0" w:firstLineChars="0"/>
              <w:jc w:val="center"/>
              <w:rPr>
                <w:rFonts w:ascii="宋体" w:hAnsi="宋体"/>
              </w:rPr>
            </w:pPr>
            <w:r>
              <w:rPr>
                <w:rFonts w:hint="eastAsia" w:ascii="宋体" w:hAnsi="宋体"/>
              </w:rPr>
              <w:t>业务信息安全等级</w:t>
            </w:r>
          </w:p>
        </w:tc>
        <w:tc>
          <w:tcPr>
            <w:tcW w:w="2835" w:type="dxa"/>
            <w:vAlign w:val="center"/>
          </w:tcPr>
          <w:p>
            <w:pPr>
              <w:spacing w:before="120" w:beforeLines="50"/>
              <w:ind w:firstLine="0" w:firstLineChars="0"/>
              <w:jc w:val="center"/>
              <w:rPr>
                <w:rFonts w:ascii="宋体" w:hAnsi="宋体"/>
              </w:rPr>
            </w:pPr>
            <w:r>
              <w:rPr>
                <w:rFonts w:hint="eastAsia" w:ascii="宋体" w:hAnsi="宋体"/>
              </w:rPr>
              <w:t>系统服务安全等级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vAlign w:val="center"/>
          </w:tcPr>
          <w:p>
            <w:pPr>
              <w:spacing w:before="120" w:beforeLines="50"/>
              <w:ind w:right="281" w:rightChars="117" w:firstLine="480"/>
              <w:jc w:val="center"/>
              <w:rPr>
                <w:rFonts w:ascii="宋体" w:hAnsi="宋体"/>
              </w:rPr>
            </w:pPr>
            <w:r>
              <w:rPr>
                <w:rFonts w:hint="eastAsia" w:ascii="宋体" w:hAnsi="宋体"/>
              </w:rPr>
              <w:t>第二级</w:t>
            </w:r>
          </w:p>
        </w:tc>
        <w:tc>
          <w:tcPr>
            <w:tcW w:w="2551" w:type="dxa"/>
            <w:vAlign w:val="center"/>
          </w:tcPr>
          <w:p>
            <w:pPr>
              <w:spacing w:before="120" w:beforeLines="50"/>
              <w:ind w:firstLine="480"/>
              <w:jc w:val="center"/>
              <w:rPr>
                <w:rFonts w:ascii="宋体" w:hAnsi="宋体"/>
              </w:rPr>
            </w:pPr>
            <w:r>
              <w:rPr>
                <w:rFonts w:hint="eastAsia" w:ascii="宋体" w:hAnsi="宋体"/>
              </w:rPr>
              <w:t>第二级</w:t>
            </w:r>
          </w:p>
        </w:tc>
        <w:tc>
          <w:tcPr>
            <w:tcW w:w="2835" w:type="dxa"/>
            <w:vAlign w:val="center"/>
          </w:tcPr>
          <w:p>
            <w:pPr>
              <w:spacing w:before="120" w:beforeLines="50"/>
              <w:ind w:firstLine="480"/>
              <w:jc w:val="center"/>
              <w:rPr>
                <w:rFonts w:ascii="宋体" w:hAnsi="宋体"/>
              </w:rPr>
            </w:pPr>
            <w:r>
              <w:rPr>
                <w:rFonts w:hint="eastAsia" w:ascii="宋体" w:hAnsi="宋体"/>
              </w:rPr>
              <w:t>第二级</w:t>
            </w:r>
          </w:p>
        </w:tc>
      </w:tr>
    </w:tbl>
    <w:p>
      <w:pPr>
        <w:spacing w:after="120" w:afterLines="50"/>
        <w:ind w:firstLine="480"/>
        <w:rPr>
          <w:rFonts w:ascii="宋体" w:hAnsi="宋体"/>
        </w:rPr>
      </w:pPr>
    </w:p>
    <w:p>
      <w:pPr>
        <w:pStyle w:val="3"/>
        <w:rPr>
          <w:rFonts w:ascii="宋体" w:hAnsi="宋体" w:eastAsia="宋体"/>
        </w:rPr>
      </w:pPr>
      <w:r>
        <w:rPr>
          <w:rFonts w:hint="eastAsia" w:ascii="宋体" w:hAnsi="宋体" w:eastAsia="宋体"/>
        </w:rPr>
        <w:t>详细要求</w:t>
      </w:r>
    </w:p>
    <w:tbl>
      <w:tblPr>
        <w:tblStyle w:val="15"/>
        <w:tblW w:w="4660" w:type="pct"/>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pct"/>
            <w:shd w:val="clear" w:color="auto" w:fill="auto"/>
            <w:noWrap/>
            <w:vAlign w:val="center"/>
          </w:tcPr>
          <w:p>
            <w:pPr>
              <w:widowControl/>
              <w:ind w:firstLine="0" w:firstLineChars="0"/>
              <w:jc w:val="center"/>
              <w:rPr>
                <w:rFonts w:ascii="宋体" w:hAnsi="宋体" w:cs="宋体"/>
                <w:bCs/>
                <w:color w:val="000000"/>
                <w:kern w:val="0"/>
              </w:rPr>
            </w:pPr>
            <w:r>
              <w:rPr>
                <w:rFonts w:hint="eastAsia" w:ascii="宋体" w:hAnsi="宋体" w:cs="宋体"/>
                <w:bCs/>
                <w:color w:val="000000"/>
                <w:kern w:val="0"/>
              </w:rPr>
              <w:t>项目</w:t>
            </w:r>
          </w:p>
        </w:tc>
        <w:tc>
          <w:tcPr>
            <w:tcW w:w="4265" w:type="pct"/>
            <w:shd w:val="clear" w:color="auto" w:fill="auto"/>
            <w:noWrap/>
            <w:vAlign w:val="center"/>
          </w:tcPr>
          <w:p>
            <w:pPr>
              <w:widowControl/>
              <w:ind w:firstLine="0" w:firstLineChars="0"/>
              <w:jc w:val="center"/>
              <w:rPr>
                <w:rFonts w:ascii="宋体" w:hAnsi="宋体" w:cs="宋体"/>
                <w:bCs/>
                <w:color w:val="000000"/>
                <w:kern w:val="0"/>
              </w:rPr>
            </w:pPr>
            <w:r>
              <w:rPr>
                <w:rFonts w:hint="eastAsia" w:ascii="宋体" w:hAnsi="宋体" w:cs="宋体"/>
                <w:bCs/>
                <w:color w:val="000000"/>
                <w:kern w:val="0"/>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pct"/>
            <w:shd w:val="clear" w:color="auto" w:fill="auto"/>
            <w:noWrap/>
            <w:vAlign w:val="center"/>
          </w:tcPr>
          <w:p>
            <w:pPr>
              <w:widowControl/>
              <w:ind w:firstLine="0" w:firstLineChars="0"/>
              <w:jc w:val="center"/>
              <w:rPr>
                <w:rFonts w:ascii="宋体" w:hAnsi="宋体" w:cs="宋体"/>
                <w:bCs/>
                <w:color w:val="000000"/>
                <w:kern w:val="0"/>
              </w:rPr>
            </w:pPr>
            <w:r>
              <w:rPr>
                <w:rFonts w:hint="eastAsia" w:ascii="宋体" w:hAnsi="宋体" w:cs="宋体"/>
                <w:bCs/>
                <w:color w:val="000000"/>
                <w:kern w:val="0"/>
              </w:rPr>
              <w:t>1</w:t>
            </w:r>
          </w:p>
        </w:tc>
        <w:tc>
          <w:tcPr>
            <w:tcW w:w="4265" w:type="pct"/>
            <w:shd w:val="clear" w:color="auto" w:fill="auto"/>
            <w:noWrap/>
            <w:vAlign w:val="center"/>
          </w:tcPr>
          <w:p>
            <w:pPr>
              <w:widowControl/>
              <w:ind w:firstLine="0" w:firstLineChars="0"/>
              <w:jc w:val="left"/>
              <w:rPr>
                <w:rFonts w:ascii="宋体" w:hAnsi="宋体" w:cs="宋体"/>
                <w:bCs/>
                <w:color w:val="000000"/>
                <w:kern w:val="0"/>
              </w:rPr>
            </w:pPr>
            <w:r>
              <w:rPr>
                <w:rFonts w:hint="eastAsia" w:ascii="宋体" w:hAnsi="宋体" w:cs="宋体"/>
                <w:bCs/>
                <w:color w:val="000000"/>
                <w:kern w:val="0"/>
              </w:rPr>
              <w:t>系统定级并填写《信息系统安全等级保护定级报告》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735" w:type="pct"/>
            <w:shd w:val="clear" w:color="auto" w:fill="auto"/>
            <w:noWrap/>
            <w:vAlign w:val="center"/>
          </w:tcPr>
          <w:p>
            <w:pPr>
              <w:widowControl/>
              <w:ind w:firstLine="0" w:firstLineChars="0"/>
              <w:jc w:val="center"/>
              <w:rPr>
                <w:rFonts w:ascii="宋体" w:hAnsi="宋体" w:cs="宋体"/>
                <w:bCs/>
                <w:color w:val="000000"/>
                <w:kern w:val="0"/>
              </w:rPr>
            </w:pPr>
            <w:r>
              <w:rPr>
                <w:rFonts w:hint="eastAsia" w:ascii="宋体" w:hAnsi="宋体" w:cs="宋体"/>
                <w:bCs/>
                <w:color w:val="000000"/>
                <w:kern w:val="0"/>
              </w:rPr>
              <w:t>2</w:t>
            </w:r>
          </w:p>
        </w:tc>
        <w:tc>
          <w:tcPr>
            <w:tcW w:w="4265" w:type="pct"/>
            <w:shd w:val="clear" w:color="auto" w:fill="auto"/>
            <w:noWrap/>
            <w:vAlign w:val="center"/>
          </w:tcPr>
          <w:p>
            <w:pPr>
              <w:widowControl/>
              <w:ind w:firstLine="0" w:firstLineChars="0"/>
              <w:jc w:val="left"/>
              <w:rPr>
                <w:rFonts w:ascii="宋体" w:hAnsi="宋体" w:cs="宋体"/>
                <w:bCs/>
                <w:color w:val="000000"/>
                <w:kern w:val="0"/>
              </w:rPr>
            </w:pPr>
            <w:r>
              <w:rPr>
                <w:rFonts w:hint="eastAsia" w:ascii="宋体" w:hAnsi="宋体" w:cs="宋体"/>
                <w:bCs/>
                <w:color w:val="000000"/>
                <w:kern w:val="0"/>
              </w:rPr>
              <w:t>填写等级保护备案表及补充信息表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735" w:type="pct"/>
            <w:shd w:val="clear" w:color="auto" w:fill="auto"/>
            <w:noWrap/>
            <w:vAlign w:val="center"/>
          </w:tcPr>
          <w:p>
            <w:pPr>
              <w:widowControl/>
              <w:ind w:firstLine="0" w:firstLineChars="0"/>
              <w:jc w:val="center"/>
              <w:rPr>
                <w:rFonts w:ascii="宋体" w:hAnsi="宋体" w:cs="宋体"/>
                <w:bCs/>
                <w:color w:val="000000"/>
                <w:kern w:val="0"/>
              </w:rPr>
            </w:pPr>
            <w:r>
              <w:rPr>
                <w:rFonts w:hint="eastAsia" w:ascii="宋体" w:hAnsi="宋体" w:cs="宋体"/>
                <w:bCs/>
                <w:color w:val="000000"/>
                <w:kern w:val="0"/>
              </w:rPr>
              <w:t>3</w:t>
            </w:r>
          </w:p>
        </w:tc>
        <w:tc>
          <w:tcPr>
            <w:tcW w:w="4265" w:type="pct"/>
            <w:shd w:val="clear" w:color="auto" w:fill="auto"/>
            <w:noWrap/>
            <w:vAlign w:val="center"/>
          </w:tcPr>
          <w:p>
            <w:pPr>
              <w:widowControl/>
              <w:ind w:firstLine="0" w:firstLineChars="0"/>
              <w:jc w:val="left"/>
              <w:rPr>
                <w:rFonts w:ascii="宋体" w:hAnsi="宋体" w:cs="宋体"/>
                <w:bCs/>
                <w:color w:val="000000"/>
                <w:kern w:val="0"/>
              </w:rPr>
            </w:pPr>
            <w:r>
              <w:rPr>
                <w:rFonts w:hint="eastAsia" w:ascii="宋体" w:hAnsi="宋体" w:cs="宋体"/>
                <w:bCs/>
                <w:color w:val="000000"/>
                <w:kern w:val="0"/>
              </w:rPr>
              <w:t>评测机构编写并给出评测方案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pct"/>
            <w:shd w:val="clear" w:color="auto" w:fill="auto"/>
            <w:noWrap/>
            <w:vAlign w:val="center"/>
          </w:tcPr>
          <w:p>
            <w:pPr>
              <w:widowControl/>
              <w:ind w:firstLine="0" w:firstLineChars="0"/>
              <w:jc w:val="center"/>
              <w:rPr>
                <w:rFonts w:ascii="宋体" w:hAnsi="宋体" w:cs="宋体"/>
                <w:bCs/>
                <w:color w:val="000000"/>
                <w:kern w:val="0"/>
              </w:rPr>
            </w:pPr>
            <w:r>
              <w:rPr>
                <w:rFonts w:hint="eastAsia" w:ascii="宋体" w:hAnsi="宋体" w:cs="宋体"/>
                <w:bCs/>
                <w:color w:val="000000"/>
                <w:kern w:val="0"/>
              </w:rPr>
              <w:t>4</w:t>
            </w:r>
          </w:p>
        </w:tc>
        <w:tc>
          <w:tcPr>
            <w:tcW w:w="4265" w:type="pct"/>
            <w:shd w:val="clear" w:color="auto" w:fill="auto"/>
            <w:noWrap/>
            <w:vAlign w:val="center"/>
          </w:tcPr>
          <w:p>
            <w:pPr>
              <w:widowControl/>
              <w:ind w:firstLine="0" w:firstLineChars="0"/>
              <w:jc w:val="left"/>
              <w:rPr>
                <w:rFonts w:ascii="宋体" w:hAnsi="宋体" w:cs="宋体"/>
                <w:bCs/>
                <w:color w:val="000000"/>
                <w:kern w:val="0"/>
              </w:rPr>
            </w:pPr>
            <w:r>
              <w:rPr>
                <w:rFonts w:hint="eastAsia" w:ascii="宋体" w:hAnsi="宋体" w:cs="宋体"/>
                <w:bCs/>
                <w:color w:val="000000"/>
                <w:kern w:val="0"/>
              </w:rPr>
              <w:t>填写系统构成相关表格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pct"/>
            <w:shd w:val="clear" w:color="auto" w:fill="auto"/>
            <w:noWrap/>
            <w:vAlign w:val="center"/>
          </w:tcPr>
          <w:p>
            <w:pPr>
              <w:widowControl/>
              <w:ind w:firstLine="0" w:firstLineChars="0"/>
              <w:jc w:val="center"/>
              <w:rPr>
                <w:rFonts w:ascii="宋体" w:hAnsi="宋体" w:cs="宋体"/>
                <w:bCs/>
                <w:color w:val="000000"/>
                <w:kern w:val="0"/>
              </w:rPr>
            </w:pPr>
            <w:r>
              <w:rPr>
                <w:rFonts w:hint="eastAsia" w:ascii="宋体" w:hAnsi="宋体" w:cs="宋体"/>
                <w:bCs/>
                <w:color w:val="000000"/>
                <w:kern w:val="0"/>
              </w:rPr>
              <w:t>5</w:t>
            </w:r>
          </w:p>
        </w:tc>
        <w:tc>
          <w:tcPr>
            <w:tcW w:w="4265" w:type="pct"/>
            <w:shd w:val="clear" w:color="auto" w:fill="auto"/>
            <w:noWrap/>
            <w:vAlign w:val="center"/>
          </w:tcPr>
          <w:p>
            <w:pPr>
              <w:widowControl/>
              <w:ind w:firstLine="0" w:firstLineChars="0"/>
              <w:jc w:val="left"/>
              <w:rPr>
                <w:rFonts w:ascii="宋体" w:hAnsi="宋体" w:cs="宋体"/>
                <w:bCs/>
                <w:color w:val="000000"/>
                <w:kern w:val="0"/>
              </w:rPr>
            </w:pPr>
            <w:r>
              <w:rPr>
                <w:rFonts w:hint="eastAsia" w:ascii="宋体" w:hAnsi="宋体" w:cs="宋体"/>
                <w:bCs/>
                <w:color w:val="000000"/>
                <w:kern w:val="0"/>
              </w:rPr>
              <w:t>系统漏洞扫描并出具漏洞分析报告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735" w:type="pct"/>
            <w:shd w:val="clear" w:color="auto" w:fill="auto"/>
            <w:noWrap/>
            <w:vAlign w:val="center"/>
          </w:tcPr>
          <w:p>
            <w:pPr>
              <w:widowControl/>
              <w:ind w:firstLine="0" w:firstLineChars="0"/>
              <w:jc w:val="center"/>
              <w:rPr>
                <w:rFonts w:ascii="宋体" w:hAnsi="宋体" w:cs="宋体"/>
                <w:bCs/>
                <w:color w:val="000000"/>
                <w:kern w:val="0"/>
              </w:rPr>
            </w:pPr>
            <w:r>
              <w:rPr>
                <w:rFonts w:hint="eastAsia" w:ascii="宋体" w:hAnsi="宋体" w:cs="宋体"/>
                <w:bCs/>
                <w:color w:val="000000"/>
                <w:kern w:val="0"/>
              </w:rPr>
              <w:t>6</w:t>
            </w:r>
          </w:p>
        </w:tc>
        <w:tc>
          <w:tcPr>
            <w:tcW w:w="4265" w:type="pct"/>
            <w:shd w:val="clear" w:color="auto" w:fill="auto"/>
            <w:noWrap/>
            <w:vAlign w:val="center"/>
          </w:tcPr>
          <w:p>
            <w:pPr>
              <w:widowControl/>
              <w:ind w:firstLine="0" w:firstLineChars="0"/>
              <w:jc w:val="left"/>
              <w:rPr>
                <w:rFonts w:ascii="宋体" w:hAnsi="宋体" w:cs="宋体"/>
                <w:bCs/>
                <w:color w:val="000000"/>
                <w:kern w:val="0"/>
              </w:rPr>
            </w:pPr>
            <w:r>
              <w:rPr>
                <w:rFonts w:hint="eastAsia" w:ascii="宋体" w:hAnsi="宋体" w:cs="宋体"/>
                <w:bCs/>
                <w:color w:val="000000"/>
                <w:kern w:val="0"/>
              </w:rPr>
              <w:t>现场问答并出具整改意见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735" w:type="pct"/>
            <w:shd w:val="clear" w:color="auto" w:fill="auto"/>
            <w:noWrap/>
            <w:vAlign w:val="center"/>
          </w:tcPr>
          <w:p>
            <w:pPr>
              <w:widowControl/>
              <w:ind w:firstLine="0" w:firstLineChars="0"/>
              <w:jc w:val="center"/>
              <w:rPr>
                <w:rFonts w:ascii="宋体" w:hAnsi="宋体" w:cs="宋体"/>
                <w:bCs/>
                <w:color w:val="000000"/>
                <w:kern w:val="0"/>
              </w:rPr>
            </w:pPr>
            <w:r>
              <w:rPr>
                <w:rFonts w:hint="eastAsia" w:ascii="宋体" w:hAnsi="宋体" w:cs="宋体"/>
                <w:bCs/>
                <w:color w:val="000000"/>
                <w:kern w:val="0"/>
              </w:rPr>
              <w:t>7</w:t>
            </w:r>
          </w:p>
        </w:tc>
        <w:tc>
          <w:tcPr>
            <w:tcW w:w="4265" w:type="pct"/>
            <w:shd w:val="clear" w:color="auto" w:fill="auto"/>
            <w:noWrap/>
            <w:vAlign w:val="center"/>
          </w:tcPr>
          <w:p>
            <w:pPr>
              <w:widowControl/>
              <w:ind w:firstLine="0" w:firstLineChars="0"/>
              <w:jc w:val="left"/>
              <w:rPr>
                <w:rFonts w:ascii="宋体" w:hAnsi="宋体" w:cs="宋体"/>
                <w:bCs/>
                <w:color w:val="000000"/>
                <w:kern w:val="0"/>
              </w:rPr>
            </w:pPr>
            <w:r>
              <w:rPr>
                <w:rFonts w:hint="eastAsia" w:ascii="宋体" w:hAnsi="宋体" w:cs="宋体"/>
                <w:kern w:val="0"/>
                <w:szCs w:val="21"/>
              </w:rPr>
              <w:t>★</w:t>
            </w:r>
            <w:r>
              <w:rPr>
                <w:rFonts w:hint="eastAsia" w:ascii="宋体" w:hAnsi="宋体" w:cs="宋体"/>
                <w:bCs/>
                <w:color w:val="000000"/>
                <w:kern w:val="0"/>
              </w:rPr>
              <w:t>服务商应具有能力，负责</w:t>
            </w:r>
            <w:r>
              <w:rPr>
                <w:rFonts w:ascii="宋体" w:hAnsi="宋体" w:cs="宋体"/>
                <w:bCs/>
                <w:color w:val="000000"/>
                <w:kern w:val="0"/>
              </w:rPr>
              <w:t>系统漏洞修复</w:t>
            </w:r>
            <w:r>
              <w:rPr>
                <w:rFonts w:hint="eastAsia" w:ascii="宋体" w:hAnsi="宋体" w:cs="宋体"/>
                <w:bCs/>
                <w:color w:val="000000"/>
                <w:kern w:val="0"/>
              </w:rPr>
              <w:t>和整改工作，提供相关的资质和证明材料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pct"/>
            <w:shd w:val="clear" w:color="auto" w:fill="auto"/>
            <w:noWrap/>
            <w:vAlign w:val="center"/>
          </w:tcPr>
          <w:p>
            <w:pPr>
              <w:widowControl/>
              <w:ind w:firstLine="0" w:firstLineChars="0"/>
              <w:jc w:val="center"/>
              <w:rPr>
                <w:rFonts w:ascii="宋体" w:hAnsi="宋体" w:cs="宋体"/>
                <w:bCs/>
                <w:color w:val="000000"/>
                <w:kern w:val="0"/>
              </w:rPr>
            </w:pPr>
            <w:r>
              <w:rPr>
                <w:rFonts w:hint="eastAsia" w:ascii="宋体" w:hAnsi="宋体" w:cs="宋体"/>
                <w:bCs/>
                <w:color w:val="000000"/>
                <w:kern w:val="0"/>
              </w:rPr>
              <w:t>8</w:t>
            </w:r>
          </w:p>
        </w:tc>
        <w:tc>
          <w:tcPr>
            <w:tcW w:w="4265" w:type="pct"/>
            <w:shd w:val="clear" w:color="auto" w:fill="auto"/>
            <w:noWrap/>
            <w:vAlign w:val="center"/>
          </w:tcPr>
          <w:p>
            <w:pPr>
              <w:widowControl/>
              <w:ind w:firstLine="0" w:firstLineChars="0"/>
              <w:jc w:val="left"/>
              <w:rPr>
                <w:rFonts w:ascii="宋体" w:hAnsi="宋体" w:cs="宋体"/>
                <w:bCs/>
                <w:color w:val="000000"/>
                <w:kern w:val="0"/>
              </w:rPr>
            </w:pPr>
            <w:r>
              <w:rPr>
                <w:rFonts w:hint="eastAsia" w:ascii="宋体" w:hAnsi="宋体" w:cs="宋体"/>
                <w:kern w:val="0"/>
                <w:szCs w:val="21"/>
              </w:rPr>
              <w:t>★</w:t>
            </w:r>
            <w:r>
              <w:rPr>
                <w:rFonts w:hint="eastAsia" w:ascii="宋体" w:hAnsi="宋体" w:cs="宋体"/>
                <w:bCs/>
                <w:color w:val="000000"/>
                <w:kern w:val="0"/>
              </w:rPr>
              <w:t>服务商应具有能力，负责安全策略完善及</w:t>
            </w:r>
            <w:r>
              <w:rPr>
                <w:rFonts w:ascii="宋体" w:hAnsi="宋体" w:cs="宋体"/>
                <w:bCs/>
                <w:color w:val="000000"/>
                <w:kern w:val="0"/>
              </w:rPr>
              <w:t>整改</w:t>
            </w:r>
            <w:r>
              <w:rPr>
                <w:rFonts w:hint="eastAsia" w:ascii="宋体" w:hAnsi="宋体" w:cs="宋体"/>
                <w:bCs/>
                <w:color w:val="000000"/>
                <w:kern w:val="0"/>
              </w:rPr>
              <w:t>工作，提供相关的资质和证明材料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735" w:type="pct"/>
            <w:shd w:val="clear" w:color="auto" w:fill="auto"/>
            <w:noWrap/>
            <w:vAlign w:val="center"/>
          </w:tcPr>
          <w:p>
            <w:pPr>
              <w:widowControl/>
              <w:ind w:firstLine="0" w:firstLineChars="0"/>
              <w:jc w:val="center"/>
              <w:rPr>
                <w:rFonts w:ascii="宋体" w:hAnsi="宋体" w:cs="宋体"/>
                <w:kern w:val="0"/>
              </w:rPr>
            </w:pPr>
            <w:r>
              <w:rPr>
                <w:rFonts w:hint="eastAsia" w:ascii="宋体" w:hAnsi="宋体" w:cs="宋体"/>
                <w:kern w:val="0"/>
              </w:rPr>
              <w:t>9</w:t>
            </w:r>
          </w:p>
        </w:tc>
        <w:tc>
          <w:tcPr>
            <w:tcW w:w="4265" w:type="pct"/>
            <w:shd w:val="clear" w:color="auto" w:fill="auto"/>
            <w:noWrap/>
            <w:vAlign w:val="center"/>
          </w:tcPr>
          <w:p>
            <w:pPr>
              <w:widowControl/>
              <w:ind w:firstLine="0" w:firstLineChars="0"/>
              <w:jc w:val="left"/>
              <w:rPr>
                <w:rFonts w:ascii="宋体" w:hAnsi="宋体" w:cs="宋体"/>
                <w:bCs/>
                <w:color w:val="000000"/>
                <w:kern w:val="0"/>
              </w:rPr>
            </w:pPr>
            <w:r>
              <w:rPr>
                <w:rFonts w:hint="eastAsia" w:ascii="宋体" w:hAnsi="宋体" w:cs="宋体"/>
                <w:bCs/>
                <w:color w:val="000000"/>
                <w:kern w:val="0"/>
              </w:rPr>
              <w:t>系统漏洞扫描复测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pct"/>
            <w:shd w:val="clear" w:color="auto" w:fill="auto"/>
            <w:noWrap/>
            <w:vAlign w:val="center"/>
          </w:tcPr>
          <w:p>
            <w:pPr>
              <w:widowControl/>
              <w:ind w:firstLine="0" w:firstLineChars="0"/>
              <w:jc w:val="center"/>
              <w:rPr>
                <w:rFonts w:ascii="宋体" w:hAnsi="宋体" w:cs="宋体"/>
                <w:kern w:val="0"/>
              </w:rPr>
            </w:pPr>
            <w:r>
              <w:rPr>
                <w:rFonts w:hint="eastAsia" w:ascii="宋体" w:hAnsi="宋体" w:cs="宋体"/>
                <w:kern w:val="0"/>
              </w:rPr>
              <w:t>10</w:t>
            </w:r>
          </w:p>
        </w:tc>
        <w:tc>
          <w:tcPr>
            <w:tcW w:w="4265" w:type="pct"/>
            <w:shd w:val="clear" w:color="auto" w:fill="auto"/>
            <w:noWrap/>
            <w:vAlign w:val="center"/>
          </w:tcPr>
          <w:p>
            <w:pPr>
              <w:widowControl/>
              <w:ind w:firstLine="0" w:firstLineChars="0"/>
              <w:jc w:val="left"/>
              <w:rPr>
                <w:rFonts w:ascii="宋体" w:hAnsi="宋体" w:cs="宋体"/>
                <w:bCs/>
                <w:color w:val="000000"/>
                <w:kern w:val="0"/>
              </w:rPr>
            </w:pPr>
            <w:r>
              <w:rPr>
                <w:rFonts w:hint="eastAsia" w:ascii="宋体" w:hAnsi="宋体" w:cs="宋体"/>
                <w:bCs/>
                <w:color w:val="000000"/>
                <w:kern w:val="0"/>
              </w:rPr>
              <w:t>漏洞</w:t>
            </w:r>
            <w:r>
              <w:rPr>
                <w:rFonts w:ascii="宋体" w:hAnsi="宋体" w:cs="宋体"/>
                <w:bCs/>
                <w:color w:val="000000"/>
                <w:kern w:val="0"/>
              </w:rPr>
              <w:t>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735" w:type="pct"/>
            <w:shd w:val="clear" w:color="auto" w:fill="auto"/>
            <w:vAlign w:val="center"/>
          </w:tcPr>
          <w:p>
            <w:pPr>
              <w:widowControl/>
              <w:ind w:firstLine="0" w:firstLineChars="0"/>
              <w:jc w:val="center"/>
              <w:rPr>
                <w:rFonts w:ascii="宋体" w:hAnsi="宋体" w:cs="宋体"/>
                <w:kern w:val="0"/>
              </w:rPr>
            </w:pPr>
            <w:r>
              <w:rPr>
                <w:rFonts w:hint="eastAsia" w:ascii="宋体" w:hAnsi="宋体" w:cs="宋体"/>
                <w:kern w:val="0"/>
              </w:rPr>
              <w:t>11</w:t>
            </w:r>
          </w:p>
        </w:tc>
        <w:tc>
          <w:tcPr>
            <w:tcW w:w="4265" w:type="pct"/>
            <w:shd w:val="clear" w:color="auto" w:fill="auto"/>
            <w:vAlign w:val="center"/>
          </w:tcPr>
          <w:p>
            <w:pPr>
              <w:widowControl/>
              <w:ind w:firstLine="0" w:firstLineChars="0"/>
              <w:jc w:val="left"/>
              <w:rPr>
                <w:rFonts w:ascii="宋体" w:hAnsi="宋体" w:cs="宋体"/>
                <w:bCs/>
                <w:color w:val="000000"/>
                <w:kern w:val="0"/>
              </w:rPr>
            </w:pPr>
            <w:r>
              <w:rPr>
                <w:rFonts w:hint="eastAsia" w:ascii="宋体" w:hAnsi="宋体" w:cs="宋体"/>
                <w:bCs/>
                <w:color w:val="000000"/>
                <w:kern w:val="0"/>
              </w:rPr>
              <w:t>出具二级等保通过报告</w:t>
            </w:r>
          </w:p>
        </w:tc>
      </w:tr>
    </w:tbl>
    <w:p>
      <w:pPr>
        <w:ind w:firstLine="199" w:firstLineChars="83"/>
        <w:rPr>
          <w:rFonts w:ascii="宋体" w:hAnsi="宋体"/>
        </w:rPr>
      </w:pPr>
    </w:p>
    <w:p>
      <w:pPr>
        <w:pStyle w:val="3"/>
        <w:rPr>
          <w:rFonts w:ascii="宋体" w:hAnsi="宋体" w:eastAsia="宋体"/>
        </w:rPr>
      </w:pPr>
      <w:bookmarkStart w:id="7" w:name="_Toc477780942"/>
      <w:bookmarkStart w:id="8" w:name="_Toc477281203"/>
      <w:r>
        <w:rPr>
          <w:rFonts w:hint="eastAsia" w:ascii="宋体" w:hAnsi="宋体" w:eastAsia="宋体"/>
        </w:rPr>
        <w:t>公司要求</w:t>
      </w:r>
      <w:bookmarkEnd w:id="7"/>
    </w:p>
    <w:p>
      <w:pPr>
        <w:numPr>
          <w:ilvl w:val="0"/>
          <w:numId w:val="4"/>
        </w:numPr>
        <w:ind w:left="1134" w:hanging="850" w:firstLineChars="0"/>
      </w:pPr>
      <w:r>
        <w:rPr>
          <w:rFonts w:hint="eastAsia"/>
        </w:rPr>
        <w:t>在上海市有固定的服务点。</w:t>
      </w:r>
    </w:p>
    <w:p>
      <w:pPr>
        <w:pStyle w:val="3"/>
        <w:rPr>
          <w:rFonts w:ascii="宋体" w:hAnsi="宋体" w:eastAsia="宋体"/>
        </w:rPr>
      </w:pPr>
      <w:bookmarkStart w:id="9" w:name="_Toc477780943"/>
      <w:r>
        <w:rPr>
          <w:rFonts w:hint="eastAsia" w:ascii="宋体" w:hAnsi="宋体" w:eastAsia="宋体"/>
        </w:rPr>
        <w:t>报价文件组成</w:t>
      </w:r>
      <w:bookmarkEnd w:id="9"/>
    </w:p>
    <w:p>
      <w:pPr>
        <w:numPr>
          <w:ilvl w:val="0"/>
          <w:numId w:val="4"/>
        </w:numPr>
        <w:ind w:left="284" w:firstLine="0" w:firstLineChars="0"/>
      </w:pPr>
      <w:r>
        <w:rPr>
          <w:rFonts w:hint="eastAsia"/>
        </w:rPr>
        <w:t>报价单（附件二）</w:t>
      </w:r>
    </w:p>
    <w:p>
      <w:pPr>
        <w:numPr>
          <w:ilvl w:val="0"/>
          <w:numId w:val="4"/>
        </w:numPr>
        <w:ind w:left="284" w:firstLine="0" w:firstLineChars="0"/>
      </w:pPr>
      <w:r>
        <w:t>营业执照、税务登记证、组织机构代码证或“三证合一”的营业执照</w:t>
      </w:r>
    </w:p>
    <w:p>
      <w:pPr>
        <w:numPr>
          <w:ilvl w:val="0"/>
          <w:numId w:val="4"/>
        </w:numPr>
        <w:ind w:left="284" w:firstLine="0" w:firstLineChars="0"/>
      </w:pPr>
      <w:r>
        <w:rPr>
          <w:rFonts w:hint="eastAsia"/>
        </w:rPr>
        <w:t>服务方案</w:t>
      </w:r>
    </w:p>
    <w:bookmarkEnd w:id="8"/>
    <w:p>
      <w:pPr>
        <w:numPr>
          <w:ilvl w:val="0"/>
          <w:numId w:val="4"/>
        </w:numPr>
        <w:ind w:left="284" w:firstLine="0" w:firstLineChars="0"/>
      </w:pPr>
      <w:r>
        <w:rPr>
          <w:rFonts w:hint="eastAsia"/>
        </w:rPr>
        <w:t>★服务商需要提供上海等保测评机构针对本项目的授权函</w:t>
      </w:r>
    </w:p>
    <w:p>
      <w:pPr>
        <w:ind w:firstLine="0" w:firstLineChars="0"/>
        <w:rPr>
          <w:rFonts w:ascii="宋体" w:hAnsi="宋体"/>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675"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right" w:y="1"/>
      <w:ind w:firstLine="360"/>
      <w:rPr>
        <w:rStyle w:val="18"/>
      </w:rPr>
    </w:pPr>
    <w:r>
      <w:rPr>
        <w:rStyle w:val="18"/>
      </w:rPr>
      <w:fldChar w:fldCharType="begin"/>
    </w:r>
    <w:r>
      <w:rPr>
        <w:rStyle w:val="18"/>
      </w:rPr>
      <w:instrText xml:space="preserve">PAGE  </w:instrText>
    </w:r>
    <w:r>
      <w:rPr>
        <w:rStyle w:val="18"/>
      </w:rPr>
      <w:fldChar w:fldCharType="separate"/>
    </w:r>
    <w:r>
      <w:rPr>
        <w:rStyle w:val="18"/>
      </w:rPr>
      <w:t>2</w:t>
    </w:r>
    <w:r>
      <w:rPr>
        <w:rStyle w:val="18"/>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right" w:y="1"/>
      <w:ind w:firstLine="360"/>
      <w:rPr>
        <w:rStyle w:val="18"/>
      </w:rPr>
    </w:pPr>
    <w:r>
      <w:rPr>
        <w:rStyle w:val="18"/>
      </w:rPr>
      <w:fldChar w:fldCharType="begin"/>
    </w:r>
    <w:r>
      <w:rPr>
        <w:rStyle w:val="18"/>
      </w:rPr>
      <w:instrText xml:space="preserve">PAGE  </w:instrText>
    </w:r>
    <w:r>
      <w:rPr>
        <w:rStyle w:val="18"/>
      </w:rP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75726"/>
    <w:multiLevelType w:val="multilevel"/>
    <w:tmpl w:val="20575726"/>
    <w:lvl w:ilvl="0" w:tentative="0">
      <w:start w:val="1"/>
      <w:numFmt w:val="decimal"/>
      <w:pStyle w:val="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0174DD"/>
    <w:multiLevelType w:val="multilevel"/>
    <w:tmpl w:val="330174DD"/>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3DE11C91"/>
    <w:multiLevelType w:val="multilevel"/>
    <w:tmpl w:val="3DE11C91"/>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06B76"/>
    <w:multiLevelType w:val="multilevel"/>
    <w:tmpl w:val="70506B76"/>
    <w:lvl w:ilvl="0" w:tentative="0">
      <w:start w:val="1"/>
      <w:numFmt w:val="bullet"/>
      <w:lvlText w:val=""/>
      <w:lvlJc w:val="left"/>
      <w:pPr>
        <w:ind w:left="960" w:hanging="480"/>
      </w:pPr>
      <w:rPr>
        <w:rFonts w:hint="default" w:ascii="Wingdings" w:hAnsi="Wingdings"/>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5NDFmYTIyMDljMDhlODE2MDYxNzg0MWE0NjAzYmUifQ=="/>
  </w:docVars>
  <w:rsids>
    <w:rsidRoot w:val="007A3050"/>
    <w:rsid w:val="000139C3"/>
    <w:rsid w:val="00032791"/>
    <w:rsid w:val="00081FD8"/>
    <w:rsid w:val="0009266A"/>
    <w:rsid w:val="00097093"/>
    <w:rsid w:val="00127DF1"/>
    <w:rsid w:val="00142E73"/>
    <w:rsid w:val="00153257"/>
    <w:rsid w:val="00162A31"/>
    <w:rsid w:val="00166CA4"/>
    <w:rsid w:val="001D29C4"/>
    <w:rsid w:val="00233CD1"/>
    <w:rsid w:val="00250163"/>
    <w:rsid w:val="00256B91"/>
    <w:rsid w:val="0029318B"/>
    <w:rsid w:val="002A4798"/>
    <w:rsid w:val="002F5459"/>
    <w:rsid w:val="00314AB9"/>
    <w:rsid w:val="003569A1"/>
    <w:rsid w:val="00375429"/>
    <w:rsid w:val="003C1D45"/>
    <w:rsid w:val="003D4BEE"/>
    <w:rsid w:val="00457523"/>
    <w:rsid w:val="004817E6"/>
    <w:rsid w:val="00484DE5"/>
    <w:rsid w:val="004B5354"/>
    <w:rsid w:val="004D391C"/>
    <w:rsid w:val="004D58E8"/>
    <w:rsid w:val="004D7F6A"/>
    <w:rsid w:val="005206C6"/>
    <w:rsid w:val="00552348"/>
    <w:rsid w:val="00580F20"/>
    <w:rsid w:val="005F7535"/>
    <w:rsid w:val="00654864"/>
    <w:rsid w:val="00657B3E"/>
    <w:rsid w:val="00667D76"/>
    <w:rsid w:val="006B6799"/>
    <w:rsid w:val="006D7472"/>
    <w:rsid w:val="00714400"/>
    <w:rsid w:val="00746D44"/>
    <w:rsid w:val="00776516"/>
    <w:rsid w:val="007A3050"/>
    <w:rsid w:val="007A7DB0"/>
    <w:rsid w:val="008011B2"/>
    <w:rsid w:val="00811A98"/>
    <w:rsid w:val="008B467C"/>
    <w:rsid w:val="008E2022"/>
    <w:rsid w:val="008E2B24"/>
    <w:rsid w:val="008E50C2"/>
    <w:rsid w:val="008F7679"/>
    <w:rsid w:val="009374F4"/>
    <w:rsid w:val="00A36DFA"/>
    <w:rsid w:val="00A6732F"/>
    <w:rsid w:val="00A858FE"/>
    <w:rsid w:val="00A91315"/>
    <w:rsid w:val="00AA2267"/>
    <w:rsid w:val="00AD275D"/>
    <w:rsid w:val="00B01F72"/>
    <w:rsid w:val="00B1007D"/>
    <w:rsid w:val="00B540F2"/>
    <w:rsid w:val="00B81891"/>
    <w:rsid w:val="00C020C9"/>
    <w:rsid w:val="00C2228C"/>
    <w:rsid w:val="00C42A65"/>
    <w:rsid w:val="00CE4AC7"/>
    <w:rsid w:val="00CE54DE"/>
    <w:rsid w:val="00D5090C"/>
    <w:rsid w:val="00E0319B"/>
    <w:rsid w:val="00EB12CC"/>
    <w:rsid w:val="00F04C56"/>
    <w:rsid w:val="00F83212"/>
    <w:rsid w:val="00FA1169"/>
    <w:rsid w:val="00FA5817"/>
    <w:rsid w:val="00FB10D3"/>
    <w:rsid w:val="00FC19C8"/>
    <w:rsid w:val="00FC7DB6"/>
    <w:rsid w:val="00FF2A8D"/>
    <w:rsid w:val="00FF4063"/>
    <w:rsid w:val="0ACC3CA6"/>
    <w:rsid w:val="115B3185"/>
    <w:rsid w:val="61FE0A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iPriority="1"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5"/>
    <w:qFormat/>
    <w:uiPriority w:val="9"/>
    <w:pPr>
      <w:keepNext/>
      <w:keepLines/>
      <w:spacing w:before="340" w:after="330" w:line="578" w:lineRule="auto"/>
      <w:ind w:firstLine="0" w:firstLineChars="0"/>
      <w:outlineLvl w:val="0"/>
    </w:pPr>
    <w:rPr>
      <w:rFonts w:asciiTheme="minorHAnsi" w:hAnsiTheme="minorHAnsi" w:eastAsiaTheme="minorEastAsia" w:cstheme="minorBidi"/>
      <w:b/>
      <w:bCs/>
      <w:kern w:val="44"/>
      <w:sz w:val="44"/>
      <w:szCs w:val="44"/>
    </w:rPr>
  </w:style>
  <w:style w:type="paragraph" w:styleId="3">
    <w:name w:val="heading 2"/>
    <w:basedOn w:val="1"/>
    <w:next w:val="1"/>
    <w:link w:val="21"/>
    <w:qFormat/>
    <w:uiPriority w:val="9"/>
    <w:pPr>
      <w:keepNext/>
      <w:keepLines/>
      <w:numPr>
        <w:ilvl w:val="0"/>
        <w:numId w:val="1"/>
      </w:numPr>
      <w:spacing w:before="260" w:after="260" w:line="416" w:lineRule="auto"/>
      <w:ind w:firstLine="0" w:firstLineChars="0"/>
      <w:jc w:val="left"/>
      <w:outlineLvl w:val="1"/>
    </w:pPr>
    <w:rPr>
      <w:rFonts w:ascii="Arial" w:hAnsi="Arial" w:eastAsia="黑体"/>
      <w:b/>
      <w:bCs/>
      <w:sz w:val="36"/>
      <w:szCs w:val="32"/>
    </w:rPr>
  </w:style>
  <w:style w:type="paragraph" w:styleId="4">
    <w:name w:val="heading 3"/>
    <w:basedOn w:val="1"/>
    <w:next w:val="1"/>
    <w:link w:val="26"/>
    <w:unhideWhenUsed/>
    <w:qFormat/>
    <w:uiPriority w:val="9"/>
    <w:pPr>
      <w:keepNext/>
      <w:keepLines/>
      <w:numPr>
        <w:ilvl w:val="0"/>
        <w:numId w:val="2"/>
      </w:numPr>
      <w:spacing w:before="260" w:after="260" w:line="416" w:lineRule="auto"/>
      <w:ind w:firstLine="0" w:firstLineChars="0"/>
      <w:outlineLvl w:val="2"/>
    </w:pPr>
    <w:rPr>
      <w:rFonts w:asciiTheme="minorHAnsi" w:hAnsiTheme="minorHAnsi" w:eastAsiaTheme="minorEastAsia" w:cstheme="minorBidi"/>
      <w:b/>
      <w:bCs/>
      <w:sz w:val="32"/>
      <w:szCs w:val="32"/>
    </w:rPr>
  </w:style>
  <w:style w:type="paragraph" w:styleId="5">
    <w:name w:val="heading 4"/>
    <w:basedOn w:val="1"/>
    <w:next w:val="1"/>
    <w:link w:val="27"/>
    <w:unhideWhenUsed/>
    <w:qFormat/>
    <w:uiPriority w:val="9"/>
    <w:pPr>
      <w:keepNext/>
      <w:keepLines/>
      <w:numPr>
        <w:ilvl w:val="0"/>
        <w:numId w:val="3"/>
      </w:numPr>
      <w:spacing w:before="280" w:after="290" w:line="376" w:lineRule="auto"/>
      <w:ind w:firstLine="0" w:firstLineChars="0"/>
      <w:outlineLvl w:val="3"/>
    </w:pPr>
    <w:rPr>
      <w:rFonts w:asciiTheme="majorHAnsi" w:hAnsiTheme="majorHAnsi" w:eastAsiaTheme="majorEastAsia" w:cstheme="majorBidi"/>
      <w:b/>
      <w:bCs/>
      <w:sz w:val="28"/>
      <w:szCs w:val="28"/>
    </w:rPr>
  </w:style>
  <w:style w:type="paragraph" w:styleId="6">
    <w:name w:val="heading 5"/>
    <w:basedOn w:val="1"/>
    <w:next w:val="1"/>
    <w:link w:val="28"/>
    <w:semiHidden/>
    <w:unhideWhenUsed/>
    <w:qFormat/>
    <w:uiPriority w:val="9"/>
    <w:pPr>
      <w:keepNext/>
      <w:keepLines/>
      <w:spacing w:before="280" w:after="290" w:line="376" w:lineRule="auto"/>
      <w:ind w:firstLine="0" w:firstLineChars="0"/>
      <w:outlineLvl w:val="4"/>
    </w:pPr>
    <w:rPr>
      <w:rFonts w:asciiTheme="minorHAnsi" w:hAnsiTheme="minorHAnsi" w:eastAsiaTheme="minorEastAsia" w:cstheme="minorBidi"/>
      <w:b/>
      <w:bCs/>
      <w:sz w:val="28"/>
      <w:szCs w:val="28"/>
    </w:rPr>
  </w:style>
  <w:style w:type="paragraph" w:styleId="7">
    <w:name w:val="heading 6"/>
    <w:basedOn w:val="1"/>
    <w:next w:val="1"/>
    <w:link w:val="29"/>
    <w:semiHidden/>
    <w:unhideWhenUsed/>
    <w:qFormat/>
    <w:uiPriority w:val="9"/>
    <w:pPr>
      <w:keepNext/>
      <w:keepLines/>
      <w:spacing w:before="240" w:after="64" w:line="320" w:lineRule="auto"/>
      <w:ind w:firstLine="0" w:firstLineChars="0"/>
      <w:outlineLvl w:val="5"/>
    </w:pPr>
    <w:rPr>
      <w:rFonts w:asciiTheme="majorHAnsi" w:hAnsiTheme="majorHAnsi" w:eastAsiaTheme="majorEastAsia" w:cstheme="majorBidi"/>
      <w:b/>
      <w:bCs/>
    </w:rPr>
  </w:style>
  <w:style w:type="paragraph" w:styleId="8">
    <w:name w:val="heading 7"/>
    <w:basedOn w:val="1"/>
    <w:next w:val="1"/>
    <w:link w:val="30"/>
    <w:semiHidden/>
    <w:unhideWhenUsed/>
    <w:qFormat/>
    <w:uiPriority w:val="9"/>
    <w:pPr>
      <w:keepNext/>
      <w:keepLines/>
      <w:spacing w:before="240" w:after="64" w:line="320" w:lineRule="auto"/>
      <w:ind w:firstLine="0" w:firstLineChars="0"/>
      <w:outlineLvl w:val="6"/>
    </w:pPr>
    <w:rPr>
      <w:rFonts w:asciiTheme="minorHAnsi" w:hAnsiTheme="minorHAnsi" w:eastAsiaTheme="minorEastAsia" w:cstheme="minorBidi"/>
      <w:b/>
      <w:bCs/>
    </w:rPr>
  </w:style>
  <w:style w:type="paragraph" w:styleId="9">
    <w:name w:val="heading 8"/>
    <w:basedOn w:val="1"/>
    <w:next w:val="1"/>
    <w:link w:val="31"/>
    <w:semiHidden/>
    <w:unhideWhenUsed/>
    <w:qFormat/>
    <w:uiPriority w:val="9"/>
    <w:pPr>
      <w:keepNext/>
      <w:keepLines/>
      <w:spacing w:before="240" w:after="64" w:line="320" w:lineRule="auto"/>
      <w:ind w:firstLine="0" w:firstLineChars="0"/>
      <w:outlineLvl w:val="7"/>
    </w:pPr>
    <w:rPr>
      <w:rFonts w:asciiTheme="majorHAnsi" w:hAnsiTheme="majorHAnsi" w:eastAsiaTheme="majorEastAsia" w:cstheme="majorBidi"/>
    </w:rPr>
  </w:style>
  <w:style w:type="paragraph" w:styleId="10">
    <w:name w:val="heading 9"/>
    <w:basedOn w:val="1"/>
    <w:next w:val="1"/>
    <w:link w:val="32"/>
    <w:semiHidden/>
    <w:unhideWhenUsed/>
    <w:qFormat/>
    <w:uiPriority w:val="9"/>
    <w:pPr>
      <w:keepNext/>
      <w:keepLines/>
      <w:spacing w:before="240" w:after="64" w:line="320" w:lineRule="auto"/>
      <w:ind w:firstLine="0" w:firstLineChars="0"/>
      <w:outlineLvl w:val="8"/>
    </w:pPr>
    <w:rPr>
      <w:rFonts w:asciiTheme="majorHAnsi" w:hAnsiTheme="majorHAnsi" w:eastAsiaTheme="majorEastAsia" w:cstheme="majorBidi"/>
      <w:sz w:val="21"/>
      <w:szCs w:val="21"/>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Document Map"/>
    <w:basedOn w:val="1"/>
    <w:link w:val="33"/>
    <w:semiHidden/>
    <w:unhideWhenUsed/>
    <w:uiPriority w:val="99"/>
    <w:rPr>
      <w:rFonts w:ascii="宋体"/>
    </w:rPr>
  </w:style>
  <w:style w:type="paragraph" w:styleId="12">
    <w:name w:val="Balloon Text"/>
    <w:basedOn w:val="1"/>
    <w:link w:val="34"/>
    <w:semiHidden/>
    <w:unhideWhenUsed/>
    <w:uiPriority w:val="99"/>
    <w:pPr>
      <w:spacing w:line="240" w:lineRule="auto"/>
    </w:pPr>
    <w:rPr>
      <w:sz w:val="18"/>
      <w:szCs w:val="18"/>
    </w:rPr>
  </w:style>
  <w:style w:type="paragraph" w:styleId="13">
    <w:name w:val="footer"/>
    <w:basedOn w:val="1"/>
    <w:link w:val="20"/>
    <w:unhideWhenUsed/>
    <w:uiPriority w:val="0"/>
    <w:pPr>
      <w:tabs>
        <w:tab w:val="center" w:pos="4153"/>
        <w:tab w:val="right" w:pos="8306"/>
      </w:tabs>
      <w:snapToGrid w:val="0"/>
      <w:jc w:val="left"/>
    </w:pPr>
    <w:rPr>
      <w:sz w:val="18"/>
      <w:szCs w:val="18"/>
    </w:rPr>
  </w:style>
  <w:style w:type="paragraph" w:styleId="14">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Medium Shading 1 Accent 2"/>
    <w:basedOn w:val="15"/>
    <w:semiHidden/>
    <w:unhideWhenUsed/>
    <w:uiPriority w:val="1"/>
    <w:rPr>
      <w:rFonts w:ascii="等线" w:hAnsi="等线" w:eastAsia="等线"/>
      <w:sz w:val="22"/>
    </w:rPr>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character" w:styleId="18">
    <w:name w:val="page number"/>
    <w:basedOn w:val="17"/>
    <w:qFormat/>
    <w:uiPriority w:val="0"/>
  </w:style>
  <w:style w:type="character" w:customStyle="1" w:styleId="19">
    <w:name w:val="页眉 字符"/>
    <w:basedOn w:val="17"/>
    <w:link w:val="14"/>
    <w:qFormat/>
    <w:uiPriority w:val="99"/>
    <w:rPr>
      <w:sz w:val="18"/>
      <w:szCs w:val="18"/>
    </w:rPr>
  </w:style>
  <w:style w:type="character" w:customStyle="1" w:styleId="20">
    <w:name w:val="页脚 字符"/>
    <w:basedOn w:val="17"/>
    <w:link w:val="13"/>
    <w:qFormat/>
    <w:uiPriority w:val="99"/>
    <w:rPr>
      <w:sz w:val="18"/>
      <w:szCs w:val="18"/>
    </w:rPr>
  </w:style>
  <w:style w:type="character" w:customStyle="1" w:styleId="21">
    <w:name w:val="标题 2 字符"/>
    <w:basedOn w:val="17"/>
    <w:link w:val="3"/>
    <w:uiPriority w:val="0"/>
    <w:rPr>
      <w:rFonts w:ascii="Arial" w:hAnsi="Arial" w:eastAsia="黑体" w:cs="Times New Roman"/>
      <w:b/>
      <w:bCs/>
      <w:sz w:val="36"/>
      <w:szCs w:val="32"/>
    </w:rPr>
  </w:style>
  <w:style w:type="paragraph" w:customStyle="1" w:styleId="22">
    <w:name w:val="Char Char Char Char Char Char1 Char"/>
    <w:basedOn w:val="1"/>
    <w:uiPriority w:val="0"/>
    <w:pPr>
      <w:widowControl/>
      <w:spacing w:after="160" w:line="240" w:lineRule="exact"/>
      <w:ind w:firstLine="0" w:firstLineChars="0"/>
      <w:jc w:val="left"/>
    </w:pPr>
    <w:rPr>
      <w:rFonts w:ascii="Verdana" w:hAnsi="Verdana"/>
      <w:kern w:val="0"/>
      <w:sz w:val="21"/>
      <w:szCs w:val="20"/>
      <w:lang w:eastAsia="en-US"/>
    </w:rPr>
  </w:style>
  <w:style w:type="character" w:customStyle="1" w:styleId="23">
    <w:name w:val="中等深浅底纹 1 - 着色 2 字符"/>
    <w:qFormat/>
    <w:uiPriority w:val="1"/>
    <w:rPr>
      <w:rFonts w:ascii="等线" w:hAnsi="等线" w:eastAsia="等线"/>
      <w:sz w:val="22"/>
      <w:szCs w:val="22"/>
    </w:rPr>
  </w:style>
  <w:style w:type="paragraph" w:styleId="24">
    <w:name w:val="List Paragraph"/>
    <w:basedOn w:val="1"/>
    <w:qFormat/>
    <w:uiPriority w:val="34"/>
    <w:pPr>
      <w:ind w:firstLine="420"/>
    </w:pPr>
  </w:style>
  <w:style w:type="character" w:customStyle="1" w:styleId="25">
    <w:name w:val="标题 1 字符"/>
    <w:basedOn w:val="17"/>
    <w:link w:val="2"/>
    <w:uiPriority w:val="9"/>
    <w:rPr>
      <w:b/>
      <w:bCs/>
      <w:kern w:val="44"/>
      <w:sz w:val="44"/>
      <w:szCs w:val="44"/>
    </w:rPr>
  </w:style>
  <w:style w:type="character" w:customStyle="1" w:styleId="26">
    <w:name w:val="标题 3 字符"/>
    <w:basedOn w:val="17"/>
    <w:link w:val="4"/>
    <w:qFormat/>
    <w:uiPriority w:val="9"/>
    <w:rPr>
      <w:b/>
      <w:bCs/>
      <w:sz w:val="32"/>
      <w:szCs w:val="32"/>
    </w:rPr>
  </w:style>
  <w:style w:type="character" w:customStyle="1" w:styleId="27">
    <w:name w:val="标题 4 字符"/>
    <w:basedOn w:val="17"/>
    <w:link w:val="5"/>
    <w:qFormat/>
    <w:uiPriority w:val="9"/>
    <w:rPr>
      <w:rFonts w:asciiTheme="majorHAnsi" w:hAnsiTheme="majorHAnsi" w:eastAsiaTheme="majorEastAsia" w:cstheme="majorBidi"/>
      <w:b/>
      <w:bCs/>
      <w:sz w:val="28"/>
      <w:szCs w:val="28"/>
    </w:rPr>
  </w:style>
  <w:style w:type="character" w:customStyle="1" w:styleId="28">
    <w:name w:val="标题 5 字符"/>
    <w:basedOn w:val="17"/>
    <w:link w:val="6"/>
    <w:semiHidden/>
    <w:qFormat/>
    <w:uiPriority w:val="9"/>
    <w:rPr>
      <w:b/>
      <w:bCs/>
      <w:sz w:val="28"/>
      <w:szCs w:val="28"/>
    </w:rPr>
  </w:style>
  <w:style w:type="character" w:customStyle="1" w:styleId="29">
    <w:name w:val="标题 6 字符"/>
    <w:basedOn w:val="17"/>
    <w:link w:val="7"/>
    <w:semiHidden/>
    <w:qFormat/>
    <w:uiPriority w:val="9"/>
    <w:rPr>
      <w:rFonts w:asciiTheme="majorHAnsi" w:hAnsiTheme="majorHAnsi" w:eastAsiaTheme="majorEastAsia" w:cstheme="majorBidi"/>
      <w:b/>
      <w:bCs/>
      <w:sz w:val="24"/>
      <w:szCs w:val="24"/>
    </w:rPr>
  </w:style>
  <w:style w:type="character" w:customStyle="1" w:styleId="30">
    <w:name w:val="标题 7 字符"/>
    <w:basedOn w:val="17"/>
    <w:link w:val="8"/>
    <w:semiHidden/>
    <w:qFormat/>
    <w:uiPriority w:val="9"/>
    <w:rPr>
      <w:b/>
      <w:bCs/>
      <w:sz w:val="24"/>
      <w:szCs w:val="24"/>
    </w:rPr>
  </w:style>
  <w:style w:type="character" w:customStyle="1" w:styleId="31">
    <w:name w:val="标题 8 字符"/>
    <w:basedOn w:val="17"/>
    <w:link w:val="9"/>
    <w:semiHidden/>
    <w:uiPriority w:val="9"/>
    <w:rPr>
      <w:rFonts w:asciiTheme="majorHAnsi" w:hAnsiTheme="majorHAnsi" w:eastAsiaTheme="majorEastAsia" w:cstheme="majorBidi"/>
      <w:sz w:val="24"/>
      <w:szCs w:val="24"/>
    </w:rPr>
  </w:style>
  <w:style w:type="character" w:customStyle="1" w:styleId="32">
    <w:name w:val="标题 9 字符"/>
    <w:basedOn w:val="17"/>
    <w:link w:val="10"/>
    <w:semiHidden/>
    <w:qFormat/>
    <w:uiPriority w:val="9"/>
    <w:rPr>
      <w:rFonts w:asciiTheme="majorHAnsi" w:hAnsiTheme="majorHAnsi" w:eastAsiaTheme="majorEastAsia" w:cstheme="majorBidi"/>
      <w:szCs w:val="21"/>
    </w:rPr>
  </w:style>
  <w:style w:type="character" w:customStyle="1" w:styleId="33">
    <w:name w:val="文档结构图 字符"/>
    <w:basedOn w:val="17"/>
    <w:link w:val="11"/>
    <w:semiHidden/>
    <w:uiPriority w:val="99"/>
    <w:rPr>
      <w:rFonts w:ascii="宋体" w:hAnsi="Times New Roman" w:eastAsia="宋体" w:cs="Times New Roman"/>
      <w:sz w:val="24"/>
      <w:szCs w:val="24"/>
    </w:rPr>
  </w:style>
  <w:style w:type="character" w:customStyle="1" w:styleId="34">
    <w:name w:val="批注框文本 字符"/>
    <w:basedOn w:val="17"/>
    <w:link w:val="12"/>
    <w:semiHidden/>
    <w:qFormat/>
    <w:uiPriority w:val="99"/>
    <w:rPr>
      <w:rFonts w:ascii="Times New Roman" w:hAnsi="Times New Roman" w:eastAsia="宋体" w:cs="Times New Roman"/>
      <w:sz w:val="18"/>
      <w:szCs w:val="18"/>
    </w:rPr>
  </w:style>
  <w:style w:type="paragraph" w:customStyle="1" w:styleId="35">
    <w:name w:val="列出段落3"/>
    <w:basedOn w:val="1"/>
    <w:qFormat/>
    <w:uiPriority w:val="34"/>
    <w:pPr>
      <w:spacing w:line="400" w:lineRule="exact"/>
      <w:ind w:firstLine="420"/>
    </w:pPr>
    <w:rPr>
      <w:rFonts w:ascii="微软雅黑" w:hAnsi="微软雅黑" w:eastAsia="微软雅黑"/>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830</Words>
  <Characters>850</Characters>
  <Lines>6</Lines>
  <Paragraphs>1</Paragraphs>
  <TotalTime>22</TotalTime>
  <ScaleCrop>false</ScaleCrop>
  <LinksUpToDate>false</LinksUpToDate>
  <CharactersWithSpaces>852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2023-04-05T11:27:00Z</dcterms:created>
  <dc:creator>Administrator</dc:creator>
  <cp:lastModifiedBy>仲杰</cp:lastModifiedBy>
  <dcterms:modified xsi:type="dcterms:W3CDTF">2023-04-23T02:14:42Z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DF6608AA6ADD430C999C33DDA39938F8</vt:lpwstr>
  </property>
</Properties>
</file>