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</w:rPr>
              <w:t xml:space="preserve">  </w:t>
            </w:r>
            <w:r>
              <w:rPr>
                <w:rFonts w:hint="eastAsia" w:hAnsi="宋体" w:cs="宋体"/>
                <w:sz w:val="24"/>
              </w:rPr>
              <w:t>上海海事大学体育馆二楼平台伸缩缝防水维修工程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995"/>
        <w:gridCol w:w="1418"/>
        <w:gridCol w:w="143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项目内容特征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伸缩缝防水修缮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拆除，垃圾清运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防水修复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面层修复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具体防水修缮工艺由投标单位根据现场情况及规范深化自报，但不得低于参考方案；伸缩缝面层材料品种规格：和原有一致；压条材料种类：配套压条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158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详细工艺需在报价文件中写明，否则视为无实际响应。如何参考工艺相差较大的，需注明原因。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="120" w:beforeLines="50" w:after="12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上海海事大学体育馆二楼平台伸缩缝防水维修工程报价表格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ED7E78"/>
    <w:multiLevelType w:val="multilevel"/>
    <w:tmpl w:val="09ED7E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4D5FC5"/>
    <w:rsid w:val="005531C2"/>
    <w:rsid w:val="00704E1F"/>
    <w:rsid w:val="00717A6E"/>
    <w:rsid w:val="00907E42"/>
    <w:rsid w:val="00976D43"/>
    <w:rsid w:val="009E511C"/>
    <w:rsid w:val="00A21334"/>
    <w:rsid w:val="00A357DC"/>
    <w:rsid w:val="00BE467C"/>
    <w:rsid w:val="00C00156"/>
    <w:rsid w:val="00C150C2"/>
    <w:rsid w:val="00C96B78"/>
    <w:rsid w:val="00EA123C"/>
    <w:rsid w:val="00F13833"/>
    <w:rsid w:val="00F46872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8C163E3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363</Words>
  <Characters>2072</Characters>
  <Lines>17</Lines>
  <Paragraphs>4</Paragraphs>
  <TotalTime>14</TotalTime>
  <ScaleCrop>false</ScaleCrop>
  <LinksUpToDate>false</LinksUpToDate>
  <CharactersWithSpaces>2431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2019-03-26T01:16:00Z</cp:lastPrinted>
  <dcterms:modified xsi:type="dcterms:W3CDTF">2020-05-18T02:29:18Z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