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C6A561">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05F143FD">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C29A4C3">
      <w:pPr>
        <w:jc w:val="center"/>
        <w:rPr>
          <w:rFonts w:hint="eastAsia" w:ascii="方正兰亭黑简体" w:hAnsi="方正兰亭黑简体" w:eastAsia="方正兰亭黑简体" w:cs="方正兰亭黑简体"/>
          <w:b/>
          <w:bCs/>
          <w:color w:val="auto"/>
          <w:sz w:val="28"/>
          <w:szCs w:val="36"/>
          <w:highlight w:val="none"/>
          <w:lang w:val="en-US" w:eastAsia="zh-CN"/>
        </w:rPr>
      </w:pPr>
    </w:p>
    <w:p w14:paraId="75D3CC17">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生物矿化膜可控制备箱采购项目</w:t>
      </w:r>
    </w:p>
    <w:p w14:paraId="3A6F3C59">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比选文件</w:t>
      </w:r>
    </w:p>
    <w:p w14:paraId="746E0DD5">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7F5B1C2D">
      <w:pPr>
        <w:jc w:val="center"/>
        <w:rPr>
          <w:rFonts w:hint="default" w:ascii="方正兰亭黑简体" w:hAnsi="方正兰亭黑简体" w:eastAsia="方正兰亭黑简体" w:cs="方正兰亭黑简体"/>
          <w:b/>
          <w:bCs/>
          <w:color w:val="auto"/>
          <w:sz w:val="28"/>
          <w:szCs w:val="28"/>
          <w:highlight w:val="none"/>
          <w:lang w:val="en-US" w:eastAsia="zh-CN"/>
        </w:rPr>
      </w:pPr>
    </w:p>
    <w:p w14:paraId="0B84232F">
      <w:pPr>
        <w:jc w:val="center"/>
        <w:rPr>
          <w:rFonts w:hint="default" w:ascii="方正兰亭黑简体" w:hAnsi="方正兰亭黑简体" w:eastAsia="方正兰亭黑简体" w:cs="方正兰亭黑简体"/>
          <w:b/>
          <w:bCs/>
          <w:color w:val="auto"/>
          <w:sz w:val="28"/>
          <w:szCs w:val="28"/>
          <w:highlight w:val="none"/>
          <w:lang w:val="en-US" w:eastAsia="zh-CN"/>
        </w:rPr>
      </w:pPr>
      <w:r>
        <w:rPr>
          <w:rFonts w:hint="eastAsia" w:ascii="方正兰亭黑简体" w:hAnsi="方正兰亭黑简体" w:eastAsia="方正兰亭黑简体" w:cs="方正兰亭黑简体"/>
          <w:b/>
          <w:bCs/>
          <w:color w:val="auto"/>
          <w:sz w:val="28"/>
          <w:szCs w:val="28"/>
          <w:highlight w:val="none"/>
          <w:lang w:val="en-US" w:eastAsia="zh-CN"/>
        </w:rPr>
        <w:t>项目编号：</w:t>
      </w:r>
      <w:r>
        <w:rPr>
          <w:rFonts w:hint="eastAsia" w:ascii="方正兰亭黑简体" w:hAnsi="方正兰亭黑简体" w:eastAsia="方正兰亭黑简体" w:cs="方正兰亭黑简体"/>
          <w:color w:val="auto"/>
          <w:sz w:val="28"/>
          <w:szCs w:val="28"/>
          <w:highlight w:val="none"/>
          <w:lang w:val="en-US" w:eastAsia="zh-CN"/>
        </w:rPr>
        <w:t>HFBX2026054</w:t>
      </w:r>
    </w:p>
    <w:p w14:paraId="43E1A51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564BAA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CBECD87">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77AEA8DD">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AFBFE6C">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18A2CE08">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69F671C1">
      <w:pPr>
        <w:jc w:val="center"/>
        <w:rPr>
          <w:rFonts w:hint="default" w:ascii="方正兰亭黑简体" w:hAnsi="方正兰亭黑简体" w:eastAsia="方正兰亭黑简体" w:cs="方正兰亭黑简体"/>
          <w:b/>
          <w:bCs/>
          <w:color w:val="auto"/>
          <w:sz w:val="24"/>
          <w:szCs w:val="32"/>
          <w:highlight w:val="none"/>
          <w:lang w:val="en-US" w:eastAsia="zh-CN"/>
        </w:rPr>
      </w:pPr>
    </w:p>
    <w:p w14:paraId="0E2559B5">
      <w:pPr>
        <w:jc w:val="cente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采购人：上海海事大学</w:t>
      </w:r>
    </w:p>
    <w:p w14:paraId="64BB9721">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二〇二六年</w:t>
      </w:r>
      <w:r>
        <w:rPr>
          <w:rFonts w:hint="eastAsia" w:ascii="方正兰亭黑简体" w:hAnsi="方正兰亭黑简体" w:eastAsia="方正兰亭黑简体" w:cs="方正兰亭黑简体"/>
          <w:b/>
          <w:bCs/>
          <w:color w:val="auto"/>
          <w:sz w:val="24"/>
          <w:szCs w:val="32"/>
          <w:highlight w:val="none"/>
          <w:lang w:val="en-US" w:eastAsia="zh-CN"/>
        </w:rPr>
        <w:t>六</w:t>
      </w:r>
      <w:r>
        <w:rPr>
          <w:rFonts w:hint="eastAsia" w:ascii="方正兰亭黑简体" w:hAnsi="方正兰亭黑简体" w:eastAsia="方正兰亭黑简体" w:cs="方正兰亭黑简体"/>
          <w:b/>
          <w:bCs/>
          <w:color w:val="auto"/>
          <w:sz w:val="24"/>
          <w:szCs w:val="32"/>
          <w:highlight w:val="none"/>
          <w:lang w:val="en-US" w:eastAsia="zh-CN"/>
        </w:rPr>
        <w:t>月</w:t>
      </w:r>
    </w:p>
    <w:p w14:paraId="4258C5C0">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5637B82A">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第一章 比选公告</w:t>
      </w:r>
    </w:p>
    <w:p w14:paraId="54E46ED1">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为公开、公正、公平地做好各项货物与服务的采购工作，进一步提高采购过程的透明度，有利于我校选择性价比更高的产品及更优质的服务，欢迎各供应单位本着务实友好的工作态度，积极参与，并做好成本核算，进行一次性报价。我校将本着公开、公正、公平的工作原则，对各供应单位所提供的资料，进行综合评议，择优选购。为确保本次比选采购项目采购工作的顺利开展，请各报价单位按照下述要求提供报价单等相关资料。具体要求及相关注意事项如下：</w:t>
      </w:r>
    </w:p>
    <w:p w14:paraId="5694D68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一、项目基本情况</w:t>
      </w:r>
    </w:p>
    <w:p w14:paraId="6ED9240D">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项目编号：</w:t>
      </w:r>
      <w:r>
        <w:rPr>
          <w:rFonts w:hint="eastAsia" w:ascii="方正兰亭黑简体" w:hAnsi="方正兰亭黑简体" w:eastAsia="方正兰亭黑简体" w:cs="方正兰亭黑简体"/>
          <w:color w:val="auto"/>
          <w:sz w:val="22"/>
          <w:szCs w:val="28"/>
          <w:highlight w:val="none"/>
          <w:lang w:val="en-US" w:eastAsia="zh-CN"/>
        </w:rPr>
        <w:t>HFBX2026054</w:t>
      </w:r>
      <w:r>
        <w:rPr>
          <w:rFonts w:hint="eastAsia" w:ascii="方正兰亭黑简体" w:hAnsi="方正兰亭黑简体" w:eastAsia="方正兰亭黑简体" w:cs="方正兰亭黑简体"/>
          <w:color w:val="auto"/>
          <w:sz w:val="22"/>
          <w:szCs w:val="28"/>
          <w:highlight w:val="none"/>
          <w:lang w:val="en-US" w:eastAsia="zh-CN"/>
        </w:rPr>
        <w:t>；</w:t>
      </w:r>
    </w:p>
    <w:p w14:paraId="40680CD9">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项目名称：</w:t>
      </w:r>
      <w:r>
        <w:rPr>
          <w:rFonts w:hint="eastAsia" w:ascii="方正兰亭黑简体" w:hAnsi="方正兰亭黑简体" w:eastAsia="方正兰亭黑简体" w:cs="方正兰亭黑简体"/>
          <w:color w:val="auto"/>
          <w:sz w:val="22"/>
          <w:szCs w:val="28"/>
          <w:highlight w:val="none"/>
          <w:lang w:val="en-US" w:eastAsia="zh-CN"/>
        </w:rPr>
        <w:t>生物矿化膜可控制备箱采购项目</w:t>
      </w:r>
      <w:r>
        <w:rPr>
          <w:rFonts w:hint="eastAsia" w:ascii="方正兰亭黑简体" w:hAnsi="方正兰亭黑简体" w:eastAsia="方正兰亭黑简体" w:cs="方正兰亭黑简体"/>
          <w:color w:val="auto"/>
          <w:sz w:val="22"/>
          <w:szCs w:val="28"/>
          <w:highlight w:val="none"/>
          <w:lang w:val="en-US" w:eastAsia="zh-CN"/>
        </w:rPr>
        <w:t>；</w:t>
      </w:r>
    </w:p>
    <w:p w14:paraId="49D3EF92">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采购方式：</w:t>
      </w:r>
      <w:r>
        <w:rPr>
          <w:rFonts w:hint="eastAsia" w:ascii="方正兰亭黑简体" w:hAnsi="方正兰亭黑简体" w:eastAsia="方正兰亭黑简体" w:cs="方正兰亭黑简体"/>
          <w:color w:val="auto"/>
          <w:sz w:val="22"/>
          <w:szCs w:val="28"/>
          <w:highlight w:val="none"/>
          <w:lang w:val="en-US" w:eastAsia="zh-CN"/>
        </w:rPr>
        <w:t>学校</w:t>
      </w:r>
      <w:r>
        <w:rPr>
          <w:rFonts w:hint="eastAsia" w:ascii="方正兰亭黑简体" w:hAnsi="方正兰亭黑简体" w:eastAsia="方正兰亭黑简体" w:cs="方正兰亭黑简体"/>
          <w:color w:val="auto"/>
          <w:sz w:val="22"/>
          <w:szCs w:val="28"/>
          <w:highlight w:val="none"/>
        </w:rPr>
        <w:t>比选</w:t>
      </w:r>
      <w:r>
        <w:rPr>
          <w:rFonts w:hint="eastAsia" w:ascii="方正兰亭黑简体" w:hAnsi="方正兰亭黑简体" w:eastAsia="方正兰亭黑简体" w:cs="方正兰亭黑简体"/>
          <w:color w:val="auto"/>
          <w:sz w:val="22"/>
          <w:szCs w:val="28"/>
          <w:highlight w:val="none"/>
          <w:lang w:eastAsia="zh-CN"/>
        </w:rPr>
        <w:t>；</w:t>
      </w:r>
    </w:p>
    <w:p w14:paraId="11D14FF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预算金额（亦是最高限价）：</w:t>
      </w:r>
      <w:r>
        <w:rPr>
          <w:rFonts w:hint="eastAsia" w:ascii="方正兰亭黑简体" w:hAnsi="方正兰亭黑简体" w:eastAsia="方正兰亭黑简体" w:cs="方正兰亭黑简体"/>
          <w:color w:val="auto"/>
          <w:sz w:val="22"/>
          <w:szCs w:val="28"/>
          <w:highlight w:val="none"/>
        </w:rPr>
        <w:t>人民币</w:t>
      </w:r>
      <w:r>
        <w:rPr>
          <w:rFonts w:hint="eastAsia" w:ascii="方正兰亭黑简体" w:hAnsi="方正兰亭黑简体" w:eastAsia="方正兰亭黑简体" w:cs="方正兰亭黑简体"/>
          <w:color w:val="auto"/>
          <w:sz w:val="22"/>
          <w:szCs w:val="28"/>
          <w:highlight w:val="none"/>
          <w:lang w:val="en-US" w:eastAsia="zh-CN"/>
        </w:rPr>
        <w:t>19.99</w:t>
      </w:r>
      <w:r>
        <w:rPr>
          <w:rFonts w:hint="eastAsia" w:ascii="方正兰亭黑简体" w:hAnsi="方正兰亭黑简体" w:eastAsia="方正兰亭黑简体" w:cs="方正兰亭黑简体"/>
          <w:color w:val="auto"/>
          <w:sz w:val="22"/>
          <w:szCs w:val="28"/>
          <w:highlight w:val="none"/>
        </w:rPr>
        <w:t>万元</w:t>
      </w:r>
      <w:r>
        <w:rPr>
          <w:rFonts w:hint="eastAsia" w:ascii="方正兰亭黑简体" w:hAnsi="方正兰亭黑简体" w:eastAsia="方正兰亭黑简体" w:cs="方正兰亭黑简体"/>
          <w:color w:val="auto"/>
          <w:sz w:val="22"/>
          <w:szCs w:val="28"/>
          <w:highlight w:val="none"/>
          <w:lang w:eastAsia="zh-CN"/>
        </w:rPr>
        <w:t>；</w:t>
      </w:r>
    </w:p>
    <w:p w14:paraId="192657F0">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采购需求：</w:t>
      </w:r>
      <w:r>
        <w:rPr>
          <w:rFonts w:hint="eastAsia" w:ascii="方正兰亭黑简体" w:hAnsi="方正兰亭黑简体" w:eastAsia="方正兰亭黑简体" w:cs="方正兰亭黑简体"/>
          <w:color w:val="auto"/>
          <w:sz w:val="22"/>
          <w:szCs w:val="28"/>
          <w:highlight w:val="none"/>
          <w:lang w:val="en-US" w:eastAsia="zh-CN"/>
        </w:rPr>
        <w:t>本项目需采购1台生物矿化膜可控制备箱用于可控的微生物矿化膜制备工艺研究。</w:t>
      </w:r>
      <w:r>
        <w:rPr>
          <w:rFonts w:hint="eastAsia" w:ascii="方正兰亭黑简体" w:hAnsi="方正兰亭黑简体" w:eastAsia="方正兰亭黑简体" w:cs="方正兰亭黑简体"/>
          <w:color w:val="auto"/>
          <w:sz w:val="22"/>
          <w:szCs w:val="28"/>
          <w:highlight w:val="none"/>
          <w:lang w:val="en-US" w:eastAsia="zh-CN"/>
        </w:rPr>
        <w:t>（具体</w:t>
      </w:r>
      <w:r>
        <w:rPr>
          <w:rFonts w:hint="eastAsia" w:ascii="方正兰亭黑简体" w:hAnsi="方正兰亭黑简体" w:eastAsia="方正兰亭黑简体" w:cs="方正兰亭黑简体"/>
          <w:color w:val="auto"/>
          <w:sz w:val="22"/>
          <w:szCs w:val="28"/>
          <w:highlight w:val="none"/>
        </w:rPr>
        <w:t>要求详见比选文件—第二</w:t>
      </w:r>
      <w:r>
        <w:rPr>
          <w:rFonts w:hint="eastAsia" w:ascii="方正兰亭黑简体" w:hAnsi="方正兰亭黑简体" w:eastAsia="方正兰亭黑简体" w:cs="方正兰亭黑简体"/>
          <w:color w:val="auto"/>
          <w:sz w:val="22"/>
          <w:szCs w:val="28"/>
          <w:highlight w:val="none"/>
          <w:lang w:val="en-US" w:eastAsia="zh-CN"/>
        </w:rPr>
        <w:t>章节</w:t>
      </w:r>
      <w:r>
        <w:rPr>
          <w:rFonts w:hint="eastAsia" w:ascii="方正兰亭黑简体" w:hAnsi="方正兰亭黑简体" w:eastAsia="方正兰亭黑简体" w:cs="方正兰亭黑简体"/>
          <w:color w:val="auto"/>
          <w:sz w:val="22"/>
          <w:szCs w:val="28"/>
          <w:highlight w:val="none"/>
        </w:rPr>
        <w:t>采购需求）</w:t>
      </w:r>
    </w:p>
    <w:p w14:paraId="07A4D9AA">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交付地址：上海市海港大道1550号。</w:t>
      </w:r>
    </w:p>
    <w:p w14:paraId="78083A22">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交付时间：合同签署后45天内完成设备交付、安装及调试。</w:t>
      </w:r>
    </w:p>
    <w:p w14:paraId="52623BFF">
      <w:pPr>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质保时间：提供不少于1年的免费质保服务。</w:t>
      </w:r>
    </w:p>
    <w:p w14:paraId="27BDE804">
      <w:pPr>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付款方式：</w:t>
      </w:r>
      <w:r>
        <w:rPr>
          <w:rFonts w:hint="eastAsia" w:ascii="方正兰亭黑简体" w:hAnsi="方正兰亭黑简体" w:eastAsia="方正兰亭黑简体" w:cs="方正兰亭黑简体"/>
          <w:color w:val="auto"/>
          <w:sz w:val="22"/>
          <w:szCs w:val="28"/>
          <w:highlight w:val="none"/>
          <w:lang w:val="en-US" w:eastAsia="zh-CN"/>
        </w:rPr>
        <w:t>货到</w:t>
      </w:r>
      <w:r>
        <w:rPr>
          <w:rFonts w:hint="eastAsia" w:ascii="方正兰亭黑简体" w:hAnsi="方正兰亭黑简体" w:eastAsia="方正兰亭黑简体" w:cs="方正兰亭黑简体"/>
          <w:color w:val="auto"/>
          <w:sz w:val="22"/>
          <w:szCs w:val="28"/>
          <w:highlight w:val="none"/>
        </w:rPr>
        <w:t>经甲方验收合格后</w:t>
      </w:r>
      <w:r>
        <w:rPr>
          <w:rFonts w:hint="eastAsia" w:ascii="方正兰亭黑简体" w:hAnsi="方正兰亭黑简体" w:eastAsia="方正兰亭黑简体" w:cs="方正兰亭黑简体"/>
          <w:color w:val="auto"/>
          <w:sz w:val="22"/>
          <w:szCs w:val="28"/>
          <w:highlight w:val="none"/>
          <w:lang w:val="en-US" w:eastAsia="zh-CN"/>
        </w:rPr>
        <w:t>的30日内</w:t>
      </w:r>
      <w:r>
        <w:rPr>
          <w:rFonts w:hint="eastAsia" w:ascii="方正兰亭黑简体" w:hAnsi="方正兰亭黑简体" w:eastAsia="方正兰亭黑简体" w:cs="方正兰亭黑简体"/>
          <w:color w:val="auto"/>
          <w:sz w:val="22"/>
          <w:szCs w:val="28"/>
          <w:highlight w:val="none"/>
        </w:rPr>
        <w:t>，</w:t>
      </w:r>
      <w:r>
        <w:rPr>
          <w:rFonts w:hint="eastAsia" w:ascii="方正兰亭黑简体" w:hAnsi="方正兰亭黑简体" w:eastAsia="方正兰亭黑简体" w:cs="方正兰亭黑简体"/>
          <w:color w:val="auto"/>
          <w:sz w:val="22"/>
          <w:szCs w:val="28"/>
          <w:highlight w:val="none"/>
          <w:lang w:val="en-US" w:eastAsia="zh-CN"/>
        </w:rPr>
        <w:t>甲方支付合同全款</w:t>
      </w:r>
      <w:r>
        <w:rPr>
          <w:rFonts w:hint="eastAsia" w:ascii="方正兰亭黑简体" w:hAnsi="方正兰亭黑简体" w:eastAsia="方正兰亭黑简体" w:cs="方正兰亭黑简体"/>
          <w:color w:val="auto"/>
          <w:sz w:val="22"/>
          <w:szCs w:val="28"/>
          <w:highlight w:val="none"/>
        </w:rPr>
        <w:t>。合同内全部款项均以“银行转账”方式予以支付。</w:t>
      </w:r>
    </w:p>
    <w:p w14:paraId="41BEA8D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二、</w:t>
      </w:r>
      <w:r>
        <w:rPr>
          <w:rFonts w:hint="eastAsia" w:ascii="方正兰亭黑简体" w:hAnsi="方正兰亭黑简体" w:eastAsia="方正兰亭黑简体" w:cs="方正兰亭黑简体"/>
          <w:b/>
          <w:bCs/>
          <w:color w:val="auto"/>
          <w:sz w:val="22"/>
          <w:szCs w:val="28"/>
          <w:highlight w:val="none"/>
          <w:lang w:val="en-US" w:eastAsia="zh-CN"/>
        </w:rPr>
        <w:t>报价</w:t>
      </w:r>
      <w:r>
        <w:rPr>
          <w:rFonts w:hint="eastAsia" w:ascii="方正兰亭黑简体" w:hAnsi="方正兰亭黑简体" w:eastAsia="方正兰亭黑简体" w:cs="方正兰亭黑简体"/>
          <w:b/>
          <w:bCs/>
          <w:color w:val="auto"/>
          <w:sz w:val="22"/>
          <w:szCs w:val="28"/>
          <w:highlight w:val="none"/>
        </w:rPr>
        <w:t>人的资格要求</w:t>
      </w:r>
    </w:p>
    <w:p w14:paraId="022E876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1、符合</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中华人民共和国</w:t>
      </w:r>
      <w:r>
        <w:rPr>
          <w:rFonts w:hint="eastAsia" w:ascii="方正兰亭黑简体" w:hAnsi="方正兰亭黑简体" w:eastAsia="方正兰亭黑简体" w:cs="方正兰亭黑简体"/>
          <w:color w:val="auto"/>
          <w:sz w:val="22"/>
          <w:szCs w:val="28"/>
          <w:highlight w:val="none"/>
        </w:rPr>
        <w:t>政府采购法</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rPr>
        <w:t>第二十二条之供应商资格规定。</w:t>
      </w:r>
    </w:p>
    <w:p w14:paraId="6441606B">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2、供应商未被列入“信用中国”网站（www.creditchina.gov.cn）失信执行人名单、重大税收违法案件当事人名单和中国政府采购网（www.ccgp.gov.cn）政府</w:t>
      </w:r>
      <w:r>
        <w:rPr>
          <w:rFonts w:hint="eastAsia" w:ascii="方正兰亭黑简体" w:hAnsi="方正兰亭黑简体" w:eastAsia="方正兰亭黑简体" w:cs="方正兰亭黑简体"/>
          <w:color w:val="auto"/>
          <w:sz w:val="22"/>
          <w:szCs w:val="28"/>
          <w:highlight w:val="none"/>
          <w:lang w:val="en-US" w:eastAsia="zh-CN"/>
        </w:rPr>
        <w:t>采购</w:t>
      </w:r>
      <w:r>
        <w:rPr>
          <w:rFonts w:hint="eastAsia" w:ascii="方正兰亭黑简体" w:hAnsi="方正兰亭黑简体" w:eastAsia="方正兰亭黑简体" w:cs="方正兰亭黑简体"/>
          <w:color w:val="auto"/>
          <w:sz w:val="22"/>
          <w:szCs w:val="28"/>
          <w:highlight w:val="none"/>
        </w:rPr>
        <w:t>严重违法失信行为记录名单的供应商。</w:t>
      </w:r>
    </w:p>
    <w:p w14:paraId="3A3BF07A">
      <w:pPr>
        <w:jc w:val="left"/>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3、</w:t>
      </w:r>
      <w:r>
        <w:rPr>
          <w:rFonts w:hint="eastAsia" w:ascii="方正兰亭黑简体" w:hAnsi="方正兰亭黑简体" w:eastAsia="方正兰亭黑简体" w:cs="方正兰亭黑简体"/>
          <w:color w:val="auto"/>
          <w:sz w:val="22"/>
          <w:szCs w:val="28"/>
          <w:highlight w:val="none"/>
        </w:rPr>
        <w:t>经营范围及拟投标货物（服务）符合本次比选要求，具有与本次投标货物（服务）相应的经营、代理（经销）资质，能全程参与并完成本项目，且具有较强的服务能力，以及畅通的问题响应机制和渠道等；</w:t>
      </w:r>
    </w:p>
    <w:p w14:paraId="3710B34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rPr>
        <w:t>三、报名</w:t>
      </w:r>
      <w:r>
        <w:rPr>
          <w:rFonts w:hint="eastAsia" w:ascii="方正兰亭黑简体" w:hAnsi="方正兰亭黑简体" w:eastAsia="方正兰亭黑简体" w:cs="方正兰亭黑简体"/>
          <w:b/>
          <w:bCs/>
          <w:color w:val="auto"/>
          <w:sz w:val="22"/>
          <w:szCs w:val="28"/>
          <w:highlight w:val="none"/>
          <w:lang w:val="en-US" w:eastAsia="zh-CN"/>
        </w:rPr>
        <w:t>要求</w:t>
      </w:r>
    </w:p>
    <w:p w14:paraId="04917284">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报名邮箱、时间：不单独组织报名，意向单位可在截止日期前递交响应文件。</w:t>
      </w:r>
    </w:p>
    <w:p w14:paraId="24CD6CDE">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rPr>
        <w:t>四、获取采购文件</w:t>
      </w:r>
    </w:p>
    <w:p w14:paraId="5050A6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获取方式：公告页面</w:t>
      </w:r>
      <w:r>
        <w:rPr>
          <w:rFonts w:hint="eastAsia" w:ascii="方正兰亭黑简体" w:hAnsi="方正兰亭黑简体" w:eastAsia="方正兰亭黑简体" w:cs="方正兰亭黑简体"/>
          <w:color w:val="auto"/>
          <w:sz w:val="22"/>
          <w:szCs w:val="28"/>
          <w:highlight w:val="none"/>
          <w:lang w:val="en-US" w:eastAsia="zh-CN"/>
        </w:rPr>
        <w:t>下方自行</w:t>
      </w:r>
      <w:r>
        <w:rPr>
          <w:rFonts w:hint="eastAsia" w:ascii="方正兰亭黑简体" w:hAnsi="方正兰亭黑简体" w:eastAsia="方正兰亭黑简体" w:cs="方正兰亭黑简体"/>
          <w:color w:val="auto"/>
          <w:sz w:val="22"/>
          <w:szCs w:val="28"/>
          <w:highlight w:val="none"/>
        </w:rPr>
        <w:t>下载</w:t>
      </w:r>
    </w:p>
    <w:p w14:paraId="4D745344">
      <w:pPr>
        <w:jc w:val="left"/>
        <w:rPr>
          <w:rFonts w:hint="eastAsia" w:ascii="方正兰亭黑简体" w:hAnsi="方正兰亭黑简体" w:eastAsia="方正兰亭黑简体" w:cs="方正兰亭黑简体"/>
          <w:b/>
          <w:bCs/>
          <w:color w:val="auto"/>
          <w:sz w:val="22"/>
          <w:szCs w:val="28"/>
          <w:highlight w:val="none"/>
        </w:rPr>
      </w:pPr>
      <w:bookmarkStart w:id="0" w:name="_Toc28359005"/>
      <w:r>
        <w:rPr>
          <w:rFonts w:hint="eastAsia" w:ascii="方正兰亭黑简体" w:hAnsi="方正兰亭黑简体" w:eastAsia="方正兰亭黑简体" w:cs="方正兰亭黑简体"/>
          <w:b/>
          <w:bCs/>
          <w:color w:val="auto"/>
          <w:sz w:val="22"/>
          <w:szCs w:val="28"/>
          <w:highlight w:val="none"/>
        </w:rPr>
        <w:t>五、现场踏勘</w:t>
      </w:r>
      <w:bookmarkEnd w:id="0"/>
    </w:p>
    <w:p w14:paraId="2C262256">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不组织。</w:t>
      </w:r>
    </w:p>
    <w:p w14:paraId="213C8131">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六</w:t>
      </w:r>
      <w:r>
        <w:rPr>
          <w:rFonts w:hint="eastAsia" w:ascii="方正兰亭黑简体" w:hAnsi="方正兰亭黑简体" w:eastAsia="方正兰亭黑简体" w:cs="方正兰亭黑简体"/>
          <w:b/>
          <w:bCs/>
          <w:color w:val="auto"/>
          <w:sz w:val="22"/>
          <w:szCs w:val="28"/>
          <w:highlight w:val="none"/>
        </w:rPr>
        <w:t>、响应文件提交</w:t>
      </w:r>
    </w:p>
    <w:p w14:paraId="231DF229">
      <w:pPr>
        <w:jc w:val="left"/>
        <w:rPr>
          <w:rFonts w:hint="eastAsia" w:ascii="方正兰亭黑简体" w:hAnsi="方正兰亭黑简体" w:eastAsia="方正兰亭黑简体" w:cs="方正兰亭黑简体"/>
          <w:color w:val="auto"/>
          <w:sz w:val="22"/>
          <w:szCs w:val="28"/>
          <w:highlight w:val="none"/>
          <w:lang w:eastAsia="zh-CN"/>
        </w:rPr>
      </w:pPr>
      <w:bookmarkStart w:id="1" w:name="_Toc35393795"/>
      <w:bookmarkEnd w:id="1"/>
      <w:bookmarkStart w:id="2" w:name="_Toc35393626"/>
      <w:r>
        <w:rPr>
          <w:rFonts w:hint="eastAsia" w:ascii="方正兰亭黑简体" w:hAnsi="方正兰亭黑简体" w:eastAsia="方正兰亭黑简体" w:cs="方正兰亭黑简体"/>
          <w:color w:val="auto"/>
          <w:sz w:val="22"/>
          <w:szCs w:val="28"/>
          <w:highlight w:val="none"/>
        </w:rPr>
        <w:t>截止</w:t>
      </w:r>
      <w:bookmarkEnd w:id="2"/>
      <w:r>
        <w:rPr>
          <w:rFonts w:hint="eastAsia" w:ascii="方正兰亭黑简体" w:hAnsi="方正兰亭黑简体" w:eastAsia="方正兰亭黑简体" w:cs="方正兰亭黑简体"/>
          <w:color w:val="auto"/>
          <w:sz w:val="22"/>
          <w:szCs w:val="28"/>
          <w:highlight w:val="none"/>
        </w:rPr>
        <w:t>时间：202</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年</w:t>
      </w:r>
      <w:r>
        <w:rPr>
          <w:rFonts w:hint="eastAsia" w:ascii="方正兰亭黑简体" w:hAnsi="方正兰亭黑简体" w:eastAsia="方正兰亭黑简体" w:cs="方正兰亭黑简体"/>
          <w:color w:val="auto"/>
          <w:sz w:val="22"/>
          <w:szCs w:val="28"/>
          <w:highlight w:val="none"/>
          <w:lang w:val="en-US" w:eastAsia="zh-CN"/>
        </w:rPr>
        <w:t>6</w:t>
      </w:r>
      <w:r>
        <w:rPr>
          <w:rFonts w:hint="eastAsia" w:ascii="方正兰亭黑简体" w:hAnsi="方正兰亭黑简体" w:eastAsia="方正兰亭黑简体" w:cs="方正兰亭黑简体"/>
          <w:color w:val="auto"/>
          <w:sz w:val="22"/>
          <w:szCs w:val="28"/>
          <w:highlight w:val="none"/>
        </w:rPr>
        <w:t>月</w:t>
      </w:r>
      <w:r>
        <w:rPr>
          <w:rFonts w:hint="eastAsia" w:ascii="方正兰亭黑简体" w:hAnsi="方正兰亭黑简体" w:eastAsia="方正兰亭黑简体" w:cs="方正兰亭黑简体"/>
          <w:color w:val="auto"/>
          <w:sz w:val="22"/>
          <w:szCs w:val="28"/>
          <w:highlight w:val="none"/>
          <w:lang w:val="en-US" w:eastAsia="zh-CN"/>
        </w:rPr>
        <w:t>29</w:t>
      </w:r>
      <w:r>
        <w:rPr>
          <w:rFonts w:hint="eastAsia" w:ascii="方正兰亭黑简体" w:hAnsi="方正兰亭黑简体" w:eastAsia="方正兰亭黑简体" w:cs="方正兰亭黑简体"/>
          <w:color w:val="auto"/>
          <w:sz w:val="22"/>
          <w:szCs w:val="28"/>
          <w:highlight w:val="none"/>
        </w:rPr>
        <w:t>日</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周一</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上午11</w:t>
      </w:r>
      <w:r>
        <w:rPr>
          <w:rFonts w:hint="eastAsia" w:ascii="方正兰亭黑简体" w:hAnsi="方正兰亭黑简体" w:eastAsia="方正兰亭黑简体" w:cs="方正兰亭黑简体"/>
          <w:color w:val="auto"/>
          <w:sz w:val="22"/>
          <w:szCs w:val="28"/>
          <w:highlight w:val="none"/>
        </w:rPr>
        <w:t>时</w:t>
      </w:r>
      <w:r>
        <w:rPr>
          <w:rFonts w:hint="eastAsia" w:ascii="方正兰亭黑简体" w:hAnsi="方正兰亭黑简体" w:eastAsia="方正兰亭黑简体" w:cs="方正兰亭黑简体"/>
          <w:color w:val="auto"/>
          <w:sz w:val="22"/>
          <w:szCs w:val="28"/>
          <w:highlight w:val="none"/>
          <w:lang w:val="en-US" w:eastAsia="zh-CN"/>
        </w:rPr>
        <w:t>00</w:t>
      </w:r>
      <w:r>
        <w:rPr>
          <w:rFonts w:hint="eastAsia" w:ascii="方正兰亭黑简体" w:hAnsi="方正兰亭黑简体" w:eastAsia="方正兰亭黑简体" w:cs="方正兰亭黑简体"/>
          <w:color w:val="auto"/>
          <w:sz w:val="22"/>
          <w:szCs w:val="28"/>
          <w:highlight w:val="none"/>
        </w:rPr>
        <w:t>分</w:t>
      </w:r>
    </w:p>
    <w:p w14:paraId="52EA2719">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提交方式：发送盖章扫描版</w:t>
      </w:r>
      <w:r>
        <w:rPr>
          <w:rFonts w:hint="eastAsia" w:ascii="方正兰亭黑简体" w:hAnsi="方正兰亭黑简体" w:eastAsia="方正兰亭黑简体" w:cs="方正兰亭黑简体"/>
          <w:color w:val="auto"/>
          <w:sz w:val="22"/>
          <w:szCs w:val="28"/>
          <w:highlight w:val="none"/>
          <w:lang w:val="en-US" w:eastAsia="zh-CN"/>
        </w:rPr>
        <w:t>PDF</w:t>
      </w:r>
      <w:r>
        <w:rPr>
          <w:rFonts w:hint="eastAsia" w:ascii="方正兰亭黑简体" w:hAnsi="方正兰亭黑简体" w:eastAsia="方正兰亭黑简体" w:cs="方正兰亭黑简体"/>
          <w:color w:val="auto"/>
          <w:sz w:val="22"/>
          <w:szCs w:val="28"/>
          <w:highlight w:val="none"/>
        </w:rPr>
        <w:t>到指定邮箱</w:t>
      </w:r>
      <w:r>
        <w:rPr>
          <w:rFonts w:hint="eastAsia" w:ascii="方正兰亭黑简体" w:hAnsi="方正兰亭黑简体" w:eastAsia="方正兰亭黑简体" w:cs="方正兰亭黑简体"/>
          <w:color w:val="auto"/>
          <w:sz w:val="22"/>
          <w:szCs w:val="28"/>
          <w:highlight w:val="none"/>
          <w:lang w:eastAsia="zh-CN"/>
        </w:rPr>
        <w:t>，</w:t>
      </w:r>
      <w:r>
        <w:rPr>
          <w:rFonts w:hint="eastAsia" w:ascii="方正兰亭黑简体" w:hAnsi="方正兰亭黑简体" w:eastAsia="方正兰亭黑简体" w:cs="方正兰亭黑简体"/>
          <w:color w:val="auto"/>
          <w:sz w:val="22"/>
          <w:szCs w:val="28"/>
          <w:highlight w:val="none"/>
          <w:lang w:val="en-US" w:eastAsia="zh-CN"/>
        </w:rPr>
        <w:t>邮件名称：项目编号+公司名称</w:t>
      </w:r>
    </w:p>
    <w:p w14:paraId="45738F2D">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邮箱地址：</w:t>
      </w:r>
      <w:r>
        <w:rPr>
          <w:rFonts w:hint="eastAsia" w:ascii="方正兰亭黑简体" w:hAnsi="方正兰亭黑简体" w:eastAsia="方正兰亭黑简体" w:cs="方正兰亭黑简体"/>
          <w:color w:val="auto"/>
          <w:sz w:val="22"/>
          <w:szCs w:val="28"/>
          <w:highlight w:val="none"/>
          <w:u w:val="none"/>
        </w:rPr>
        <w:t>quotation@shmtu.edu.cn</w:t>
      </w:r>
    </w:p>
    <w:p w14:paraId="7C16205B">
      <w:pPr>
        <w:jc w:val="left"/>
        <w:rPr>
          <w:rFonts w:hint="eastAsia" w:ascii="方正兰亭黑简体" w:hAnsi="方正兰亭黑简体" w:eastAsia="方正兰亭黑简体" w:cs="方正兰亭黑简体"/>
          <w:b/>
          <w:bCs/>
          <w:color w:val="auto"/>
          <w:sz w:val="22"/>
          <w:szCs w:val="28"/>
          <w:highlight w:val="none"/>
        </w:rPr>
      </w:pPr>
      <w:r>
        <w:rPr>
          <w:rFonts w:hint="eastAsia" w:ascii="方正兰亭黑简体" w:hAnsi="方正兰亭黑简体" w:eastAsia="方正兰亭黑简体" w:cs="方正兰亭黑简体"/>
          <w:b/>
          <w:bCs/>
          <w:color w:val="auto"/>
          <w:sz w:val="22"/>
          <w:szCs w:val="28"/>
          <w:highlight w:val="none"/>
          <w:lang w:val="en-US" w:eastAsia="zh-CN"/>
        </w:rPr>
        <w:t>七</w:t>
      </w:r>
      <w:r>
        <w:rPr>
          <w:rFonts w:hint="eastAsia" w:ascii="方正兰亭黑简体" w:hAnsi="方正兰亭黑简体" w:eastAsia="方正兰亭黑简体" w:cs="方正兰亭黑简体"/>
          <w:b/>
          <w:bCs/>
          <w:color w:val="auto"/>
          <w:sz w:val="22"/>
          <w:szCs w:val="28"/>
          <w:highlight w:val="none"/>
        </w:rPr>
        <w:t>、其他补充事宜</w:t>
      </w:r>
    </w:p>
    <w:p w14:paraId="3C9CF2D2">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1.中标结果将通过发布比选公告的媒介进行公示，公示期</w:t>
      </w:r>
      <w:r>
        <w:rPr>
          <w:rFonts w:hint="eastAsia" w:ascii="方正兰亭黑简体" w:hAnsi="方正兰亭黑简体" w:eastAsia="方正兰亭黑简体" w:cs="方正兰亭黑简体"/>
          <w:color w:val="auto"/>
          <w:sz w:val="22"/>
          <w:szCs w:val="28"/>
          <w:highlight w:val="none"/>
          <w:lang w:val="en-US" w:eastAsia="zh-CN"/>
        </w:rPr>
        <w:t>为1个工作日</w:t>
      </w:r>
      <w:r>
        <w:rPr>
          <w:rFonts w:hint="eastAsia" w:ascii="方正兰亭黑简体" w:hAnsi="方正兰亭黑简体" w:eastAsia="方正兰亭黑简体" w:cs="方正兰亭黑简体"/>
          <w:color w:val="auto"/>
          <w:sz w:val="22"/>
          <w:szCs w:val="28"/>
          <w:highlight w:val="none"/>
        </w:rPr>
        <w:t>，公示期内如对中标结果有异议可向校方提出书面质疑。</w:t>
      </w:r>
      <w:bookmarkStart w:id="3" w:name="_Toc35393627"/>
    </w:p>
    <w:p w14:paraId="17FB2B9E">
      <w:pPr>
        <w:jc w:val="left"/>
        <w:rPr>
          <w:rFonts w:hint="eastAsia" w:ascii="方正兰亭黑简体" w:hAnsi="方正兰亭黑简体" w:eastAsia="方正兰亭黑简体" w:cs="方正兰亭黑简体"/>
          <w:color w:val="auto"/>
          <w:sz w:val="22"/>
          <w:szCs w:val="28"/>
          <w:highlight w:val="none"/>
          <w:lang w:eastAsia="zh-CN"/>
        </w:rPr>
      </w:pPr>
      <w:r>
        <w:rPr>
          <w:rFonts w:hint="eastAsia" w:ascii="方正兰亭黑简体" w:hAnsi="方正兰亭黑简体" w:eastAsia="方正兰亭黑简体" w:cs="方正兰亭黑简体"/>
          <w:color w:val="auto"/>
          <w:sz w:val="22"/>
          <w:szCs w:val="28"/>
          <w:highlight w:val="none"/>
        </w:rPr>
        <w:t>2.</w:t>
      </w:r>
      <w:bookmarkEnd w:id="3"/>
      <w:r>
        <w:rPr>
          <w:rFonts w:hint="eastAsia" w:ascii="方正兰亭黑简体" w:hAnsi="方正兰亭黑简体" w:eastAsia="方正兰亭黑简体" w:cs="方正兰亭黑简体"/>
          <w:color w:val="auto"/>
          <w:sz w:val="22"/>
          <w:szCs w:val="28"/>
          <w:highlight w:val="none"/>
        </w:rPr>
        <w:t>凡对本次采购提出询问，请按以下方式联系</w:t>
      </w:r>
      <w:r>
        <w:rPr>
          <w:rFonts w:hint="eastAsia" w:ascii="方正兰亭黑简体" w:hAnsi="方正兰亭黑简体" w:eastAsia="方正兰亭黑简体" w:cs="方正兰亭黑简体"/>
          <w:color w:val="auto"/>
          <w:sz w:val="22"/>
          <w:szCs w:val="28"/>
          <w:highlight w:val="none"/>
          <w:lang w:eastAsia="zh-CN"/>
        </w:rPr>
        <w:t>：</w:t>
      </w:r>
    </w:p>
    <w:p w14:paraId="53930B0F">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商务信息：</w:t>
      </w:r>
      <w:r>
        <w:rPr>
          <w:rFonts w:hint="eastAsia" w:ascii="方正兰亭黑简体" w:hAnsi="方正兰亭黑简体" w:eastAsia="方正兰亭黑简体" w:cs="方正兰亭黑简体"/>
          <w:color w:val="auto"/>
          <w:sz w:val="22"/>
          <w:szCs w:val="28"/>
          <w:highlight w:val="none"/>
          <w:lang w:val="en-US" w:eastAsia="zh-CN"/>
        </w:rPr>
        <w:t>仲</w:t>
      </w:r>
      <w:r>
        <w:rPr>
          <w:rFonts w:hint="eastAsia" w:ascii="方正兰亭黑简体" w:hAnsi="方正兰亭黑简体" w:eastAsia="方正兰亭黑简体" w:cs="方正兰亭黑简体"/>
          <w:color w:val="auto"/>
          <w:sz w:val="22"/>
          <w:szCs w:val="28"/>
          <w:highlight w:val="none"/>
        </w:rPr>
        <w:t>老师021-3828470</w:t>
      </w:r>
      <w:r>
        <w:rPr>
          <w:rFonts w:hint="eastAsia" w:ascii="方正兰亭黑简体" w:hAnsi="方正兰亭黑简体" w:eastAsia="方正兰亭黑简体" w:cs="方正兰亭黑简体"/>
          <w:color w:val="auto"/>
          <w:sz w:val="22"/>
          <w:szCs w:val="28"/>
          <w:highlight w:val="none"/>
          <w:lang w:val="en-US" w:eastAsia="zh-CN"/>
        </w:rPr>
        <w:t>7</w:t>
      </w:r>
    </w:p>
    <w:p w14:paraId="1CEF1F38">
      <w:pPr>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rPr>
        <w:t>技术信息：</w:t>
      </w:r>
      <w:r>
        <w:rPr>
          <w:rFonts w:hint="eastAsia" w:ascii="方正兰亭黑简体" w:hAnsi="方正兰亭黑简体" w:eastAsia="方正兰亭黑简体" w:cs="方正兰亭黑简体"/>
          <w:color w:val="auto"/>
          <w:sz w:val="22"/>
          <w:szCs w:val="28"/>
          <w:highlight w:val="none"/>
          <w:lang w:val="en-US" w:eastAsia="zh-CN"/>
        </w:rPr>
        <w:t>郭老师021-38284810</w:t>
      </w:r>
      <w:bookmarkStart w:id="4" w:name="_GoBack"/>
      <w:bookmarkEnd w:id="4"/>
    </w:p>
    <w:p w14:paraId="52A47FAD">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4B9C0EF3">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第二章 采购需求</w:t>
      </w:r>
    </w:p>
    <w:p w14:paraId="2B6E113B">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一、项目概况</w:t>
      </w:r>
    </w:p>
    <w:p w14:paraId="0A4F3BB6">
      <w:pPr>
        <w:spacing w:line="360" w:lineRule="auto"/>
        <w:ind w:firstLine="440" w:firstLineChars="200"/>
        <w:rPr>
          <w:rFonts w:hint="default" w:ascii="Times New Roman" w:hAnsi="Times New Roman" w:eastAsia="方正兰亭黑简体" w:cs="Times New Roman"/>
          <w:color w:val="auto"/>
          <w:sz w:val="22"/>
          <w:szCs w:val="22"/>
          <w:highlight w:val="none"/>
        </w:rPr>
      </w:pPr>
      <w:r>
        <w:rPr>
          <w:rFonts w:hint="eastAsia" w:ascii="Times New Roman" w:hAnsi="Times New Roman" w:eastAsia="方正兰亭黑简体" w:cs="Times New Roman"/>
          <w:color w:val="auto"/>
          <w:sz w:val="22"/>
          <w:szCs w:val="22"/>
          <w:highlight w:val="none"/>
          <w:lang w:val="en-US" w:eastAsia="zh-CN"/>
        </w:rPr>
        <w:t>该</w:t>
      </w:r>
      <w:r>
        <w:rPr>
          <w:rFonts w:hint="default" w:ascii="Times New Roman" w:hAnsi="Times New Roman" w:eastAsia="方正兰亭黑简体" w:cs="Times New Roman"/>
          <w:color w:val="auto"/>
          <w:sz w:val="22"/>
          <w:szCs w:val="22"/>
          <w:highlight w:val="none"/>
        </w:rPr>
        <w:t>设备用于可控的微生物矿化膜制备工艺研究。在该</w:t>
      </w:r>
      <w:r>
        <w:rPr>
          <w:rFonts w:hint="eastAsia" w:ascii="Times New Roman" w:hAnsi="Times New Roman" w:eastAsia="方正兰亭黑简体" w:cs="Times New Roman"/>
          <w:color w:val="auto"/>
          <w:sz w:val="22"/>
          <w:szCs w:val="22"/>
          <w:highlight w:val="none"/>
          <w:lang w:val="en-US" w:eastAsia="zh-CN"/>
        </w:rPr>
        <w:t>设备内</w:t>
      </w:r>
      <w:r>
        <w:rPr>
          <w:rFonts w:hint="default" w:ascii="Times New Roman" w:hAnsi="Times New Roman" w:eastAsia="方正兰亭黑简体" w:cs="Times New Roman"/>
          <w:color w:val="auto"/>
          <w:sz w:val="22"/>
          <w:szCs w:val="22"/>
          <w:highlight w:val="none"/>
        </w:rPr>
        <w:t>利用复配好的矿化菌剂对金属构件进行原位矿化膜制备</w:t>
      </w:r>
      <w:r>
        <w:rPr>
          <w:rFonts w:hint="eastAsia"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研究pH、温度、盐度、钙镁离子浓度、NH3浓度、溶液搅拌速度及流速、初始菌剂投加量等因素对金属构件表面微生物矿化膜的宏观微观形貌、厚度、粗糙度、附着力、硬度、形成时间、抗腐蚀及抗冰性能的影响，明确金属材料表面构筑微生物矿化膜的最佳工艺参数范围。</w:t>
      </w:r>
    </w:p>
    <w:p w14:paraId="0950B331">
      <w:pPr>
        <w:spacing w:line="360" w:lineRule="auto"/>
        <w:ind w:firstLine="440" w:firstLineChars="200"/>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供应商需按照招标方要求</w:t>
      </w:r>
      <w:r>
        <w:rPr>
          <w:rFonts w:hint="default" w:ascii="Times New Roman" w:hAnsi="Times New Roman" w:eastAsia="方正兰亭黑简体" w:cs="Times New Roman"/>
          <w:color w:val="auto"/>
          <w:sz w:val="22"/>
          <w:szCs w:val="22"/>
          <w:highlight w:val="none"/>
        </w:rPr>
        <w:t>自主设计并制造一台矿化膜生物制备装置，包括主体环境箱、恒温换气过滤控制系统、紫外灭菌系统、搅拌反应池、环境监测系统、连续培养系统等模块。</w:t>
      </w:r>
    </w:p>
    <w:p w14:paraId="27219A1B">
      <w:pPr>
        <w:spacing w:line="360" w:lineRule="auto"/>
        <w:rPr>
          <w:rFonts w:hint="eastAsia" w:ascii="Times New Roman" w:hAnsi="Times New Roman" w:eastAsia="方正兰亭黑简体" w:cs="Times New Roman"/>
          <w:b/>
          <w:bCs/>
          <w:color w:val="auto"/>
          <w:sz w:val="22"/>
          <w:szCs w:val="22"/>
          <w:highlight w:val="none"/>
          <w:lang w:val="en-US" w:eastAsia="zh-CN"/>
        </w:rPr>
      </w:pPr>
    </w:p>
    <w:p w14:paraId="7DE6D34A">
      <w:pPr>
        <w:spacing w:line="360" w:lineRule="auto"/>
        <w:rPr>
          <w:rFonts w:hint="eastAsia"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二、货物清单及规格参数</w:t>
      </w:r>
    </w:p>
    <w:tbl>
      <w:tblPr>
        <w:tblStyle w:val="1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5"/>
        <w:gridCol w:w="2402"/>
        <w:gridCol w:w="1154"/>
        <w:gridCol w:w="655"/>
        <w:gridCol w:w="655"/>
        <w:gridCol w:w="3566"/>
        <w:gridCol w:w="875"/>
      </w:tblGrid>
      <w:tr w14:paraId="3F880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0" w:type="auto"/>
            <w:vAlign w:val="center"/>
          </w:tcPr>
          <w:p w14:paraId="7D900C02">
            <w:pPr>
              <w:spacing w:line="36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序号</w:t>
            </w:r>
          </w:p>
        </w:tc>
        <w:tc>
          <w:tcPr>
            <w:tcW w:w="0" w:type="auto"/>
            <w:vAlign w:val="center"/>
          </w:tcPr>
          <w:p w14:paraId="3E4654E1">
            <w:pPr>
              <w:widowControl/>
              <w:spacing w:line="36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名称</w:t>
            </w:r>
          </w:p>
        </w:tc>
        <w:tc>
          <w:tcPr>
            <w:tcW w:w="0" w:type="auto"/>
            <w:vAlign w:val="center"/>
          </w:tcPr>
          <w:p w14:paraId="23DA914B">
            <w:pPr>
              <w:widowControl/>
              <w:spacing w:line="36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进口/国产</w:t>
            </w:r>
          </w:p>
        </w:tc>
        <w:tc>
          <w:tcPr>
            <w:tcW w:w="0" w:type="auto"/>
            <w:vAlign w:val="center"/>
          </w:tcPr>
          <w:p w14:paraId="18C0592B">
            <w:pPr>
              <w:widowControl/>
              <w:spacing w:line="36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单位</w:t>
            </w:r>
          </w:p>
        </w:tc>
        <w:tc>
          <w:tcPr>
            <w:tcW w:w="0" w:type="auto"/>
            <w:vAlign w:val="center"/>
          </w:tcPr>
          <w:p w14:paraId="14DCCB81">
            <w:pPr>
              <w:widowControl/>
              <w:spacing w:line="36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数量</w:t>
            </w:r>
          </w:p>
        </w:tc>
        <w:tc>
          <w:tcPr>
            <w:tcW w:w="0" w:type="auto"/>
            <w:vAlign w:val="center"/>
          </w:tcPr>
          <w:p w14:paraId="5375C4DA">
            <w:pPr>
              <w:widowControl/>
              <w:spacing w:line="36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主要规格</w:t>
            </w:r>
          </w:p>
        </w:tc>
        <w:tc>
          <w:tcPr>
            <w:tcW w:w="0" w:type="auto"/>
            <w:vAlign w:val="center"/>
          </w:tcPr>
          <w:p w14:paraId="10D98381">
            <w:pPr>
              <w:widowControl/>
              <w:spacing w:line="360" w:lineRule="auto"/>
              <w:jc w:val="center"/>
              <w:rPr>
                <w:rFonts w:hint="default" w:ascii="Times New Roman" w:hAnsi="Times New Roman" w:eastAsia="方正兰亭黑简体" w:cs="Times New Roman"/>
                <w:b/>
                <w:bCs/>
                <w:color w:val="auto"/>
                <w:sz w:val="22"/>
                <w:szCs w:val="22"/>
                <w:highlight w:val="none"/>
              </w:rPr>
            </w:pPr>
            <w:r>
              <w:rPr>
                <w:rFonts w:hint="default" w:ascii="Times New Roman" w:hAnsi="Times New Roman" w:eastAsia="方正兰亭黑简体" w:cs="Times New Roman"/>
                <w:b/>
                <w:bCs/>
                <w:color w:val="auto"/>
                <w:sz w:val="22"/>
                <w:szCs w:val="22"/>
                <w:highlight w:val="none"/>
              </w:rPr>
              <w:t>交货期</w:t>
            </w:r>
          </w:p>
        </w:tc>
      </w:tr>
      <w:tr w14:paraId="49DAE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0" w:type="auto"/>
            <w:vAlign w:val="center"/>
          </w:tcPr>
          <w:p w14:paraId="7DEF8C0B">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0" w:type="auto"/>
            <w:vAlign w:val="center"/>
          </w:tcPr>
          <w:p w14:paraId="27DFD86A">
            <w:pPr>
              <w:widowControl/>
              <w:spacing w:line="360" w:lineRule="auto"/>
              <w:jc w:val="both"/>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生物矿化膜可控制备箱</w:t>
            </w:r>
          </w:p>
        </w:tc>
        <w:tc>
          <w:tcPr>
            <w:tcW w:w="0" w:type="auto"/>
            <w:vAlign w:val="center"/>
          </w:tcPr>
          <w:p w14:paraId="0969C097">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国产</w:t>
            </w:r>
          </w:p>
        </w:tc>
        <w:tc>
          <w:tcPr>
            <w:tcW w:w="0" w:type="auto"/>
            <w:vAlign w:val="center"/>
          </w:tcPr>
          <w:p w14:paraId="5A208F7B">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台</w:t>
            </w:r>
          </w:p>
        </w:tc>
        <w:tc>
          <w:tcPr>
            <w:tcW w:w="0" w:type="auto"/>
            <w:vAlign w:val="center"/>
          </w:tcPr>
          <w:p w14:paraId="59847C04">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0" w:type="auto"/>
            <w:vAlign w:val="center"/>
          </w:tcPr>
          <w:p w14:paraId="05CBA1F2">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内腔尺寸：</w:t>
            </w:r>
          </w:p>
          <w:p w14:paraId="15A393C2">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宽1200*深700*高1200（mm）</w:t>
            </w:r>
          </w:p>
          <w:p w14:paraId="035D6031">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液体槽尺寸：</w:t>
            </w:r>
          </w:p>
          <w:p w14:paraId="653ED931">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总宽1000*纵深500*高700（mm）</w:t>
            </w:r>
          </w:p>
        </w:tc>
        <w:tc>
          <w:tcPr>
            <w:tcW w:w="0" w:type="auto"/>
            <w:vAlign w:val="center"/>
          </w:tcPr>
          <w:p w14:paraId="79D741BF">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45天</w:t>
            </w:r>
          </w:p>
        </w:tc>
      </w:tr>
    </w:tbl>
    <w:p w14:paraId="736F07CC">
      <w:pPr>
        <w:spacing w:line="360" w:lineRule="auto"/>
        <w:rPr>
          <w:rFonts w:hint="eastAsia" w:ascii="Times New Roman" w:hAnsi="Times New Roman" w:eastAsia="方正兰亭黑简体" w:cs="Times New Roman"/>
          <w:b/>
          <w:bCs/>
          <w:color w:val="auto"/>
          <w:sz w:val="22"/>
          <w:szCs w:val="22"/>
          <w:highlight w:val="none"/>
          <w:lang w:val="en-US" w:eastAsia="zh-CN"/>
        </w:rPr>
      </w:pPr>
    </w:p>
    <w:p w14:paraId="75A7C11C">
      <w:pPr>
        <w:spacing w:line="360" w:lineRule="auto"/>
        <w:rPr>
          <w:rFonts w:hint="default" w:ascii="Times New Roman" w:hAnsi="Times New Roman" w:eastAsia="方正兰亭黑简体" w:cs="Times New Roman"/>
          <w:b/>
          <w:bCs/>
          <w:color w:val="auto"/>
          <w:sz w:val="22"/>
          <w:szCs w:val="22"/>
          <w:highlight w:val="none"/>
          <w:lang w:val="en-US" w:eastAsia="zh-CN"/>
        </w:rPr>
      </w:pPr>
      <w:r>
        <w:rPr>
          <w:rFonts w:hint="eastAsia" w:ascii="Times New Roman" w:hAnsi="Times New Roman" w:eastAsia="方正兰亭黑简体" w:cs="Times New Roman"/>
          <w:b/>
          <w:bCs/>
          <w:color w:val="auto"/>
          <w:sz w:val="22"/>
          <w:szCs w:val="22"/>
          <w:highlight w:val="none"/>
          <w:lang w:val="en-US" w:eastAsia="zh-CN"/>
        </w:rPr>
        <w:t>三、技术要求</w:t>
      </w:r>
    </w:p>
    <w:p w14:paraId="6C366FC7">
      <w:pPr>
        <w:spacing w:line="360" w:lineRule="auto"/>
        <w:ind w:firstLine="440" w:firstLineChars="200"/>
        <w:rPr>
          <w:rFonts w:hint="eastAsia" w:ascii="Times New Roman" w:hAnsi="Times New Roman" w:eastAsia="方正兰亭黑简体" w:cs="Times New Roman"/>
          <w:color w:val="auto"/>
          <w:sz w:val="22"/>
          <w:szCs w:val="22"/>
          <w:highlight w:val="none"/>
          <w:lang w:val="en-US" w:eastAsia="zh-CN"/>
        </w:rPr>
      </w:pPr>
      <w:r>
        <w:rPr>
          <w:rFonts w:hint="eastAsia" w:ascii="Times New Roman" w:hAnsi="Times New Roman" w:eastAsia="方正兰亭黑简体" w:cs="Times New Roman"/>
          <w:color w:val="auto"/>
          <w:sz w:val="22"/>
          <w:szCs w:val="22"/>
          <w:highlight w:val="none"/>
          <w:lang w:val="en-US" w:eastAsia="zh-CN"/>
        </w:rPr>
        <w:t>生物矿化膜可控制备箱，包括主体环境箱、恒温换气过滤控制系统、紫外灭菌系统、搅拌反应池、环境监测系统、连续培养系统等模块。在该装置内利用复配好的矿化菌剂对金属构件进行原位矿化膜制备。研究pH、温度、盐度、钙镁离子浓度、NH3浓度、溶液搅拌速度及流速、初始菌剂投加量等因素对金属构件表面微生物矿化膜的宏观微观形貌、厚度、粗糙度、附着力、硬度、形成时间、抗腐蚀及抗冰性能的影响，明确金属材料表面构筑微生物矿化膜的最佳工艺参数范围。</w:t>
      </w:r>
    </w:p>
    <w:tbl>
      <w:tblPr>
        <w:tblStyle w:val="14"/>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9"/>
        <w:gridCol w:w="2164"/>
        <w:gridCol w:w="6547"/>
      </w:tblGrid>
      <w:tr w14:paraId="0A5C16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27" w:type="pct"/>
            <w:vAlign w:val="center"/>
          </w:tcPr>
          <w:p w14:paraId="4D172C69">
            <w:pPr>
              <w:spacing w:line="360" w:lineRule="auto"/>
              <w:jc w:val="center"/>
              <w:rPr>
                <w:rFonts w:hint="default" w:ascii="Times New Roman" w:hAnsi="Times New Roman" w:eastAsia="方正兰亭黑简体" w:cs="Times New Roman"/>
                <w:b/>
                <w:color w:val="auto"/>
                <w:sz w:val="22"/>
                <w:szCs w:val="22"/>
                <w:highlight w:val="none"/>
              </w:rPr>
            </w:pPr>
            <w:r>
              <w:rPr>
                <w:rFonts w:hint="default" w:ascii="Times New Roman" w:hAnsi="Times New Roman" w:eastAsia="方正兰亭黑简体" w:cs="Times New Roman"/>
                <w:b/>
                <w:color w:val="auto"/>
                <w:sz w:val="22"/>
                <w:szCs w:val="22"/>
                <w:highlight w:val="none"/>
              </w:rPr>
              <w:t>序号</w:t>
            </w:r>
          </w:p>
        </w:tc>
        <w:tc>
          <w:tcPr>
            <w:tcW w:w="1086" w:type="pct"/>
            <w:vAlign w:val="center"/>
          </w:tcPr>
          <w:p w14:paraId="4D4125BB">
            <w:pPr>
              <w:widowControl/>
              <w:spacing w:line="360" w:lineRule="auto"/>
              <w:jc w:val="center"/>
              <w:rPr>
                <w:rFonts w:hint="default" w:ascii="Times New Roman" w:hAnsi="Times New Roman" w:eastAsia="方正兰亭黑简体" w:cs="Times New Roman"/>
                <w:b/>
                <w:color w:val="auto"/>
                <w:sz w:val="22"/>
                <w:szCs w:val="22"/>
                <w:highlight w:val="none"/>
              </w:rPr>
            </w:pPr>
            <w:r>
              <w:rPr>
                <w:rFonts w:hint="default" w:ascii="Times New Roman" w:hAnsi="Times New Roman" w:eastAsia="方正兰亭黑简体" w:cs="Times New Roman"/>
                <w:b/>
                <w:color w:val="auto"/>
                <w:sz w:val="22"/>
                <w:szCs w:val="22"/>
                <w:highlight w:val="none"/>
              </w:rPr>
              <w:t>指标名称</w:t>
            </w:r>
          </w:p>
        </w:tc>
        <w:tc>
          <w:tcPr>
            <w:tcW w:w="3285" w:type="pct"/>
            <w:vAlign w:val="center"/>
          </w:tcPr>
          <w:p w14:paraId="09E1FA1B">
            <w:pPr>
              <w:widowControl/>
              <w:spacing w:line="360" w:lineRule="auto"/>
              <w:jc w:val="center"/>
              <w:rPr>
                <w:rFonts w:hint="default" w:ascii="Times New Roman" w:hAnsi="Times New Roman" w:eastAsia="方正兰亭黑简体" w:cs="Times New Roman"/>
                <w:b/>
                <w:color w:val="auto"/>
                <w:sz w:val="22"/>
                <w:szCs w:val="22"/>
                <w:highlight w:val="none"/>
              </w:rPr>
            </w:pPr>
            <w:r>
              <w:rPr>
                <w:rFonts w:hint="default" w:ascii="Times New Roman" w:hAnsi="Times New Roman" w:eastAsia="方正兰亭黑简体" w:cs="Times New Roman"/>
                <w:b/>
                <w:color w:val="auto"/>
                <w:sz w:val="22"/>
                <w:szCs w:val="22"/>
                <w:highlight w:val="none"/>
              </w:rPr>
              <w:t>指标要求</w:t>
            </w:r>
          </w:p>
        </w:tc>
      </w:tr>
      <w:tr w14:paraId="19F126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27" w:type="pct"/>
            <w:vAlign w:val="center"/>
          </w:tcPr>
          <w:p w14:paraId="4BDE986E">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w:t>
            </w:r>
          </w:p>
        </w:tc>
        <w:tc>
          <w:tcPr>
            <w:tcW w:w="1086" w:type="pct"/>
            <w:vAlign w:val="center"/>
          </w:tcPr>
          <w:p w14:paraId="491C2900">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内腔尺寸</w:t>
            </w:r>
          </w:p>
        </w:tc>
        <w:tc>
          <w:tcPr>
            <w:tcW w:w="3285" w:type="pct"/>
            <w:vAlign w:val="center"/>
          </w:tcPr>
          <w:p w14:paraId="5DFF71FA">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宽1200*深700*高1200（mm）</w:t>
            </w:r>
          </w:p>
        </w:tc>
      </w:tr>
      <w:tr w14:paraId="3A2666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27" w:type="pct"/>
            <w:vAlign w:val="center"/>
          </w:tcPr>
          <w:p w14:paraId="20428B89">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w:t>
            </w:r>
          </w:p>
        </w:tc>
        <w:tc>
          <w:tcPr>
            <w:tcW w:w="1086" w:type="pct"/>
            <w:vAlign w:val="center"/>
          </w:tcPr>
          <w:p w14:paraId="4D212B59">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外形尺寸</w:t>
            </w:r>
          </w:p>
        </w:tc>
        <w:tc>
          <w:tcPr>
            <w:tcW w:w="3285" w:type="pct"/>
            <w:vAlign w:val="center"/>
          </w:tcPr>
          <w:p w14:paraId="18112BD1">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宽2000*深1200*高1550（mm）</w:t>
            </w:r>
          </w:p>
          <w:p w14:paraId="060F7019">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具体以实际尺寸为准。</w:t>
            </w:r>
          </w:p>
        </w:tc>
      </w:tr>
      <w:tr w14:paraId="29CDE3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27" w:type="pct"/>
            <w:vAlign w:val="center"/>
          </w:tcPr>
          <w:p w14:paraId="5523C416">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3</w:t>
            </w:r>
          </w:p>
        </w:tc>
        <w:tc>
          <w:tcPr>
            <w:tcW w:w="1086" w:type="pct"/>
            <w:vAlign w:val="center"/>
          </w:tcPr>
          <w:p w14:paraId="09C7F4B1">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液体槽尺寸</w:t>
            </w:r>
          </w:p>
        </w:tc>
        <w:tc>
          <w:tcPr>
            <w:tcW w:w="3285" w:type="pct"/>
            <w:vAlign w:val="center"/>
          </w:tcPr>
          <w:p w14:paraId="111C3798">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总宽1000*纵深500*高700（mm）</w:t>
            </w:r>
          </w:p>
        </w:tc>
      </w:tr>
      <w:tr w14:paraId="3464DD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27" w:type="pct"/>
            <w:vAlign w:val="center"/>
          </w:tcPr>
          <w:p w14:paraId="76E2ACC3">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4</w:t>
            </w:r>
          </w:p>
        </w:tc>
        <w:tc>
          <w:tcPr>
            <w:tcW w:w="1086" w:type="pct"/>
            <w:vAlign w:val="center"/>
          </w:tcPr>
          <w:p w14:paraId="710AA4B5">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腔体控温范围</w:t>
            </w:r>
          </w:p>
        </w:tc>
        <w:tc>
          <w:tcPr>
            <w:tcW w:w="3285" w:type="pct"/>
            <w:vAlign w:val="center"/>
          </w:tcPr>
          <w:p w14:paraId="6127854A">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-60至60℃</w:t>
            </w:r>
          </w:p>
        </w:tc>
      </w:tr>
      <w:tr w14:paraId="6B963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27" w:type="pct"/>
            <w:vAlign w:val="center"/>
          </w:tcPr>
          <w:p w14:paraId="19E7E449">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5</w:t>
            </w:r>
          </w:p>
        </w:tc>
        <w:tc>
          <w:tcPr>
            <w:tcW w:w="1086" w:type="pct"/>
            <w:vAlign w:val="center"/>
          </w:tcPr>
          <w:p w14:paraId="702D8541">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温度波动度</w:t>
            </w:r>
          </w:p>
        </w:tc>
        <w:tc>
          <w:tcPr>
            <w:tcW w:w="3285" w:type="pct"/>
            <w:vAlign w:val="center"/>
          </w:tcPr>
          <w:p w14:paraId="3C0F3DD0">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±0.5℃</w:t>
            </w:r>
          </w:p>
        </w:tc>
      </w:tr>
      <w:tr w14:paraId="112938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27" w:type="pct"/>
            <w:vAlign w:val="center"/>
          </w:tcPr>
          <w:p w14:paraId="46C24F84">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6</w:t>
            </w:r>
          </w:p>
        </w:tc>
        <w:tc>
          <w:tcPr>
            <w:tcW w:w="1086" w:type="pct"/>
            <w:vAlign w:val="center"/>
          </w:tcPr>
          <w:p w14:paraId="27714535">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温度均匀度</w:t>
            </w:r>
          </w:p>
        </w:tc>
        <w:tc>
          <w:tcPr>
            <w:tcW w:w="3285" w:type="pct"/>
            <w:vAlign w:val="center"/>
          </w:tcPr>
          <w:p w14:paraId="1AA8F601">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±2℃（恒定状态下）</w:t>
            </w:r>
          </w:p>
        </w:tc>
      </w:tr>
      <w:tr w14:paraId="6176E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27" w:type="pct"/>
            <w:vAlign w:val="center"/>
          </w:tcPr>
          <w:p w14:paraId="2B010BC9">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7</w:t>
            </w:r>
          </w:p>
        </w:tc>
        <w:tc>
          <w:tcPr>
            <w:tcW w:w="1086" w:type="pct"/>
            <w:vAlign w:val="center"/>
          </w:tcPr>
          <w:p w14:paraId="622DF529">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液体搅拌</w:t>
            </w:r>
          </w:p>
        </w:tc>
        <w:tc>
          <w:tcPr>
            <w:tcW w:w="3285" w:type="pct"/>
            <w:vAlign w:val="center"/>
          </w:tcPr>
          <w:p w14:paraId="1326B08C">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0至120rpm</w:t>
            </w:r>
          </w:p>
        </w:tc>
      </w:tr>
      <w:tr w14:paraId="1DC33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27" w:type="pct"/>
            <w:vAlign w:val="center"/>
          </w:tcPr>
          <w:p w14:paraId="2F2B43DA">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8</w:t>
            </w:r>
          </w:p>
        </w:tc>
        <w:tc>
          <w:tcPr>
            <w:tcW w:w="1086" w:type="pct"/>
            <w:vAlign w:val="center"/>
          </w:tcPr>
          <w:p w14:paraId="29D6CABA">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腔体结构</w:t>
            </w:r>
          </w:p>
        </w:tc>
        <w:tc>
          <w:tcPr>
            <w:tcW w:w="3285" w:type="pct"/>
            <w:vAlign w:val="center"/>
          </w:tcPr>
          <w:p w14:paraId="341DFA49">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1、箱体造型美观大方，尽量采用数控机床+激光无形变加工技术，整机采用一侧为腔体一侧为控制与低温系统左右式结构设计，整体底部采用槽钢加强结构更稳固。</w:t>
            </w:r>
          </w:p>
          <w:p w14:paraId="7D17A3B3">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2、腔体内胆采用1.2mm优质高级不锈钢（SUS304）2B哑光耐腐蚀钢板，表面加强筋工艺，更平整。</w:t>
            </w:r>
          </w:p>
          <w:p w14:paraId="0EEFFA6C">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3、外壳体采用冷轧钢板1.2mm静电喷塑，壳体米白色（门采用黑色或灰色搭配）增加了外观质感和洁净度。</w:t>
            </w:r>
          </w:p>
          <w:p w14:paraId="2766C665">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4、整机配备双开门，并采用天地销无反作用把手，操作简便，密封更好。</w:t>
            </w:r>
          </w:p>
          <w:p w14:paraId="2CD5DD45">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5、大型观测视窗附照明灯保持箱内明亮，且利用发热体内嵌式钢化玻璃，随时清晰</w:t>
            </w:r>
            <w:r>
              <w:rPr>
                <w:rFonts w:hint="eastAsia" w:ascii="Times New Roman" w:hAnsi="Times New Roman" w:eastAsia="方正兰亭黑简体" w:cs="Times New Roman"/>
                <w:color w:val="auto"/>
                <w:sz w:val="22"/>
                <w:szCs w:val="22"/>
                <w:highlight w:val="none"/>
                <w:lang w:eastAsia="zh-CN"/>
              </w:rPr>
              <w:t>地</w:t>
            </w:r>
            <w:r>
              <w:rPr>
                <w:rFonts w:hint="default" w:ascii="Times New Roman" w:hAnsi="Times New Roman" w:eastAsia="方正兰亭黑简体" w:cs="Times New Roman"/>
                <w:color w:val="auto"/>
                <w:sz w:val="22"/>
                <w:szCs w:val="22"/>
                <w:highlight w:val="none"/>
              </w:rPr>
              <w:t>观测箱内状况。</w:t>
            </w:r>
          </w:p>
          <w:p w14:paraId="23966BF9">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6、箱体左侧配有50mm测试穿线孔，可供外接测试电源线或信号线使用。</w:t>
            </w:r>
            <w:r>
              <w:rPr>
                <w:rFonts w:hint="eastAsia"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孔径或孔数</w:t>
            </w:r>
            <w:r>
              <w:rPr>
                <w:rFonts w:hint="eastAsia" w:ascii="Times New Roman" w:hAnsi="Times New Roman" w:eastAsia="方正兰亭黑简体" w:cs="Times New Roman"/>
                <w:color w:val="auto"/>
                <w:sz w:val="22"/>
                <w:szCs w:val="22"/>
                <w:highlight w:val="none"/>
                <w:lang w:eastAsia="zh-CN"/>
              </w:rPr>
              <w:t>需</w:t>
            </w:r>
            <w:r>
              <w:rPr>
                <w:rFonts w:hint="default" w:ascii="Times New Roman" w:hAnsi="Times New Roman" w:eastAsia="方正兰亭黑简体" w:cs="Times New Roman"/>
                <w:color w:val="auto"/>
                <w:sz w:val="22"/>
                <w:szCs w:val="22"/>
                <w:highlight w:val="none"/>
              </w:rPr>
              <w:t>增加</w:t>
            </w:r>
            <w:r>
              <w:rPr>
                <w:rFonts w:hint="eastAsia" w:ascii="Times New Roman" w:hAnsi="Times New Roman" w:eastAsia="方正兰亭黑简体" w:cs="Times New Roman"/>
                <w:color w:val="auto"/>
                <w:sz w:val="22"/>
                <w:szCs w:val="22"/>
                <w:highlight w:val="none"/>
                <w:lang w:eastAsia="zh-CN"/>
              </w:rPr>
              <w:t>订货时</w:t>
            </w:r>
            <w:r>
              <w:rPr>
                <w:rFonts w:hint="default" w:ascii="Times New Roman" w:hAnsi="Times New Roman" w:eastAsia="方正兰亭黑简体" w:cs="Times New Roman"/>
                <w:color w:val="auto"/>
                <w:sz w:val="22"/>
                <w:szCs w:val="22"/>
                <w:highlight w:val="none"/>
              </w:rPr>
              <w:t>说明</w:t>
            </w:r>
            <w:r>
              <w:rPr>
                <w:rFonts w:hint="eastAsia"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w:t>
            </w:r>
          </w:p>
          <w:p w14:paraId="26276833">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7、机器底部采用高品质可固定式PU活动轮。</w:t>
            </w:r>
          </w:p>
        </w:tc>
      </w:tr>
      <w:tr w14:paraId="7B811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27" w:type="pct"/>
            <w:vAlign w:val="center"/>
          </w:tcPr>
          <w:p w14:paraId="2DA2C51C">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9</w:t>
            </w:r>
          </w:p>
        </w:tc>
        <w:tc>
          <w:tcPr>
            <w:tcW w:w="1086" w:type="pct"/>
            <w:vAlign w:val="center"/>
          </w:tcPr>
          <w:p w14:paraId="58709B5C">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液体槽</w:t>
            </w:r>
          </w:p>
        </w:tc>
        <w:tc>
          <w:tcPr>
            <w:tcW w:w="3285" w:type="pct"/>
            <w:vAlign w:val="center"/>
          </w:tcPr>
          <w:p w14:paraId="00D8A26A">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1、液体槽分两部分，一部分为搅拌槽，使液体均值流动（搅拌螺旋桨垂直安装在顶部板上，还</w:t>
            </w:r>
            <w:r>
              <w:rPr>
                <w:rFonts w:hint="eastAsia" w:ascii="Times New Roman" w:hAnsi="Times New Roman" w:eastAsia="方正兰亭黑简体" w:cs="Times New Roman"/>
                <w:color w:val="auto"/>
                <w:sz w:val="22"/>
                <w:szCs w:val="22"/>
                <w:highlight w:val="none"/>
                <w:lang w:eastAsia="zh-CN"/>
              </w:rPr>
              <w:t>有一</w:t>
            </w:r>
            <w:r>
              <w:rPr>
                <w:rFonts w:hint="default" w:ascii="Times New Roman" w:hAnsi="Times New Roman" w:eastAsia="方正兰亭黑简体" w:cs="Times New Roman"/>
                <w:color w:val="auto"/>
                <w:sz w:val="22"/>
                <w:szCs w:val="22"/>
                <w:highlight w:val="none"/>
              </w:rPr>
              <w:t>个检测传感器），一部</w:t>
            </w:r>
            <w:r>
              <w:rPr>
                <w:rFonts w:hint="eastAsia" w:ascii="Times New Roman" w:hAnsi="Times New Roman" w:eastAsia="方正兰亭黑简体" w:cs="Times New Roman"/>
                <w:color w:val="auto"/>
                <w:sz w:val="22"/>
                <w:szCs w:val="22"/>
                <w:highlight w:val="none"/>
                <w:lang w:eastAsia="zh-CN"/>
              </w:rPr>
              <w:t>分为</w:t>
            </w:r>
            <w:r>
              <w:rPr>
                <w:rFonts w:hint="default" w:ascii="Times New Roman" w:hAnsi="Times New Roman" w:eastAsia="方正兰亭黑简体" w:cs="Times New Roman"/>
                <w:color w:val="auto"/>
                <w:sz w:val="22"/>
                <w:szCs w:val="22"/>
                <w:highlight w:val="none"/>
              </w:rPr>
              <w:t>培养槽，两部分互通不隔断。</w:t>
            </w:r>
          </w:p>
          <w:p w14:paraId="11DB645F">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2、液体槽靠近顶部边口安装4~5个塑料固定架，方便测试样品摆放使用。</w:t>
            </w:r>
          </w:p>
          <w:p w14:paraId="28A65C44">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3、液体槽底部安装有排液口，在侧面配备手动阀门，</w:t>
            </w:r>
            <w:r>
              <w:rPr>
                <w:rFonts w:hint="eastAsia" w:ascii="Times New Roman" w:hAnsi="Times New Roman" w:eastAsia="方正兰亭黑简体" w:cs="Times New Roman"/>
                <w:color w:val="auto"/>
                <w:sz w:val="22"/>
                <w:szCs w:val="22"/>
                <w:highlight w:val="none"/>
                <w:lang w:eastAsia="zh-CN"/>
              </w:rPr>
              <w:t>方便</w:t>
            </w:r>
            <w:r>
              <w:rPr>
                <w:rFonts w:hint="default" w:ascii="Times New Roman" w:hAnsi="Times New Roman" w:eastAsia="方正兰亭黑简体" w:cs="Times New Roman"/>
                <w:color w:val="auto"/>
                <w:sz w:val="22"/>
                <w:szCs w:val="22"/>
                <w:highlight w:val="none"/>
              </w:rPr>
              <w:t>维护与排液用。</w:t>
            </w:r>
          </w:p>
          <w:p w14:paraId="112E742F">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4、内胆采用耐腐蚀工程塑料PP/PPR厚度8~10mm板，表面塑料焊接工艺，确保不漏液，耐腐蚀</w:t>
            </w:r>
            <w:r>
              <w:rPr>
                <w:rFonts w:hint="eastAsia" w:ascii="Times New Roman" w:hAnsi="Times New Roman" w:eastAsia="方正兰亭黑简体" w:cs="Times New Roman"/>
                <w:color w:val="auto"/>
                <w:sz w:val="22"/>
                <w:szCs w:val="22"/>
                <w:highlight w:val="none"/>
                <w:lang w:eastAsia="zh-CN"/>
              </w:rPr>
              <w:t>更佳</w:t>
            </w:r>
            <w:r>
              <w:rPr>
                <w:rFonts w:hint="default" w:ascii="Times New Roman" w:hAnsi="Times New Roman" w:eastAsia="方正兰亭黑简体" w:cs="Times New Roman"/>
                <w:color w:val="auto"/>
                <w:sz w:val="22"/>
                <w:szCs w:val="22"/>
                <w:highlight w:val="none"/>
              </w:rPr>
              <w:t>。</w:t>
            </w:r>
          </w:p>
          <w:p w14:paraId="3E2BF83E">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5、外壳采用不锈钢304材质厚度1.2mm整圈加强焊接制作。</w:t>
            </w:r>
          </w:p>
          <w:p w14:paraId="37DF3775">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6、液体槽底部具备防腐蚀的不锈钢移动脚轮，脚轮带刹车稳固。</w:t>
            </w:r>
          </w:p>
          <w:p w14:paraId="245AF1A3">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备注：左右安装在搅拌槽的部件全部方便拆卸，方便液体槽整体取出保养清洁。</w:t>
            </w:r>
          </w:p>
        </w:tc>
      </w:tr>
      <w:tr w14:paraId="51C24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27" w:type="pct"/>
            <w:vAlign w:val="center"/>
          </w:tcPr>
          <w:p w14:paraId="59EF4818">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10</w:t>
            </w:r>
          </w:p>
        </w:tc>
        <w:tc>
          <w:tcPr>
            <w:tcW w:w="1086" w:type="pct"/>
            <w:vAlign w:val="center"/>
          </w:tcPr>
          <w:p w14:paraId="4BADA366">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PLC主控制器</w:t>
            </w:r>
          </w:p>
        </w:tc>
        <w:tc>
          <w:tcPr>
            <w:tcW w:w="3285" w:type="pct"/>
            <w:vAlign w:val="center"/>
          </w:tcPr>
          <w:p w14:paraId="76A59FBE">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1、主控制仪表采用7</w:t>
            </w:r>
            <w:r>
              <w:rPr>
                <w:rFonts w:hint="default" w:ascii="Times New Roman" w:hAnsi="Times New Roman" w:eastAsia="方正兰亭黑简体" w:cs="Times New Roman"/>
                <w:color w:val="auto"/>
                <w:sz w:val="22"/>
                <w:szCs w:val="22"/>
                <w:highlight w:val="none"/>
                <w:lang w:val="en-US" w:eastAsia="zh-CN"/>
              </w:rPr>
              <w:t>英</w:t>
            </w:r>
            <w:r>
              <w:rPr>
                <w:rFonts w:hint="default" w:ascii="Times New Roman" w:hAnsi="Times New Roman" w:eastAsia="方正兰亭黑简体" w:cs="Times New Roman"/>
                <w:color w:val="auto"/>
                <w:sz w:val="22"/>
                <w:szCs w:val="22"/>
                <w:highlight w:val="none"/>
              </w:rPr>
              <w:t>寸大屏幕触摸画面，荧幕操作简单，程式编辑容易，</w:t>
            </w:r>
            <w:r>
              <w:rPr>
                <w:rFonts w:hint="eastAsia" w:ascii="Times New Roman" w:hAnsi="Times New Roman" w:eastAsia="方正兰亭黑简体" w:cs="Times New Roman"/>
                <w:color w:val="auto"/>
                <w:sz w:val="22"/>
                <w:szCs w:val="22"/>
                <w:highlight w:val="none"/>
                <w:lang w:eastAsia="zh-CN"/>
              </w:rPr>
              <w:t>无需</w:t>
            </w:r>
            <w:r>
              <w:rPr>
                <w:rFonts w:hint="default" w:ascii="Times New Roman" w:hAnsi="Times New Roman" w:eastAsia="方正兰亭黑简体" w:cs="Times New Roman"/>
                <w:color w:val="auto"/>
                <w:sz w:val="22"/>
                <w:szCs w:val="22"/>
                <w:highlight w:val="none"/>
              </w:rPr>
              <w:t>按键输入，操作按钮直接触摸点动选项。</w:t>
            </w:r>
          </w:p>
          <w:p w14:paraId="4AEE23A6">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2、主控程序具备低温、中温、</w:t>
            </w:r>
            <w:r>
              <w:rPr>
                <w:rFonts w:hint="default" w:ascii="Times New Roman" w:hAnsi="Times New Roman" w:eastAsia="方正兰亭黑简体" w:cs="Times New Roman"/>
                <w:color w:val="auto"/>
                <w:sz w:val="22"/>
                <w:szCs w:val="22"/>
                <w:highlight w:val="none"/>
                <w:lang w:val="en-US" w:eastAsia="zh-CN"/>
              </w:rPr>
              <w:t>高</w:t>
            </w:r>
            <w:r>
              <w:rPr>
                <w:rFonts w:hint="default" w:ascii="Times New Roman" w:hAnsi="Times New Roman" w:eastAsia="方正兰亭黑简体" w:cs="Times New Roman"/>
                <w:color w:val="auto"/>
                <w:sz w:val="22"/>
                <w:szCs w:val="22"/>
                <w:highlight w:val="none"/>
              </w:rPr>
              <w:t>温等多组PID控温，同时具备温度误差补偿，多点非线性补偿，避免一点修正缺点。</w:t>
            </w:r>
          </w:p>
          <w:p w14:paraId="2CDA793D">
            <w:pPr>
              <w:widowControl/>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rPr>
              <w:t>3、一个界面可设置气氛温度值、气氛超温报警值、液体槽水温检测值</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运行周期、杀菌周期、空气置换等</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具备多参数一个界面监控</w:t>
            </w:r>
            <w:r>
              <w:rPr>
                <w:rFonts w:hint="default" w:ascii="Times New Roman" w:hAnsi="Times New Roman" w:eastAsia="方正兰亭黑简体" w:cs="Times New Roman"/>
                <w:color w:val="auto"/>
                <w:sz w:val="22"/>
                <w:szCs w:val="22"/>
                <w:highlight w:val="none"/>
                <w:lang w:val="en-US" w:eastAsia="zh-CN"/>
              </w:rPr>
              <w:t>功能。</w:t>
            </w:r>
          </w:p>
          <w:p w14:paraId="5469DC25">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4、多路监控数据以数据组方式记录，或曲线记录。</w:t>
            </w:r>
          </w:p>
          <w:p w14:paraId="7C2F601D">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5、具备数据拷贝USB接口。</w:t>
            </w:r>
          </w:p>
          <w:p w14:paraId="5C64493F">
            <w:pPr>
              <w:widowControl/>
              <w:spacing w:line="360" w:lineRule="auto"/>
              <w:jc w:val="left"/>
              <w:rPr>
                <w:rFonts w:hint="default" w:ascii="Times New Roman" w:hAnsi="Times New Roman" w:eastAsia="方正兰亭黑简体" w:cs="Times New Roman"/>
                <w:color w:val="auto"/>
                <w:sz w:val="22"/>
                <w:szCs w:val="22"/>
                <w:highlight w:val="none"/>
                <w:lang w:eastAsia="zh-CN"/>
              </w:rPr>
            </w:pPr>
            <w:r>
              <w:rPr>
                <w:rFonts w:hint="default" w:ascii="Times New Roman" w:hAnsi="Times New Roman" w:eastAsia="方正兰亭黑简体" w:cs="Times New Roman"/>
                <w:color w:val="auto"/>
                <w:sz w:val="22"/>
                <w:szCs w:val="22"/>
                <w:highlight w:val="none"/>
              </w:rPr>
              <w:t>6、支持远程通讯接口R485/网口，通讯协议Modbus-tcp</w:t>
            </w:r>
            <w:r>
              <w:rPr>
                <w:rFonts w:hint="default" w:ascii="Times New Roman" w:hAnsi="Times New Roman" w:eastAsia="方正兰亭黑简体" w:cs="Times New Roman"/>
                <w:color w:val="auto"/>
                <w:sz w:val="22"/>
                <w:szCs w:val="22"/>
                <w:highlight w:val="none"/>
                <w:lang w:eastAsia="zh-CN"/>
              </w:rPr>
              <w:t>。</w:t>
            </w:r>
          </w:p>
        </w:tc>
      </w:tr>
      <w:tr w14:paraId="6335E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27" w:type="pct"/>
            <w:vAlign w:val="center"/>
          </w:tcPr>
          <w:p w14:paraId="40207337">
            <w:pPr>
              <w:spacing w:line="360" w:lineRule="auto"/>
              <w:jc w:val="center"/>
              <w:rPr>
                <w:rFonts w:hint="default" w:ascii="Times New Roman" w:hAnsi="Times New Roman" w:eastAsia="方正兰亭黑简体" w:cs="Times New Roman"/>
                <w:color w:val="auto"/>
                <w:sz w:val="22"/>
                <w:szCs w:val="22"/>
                <w:highlight w:val="none"/>
              </w:rPr>
            </w:pPr>
          </w:p>
        </w:tc>
        <w:tc>
          <w:tcPr>
            <w:tcW w:w="1086" w:type="pct"/>
            <w:vAlign w:val="center"/>
          </w:tcPr>
          <w:p w14:paraId="37F0D275">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除菌系统</w:t>
            </w:r>
          </w:p>
        </w:tc>
        <w:tc>
          <w:tcPr>
            <w:tcW w:w="3285" w:type="pct"/>
            <w:vAlign w:val="center"/>
          </w:tcPr>
          <w:p w14:paraId="5BC049CC">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在腔体顶部安装</w:t>
            </w:r>
            <w:r>
              <w:rPr>
                <w:rFonts w:hint="default" w:ascii="Times New Roman" w:hAnsi="Times New Roman" w:eastAsia="方正兰亭黑简体" w:cs="Times New Roman"/>
                <w:color w:val="auto"/>
                <w:sz w:val="22"/>
                <w:szCs w:val="22"/>
                <w:highlight w:val="none"/>
                <w:lang w:val="en-US" w:eastAsia="zh-CN"/>
              </w:rPr>
              <w:t>多盏</w:t>
            </w:r>
            <w:r>
              <w:rPr>
                <w:rFonts w:hint="default" w:ascii="Times New Roman" w:hAnsi="Times New Roman" w:eastAsia="方正兰亭黑简体" w:cs="Times New Roman"/>
                <w:color w:val="auto"/>
                <w:sz w:val="22"/>
                <w:szCs w:val="22"/>
                <w:highlight w:val="none"/>
              </w:rPr>
              <w:t>UV紫外灯</w:t>
            </w:r>
            <w:r>
              <w:rPr>
                <w:rFonts w:hint="default" w:ascii="Times New Roman" w:hAnsi="Times New Roman" w:eastAsia="方正兰亭黑简体" w:cs="Times New Roman"/>
                <w:color w:val="auto"/>
                <w:sz w:val="22"/>
                <w:szCs w:val="22"/>
                <w:highlight w:val="none"/>
                <w:lang w:eastAsia="zh-CN"/>
              </w:rPr>
              <w:t>。</w:t>
            </w:r>
            <w:r>
              <w:rPr>
                <w:rFonts w:hint="default" w:ascii="Times New Roman" w:hAnsi="Times New Roman" w:eastAsia="方正兰亭黑简体" w:cs="Times New Roman"/>
                <w:color w:val="auto"/>
                <w:sz w:val="22"/>
                <w:szCs w:val="22"/>
                <w:highlight w:val="none"/>
              </w:rPr>
              <w:t>通过主控制系统内部设置指令，</w:t>
            </w:r>
            <w:r>
              <w:rPr>
                <w:rFonts w:hint="default" w:ascii="Times New Roman" w:hAnsi="Times New Roman" w:eastAsia="方正兰亭黑简体" w:cs="Times New Roman"/>
                <w:color w:val="auto"/>
                <w:sz w:val="22"/>
                <w:szCs w:val="22"/>
                <w:highlight w:val="none"/>
                <w:lang w:val="en-US" w:eastAsia="zh-CN"/>
              </w:rPr>
              <w:t>控制</w:t>
            </w:r>
            <w:r>
              <w:rPr>
                <w:rFonts w:hint="default" w:ascii="Times New Roman" w:hAnsi="Times New Roman" w:eastAsia="方正兰亭黑简体" w:cs="Times New Roman"/>
                <w:color w:val="auto"/>
                <w:sz w:val="22"/>
                <w:szCs w:val="22"/>
                <w:highlight w:val="none"/>
              </w:rPr>
              <w:t>开关</w:t>
            </w:r>
            <w:r>
              <w:rPr>
                <w:rFonts w:hint="default" w:ascii="Times New Roman" w:hAnsi="Times New Roman" w:eastAsia="方正兰亭黑简体" w:cs="Times New Roman"/>
                <w:color w:val="auto"/>
                <w:sz w:val="22"/>
                <w:szCs w:val="22"/>
                <w:highlight w:val="none"/>
                <w:lang w:val="en-US" w:eastAsia="zh-CN"/>
              </w:rPr>
              <w:t>时间</w:t>
            </w:r>
            <w:r>
              <w:rPr>
                <w:rFonts w:hint="default" w:ascii="Times New Roman" w:hAnsi="Times New Roman" w:eastAsia="方正兰亭黑简体" w:cs="Times New Roman"/>
                <w:color w:val="auto"/>
                <w:sz w:val="22"/>
                <w:szCs w:val="22"/>
                <w:highlight w:val="none"/>
              </w:rPr>
              <w:t>，对腔体内部</w:t>
            </w:r>
            <w:r>
              <w:rPr>
                <w:rFonts w:hint="default" w:ascii="Times New Roman" w:hAnsi="Times New Roman" w:eastAsia="方正兰亭黑简体" w:cs="Times New Roman"/>
                <w:color w:val="auto"/>
                <w:sz w:val="22"/>
                <w:szCs w:val="22"/>
                <w:highlight w:val="none"/>
                <w:lang w:val="en-US" w:eastAsia="zh-CN"/>
              </w:rPr>
              <w:t>进行</w:t>
            </w:r>
            <w:r>
              <w:rPr>
                <w:rFonts w:hint="default" w:ascii="Times New Roman" w:hAnsi="Times New Roman" w:eastAsia="方正兰亭黑简体" w:cs="Times New Roman"/>
                <w:color w:val="auto"/>
                <w:sz w:val="22"/>
                <w:szCs w:val="22"/>
                <w:highlight w:val="none"/>
              </w:rPr>
              <w:t>杀菌。该功能受总控制程序统一管理，运行中关闭杀菌功能。</w:t>
            </w:r>
          </w:p>
        </w:tc>
      </w:tr>
      <w:tr w14:paraId="588A9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27" w:type="pct"/>
            <w:vAlign w:val="center"/>
          </w:tcPr>
          <w:p w14:paraId="77939858">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11</w:t>
            </w:r>
          </w:p>
        </w:tc>
        <w:tc>
          <w:tcPr>
            <w:tcW w:w="1086" w:type="pct"/>
            <w:vAlign w:val="center"/>
          </w:tcPr>
          <w:p w14:paraId="744859A2">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换气过滤系统</w:t>
            </w:r>
          </w:p>
        </w:tc>
        <w:tc>
          <w:tcPr>
            <w:tcW w:w="3285" w:type="pct"/>
            <w:vAlign w:val="center"/>
          </w:tcPr>
          <w:p w14:paraId="6F8E65F2">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在外进口风道内部增加高效或中效过滤器过滤掉细小微颗粒，</w:t>
            </w:r>
            <w:r>
              <w:rPr>
                <w:rFonts w:hint="eastAsia" w:ascii="Times New Roman" w:hAnsi="Times New Roman" w:eastAsia="方正兰亭黑简体" w:cs="Times New Roman"/>
                <w:color w:val="auto"/>
                <w:sz w:val="22"/>
                <w:szCs w:val="22"/>
                <w:highlight w:val="none"/>
                <w:lang w:eastAsia="zh-CN"/>
              </w:rPr>
              <w:t>由</w:t>
            </w:r>
            <w:r>
              <w:rPr>
                <w:rFonts w:hint="default" w:ascii="Times New Roman" w:hAnsi="Times New Roman" w:eastAsia="方正兰亭黑简体" w:cs="Times New Roman"/>
                <w:color w:val="auto"/>
                <w:sz w:val="22"/>
                <w:szCs w:val="22"/>
                <w:highlight w:val="none"/>
              </w:rPr>
              <w:t>涡轮离心风机主动将干净的新鲜空气送入内部循环。</w:t>
            </w:r>
          </w:p>
          <w:p w14:paraId="44E9E12F">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过滤效率：</w:t>
            </w:r>
            <w:r>
              <w:rPr>
                <w:rFonts w:hint="default" w:ascii="Times New Roman" w:hAnsi="Times New Roman" w:eastAsia="方正兰亭黑简体" w:cs="Times New Roman"/>
                <w:color w:val="auto"/>
                <w:sz w:val="22"/>
                <w:szCs w:val="22"/>
                <w:highlight w:val="none"/>
                <w:lang w:val="en-US" w:eastAsia="zh-CN"/>
              </w:rPr>
              <w:t>≤</w:t>
            </w:r>
            <w:r>
              <w:rPr>
                <w:rFonts w:hint="default" w:ascii="Times New Roman" w:hAnsi="Times New Roman" w:eastAsia="方正兰亭黑简体" w:cs="Times New Roman"/>
                <w:color w:val="auto"/>
                <w:sz w:val="22"/>
                <w:szCs w:val="22"/>
                <w:highlight w:val="none"/>
              </w:rPr>
              <w:t>2μm，过滤器具备卡盘接口，方便更换拆卸。</w:t>
            </w:r>
          </w:p>
          <w:p w14:paraId="5B70B40B">
            <w:pPr>
              <w:widowControl/>
              <w:spacing w:line="360" w:lineRule="auto"/>
              <w:jc w:val="left"/>
              <w:rPr>
                <w:rFonts w:hint="default" w:ascii="Times New Roman" w:hAnsi="Times New Roman" w:eastAsia="方正兰亭黑简体" w:cs="Times New Roman"/>
                <w:color w:val="auto"/>
                <w:sz w:val="22"/>
                <w:szCs w:val="22"/>
                <w:highlight w:val="none"/>
                <w:lang w:val="en-US" w:eastAsia="zh-CN"/>
              </w:rPr>
            </w:pPr>
            <w:r>
              <w:rPr>
                <w:rFonts w:hint="default" w:ascii="Times New Roman" w:hAnsi="Times New Roman" w:eastAsia="方正兰亭黑简体" w:cs="Times New Roman"/>
                <w:color w:val="auto"/>
                <w:sz w:val="22"/>
                <w:szCs w:val="22"/>
                <w:highlight w:val="none"/>
              </w:rPr>
              <w:t>该换气电机通过主控制系统预设定，满足温度培养条件时指令开启自动启动强制换气，新鲜空气经过过滤器送入腔室内，充足的氧含量使内部培养更稳定。</w:t>
            </w:r>
          </w:p>
          <w:p w14:paraId="1B117495">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该功能受总控制程序统一管理，低温冷冻运行中关闭换气功能。</w:t>
            </w:r>
          </w:p>
        </w:tc>
      </w:tr>
      <w:tr w14:paraId="5BABD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27" w:type="pct"/>
            <w:vAlign w:val="center"/>
          </w:tcPr>
          <w:p w14:paraId="2DAACE27">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12</w:t>
            </w:r>
          </w:p>
        </w:tc>
        <w:tc>
          <w:tcPr>
            <w:tcW w:w="1086" w:type="pct"/>
            <w:vAlign w:val="center"/>
          </w:tcPr>
          <w:p w14:paraId="0CB38098">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搅拌螺旋桨控制</w:t>
            </w:r>
          </w:p>
        </w:tc>
        <w:tc>
          <w:tcPr>
            <w:tcW w:w="3285" w:type="pct"/>
            <w:vAlign w:val="center"/>
          </w:tcPr>
          <w:p w14:paraId="548C383D">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配备变频电机，不锈钢+塑料螺旋桨结合，防腐更安全。</w:t>
            </w:r>
          </w:p>
          <w:p w14:paraId="3876DD45">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主面板设置转速调节旋钮，搅拌快慢可以直接调节。</w:t>
            </w:r>
          </w:p>
        </w:tc>
      </w:tr>
      <w:tr w14:paraId="3C321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27" w:type="pct"/>
            <w:vAlign w:val="center"/>
          </w:tcPr>
          <w:p w14:paraId="1F0C9517">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13</w:t>
            </w:r>
          </w:p>
        </w:tc>
        <w:tc>
          <w:tcPr>
            <w:tcW w:w="1086" w:type="pct"/>
            <w:vAlign w:val="center"/>
          </w:tcPr>
          <w:p w14:paraId="40C0445C">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低温制冷系统</w:t>
            </w:r>
          </w:p>
        </w:tc>
        <w:tc>
          <w:tcPr>
            <w:tcW w:w="3285" w:type="pct"/>
            <w:vAlign w:val="center"/>
          </w:tcPr>
          <w:p w14:paraId="0778B198">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制冷机须采用国际一线品牌，最好法国泰康或谷轮艾默生低温全封闭风冷压缩机组。</w:t>
            </w:r>
          </w:p>
          <w:p w14:paraId="3C41C23A">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冷冻系统采用复迭式低温回路系统设计，在常温运行时只有一组压缩机在运行，</w:t>
            </w:r>
            <w:r>
              <w:rPr>
                <w:rFonts w:hint="eastAsia" w:ascii="Times New Roman" w:hAnsi="Times New Roman" w:eastAsia="方正兰亭黑简体" w:cs="Times New Roman"/>
                <w:color w:val="auto"/>
                <w:sz w:val="22"/>
                <w:szCs w:val="22"/>
                <w:highlight w:val="none"/>
                <w:lang w:eastAsia="zh-CN"/>
              </w:rPr>
              <w:t>噪声</w:t>
            </w:r>
            <w:r>
              <w:rPr>
                <w:rFonts w:hint="default" w:ascii="Times New Roman" w:hAnsi="Times New Roman" w:eastAsia="方正兰亭黑简体" w:cs="Times New Roman"/>
                <w:color w:val="auto"/>
                <w:sz w:val="22"/>
                <w:szCs w:val="22"/>
                <w:highlight w:val="none"/>
              </w:rPr>
              <w:t>低，节能环保。</w:t>
            </w:r>
          </w:p>
          <w:p w14:paraId="41C4F2C7">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低温系统采用丹弗斯低温节流技术，使低温节流更精确，更节能。</w:t>
            </w:r>
          </w:p>
          <w:p w14:paraId="3BA28F9D">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内部循环采用多翼式送风机强力送风循环，避免任何死角，可使测试区域内温湿度分布均匀。</w:t>
            </w:r>
          </w:p>
          <w:p w14:paraId="6BEEC4B8">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升温、降温、加湿系统完全独立可提高效率，降低测试成本，增长寿命，减低故障率。</w:t>
            </w:r>
          </w:p>
        </w:tc>
      </w:tr>
      <w:tr w14:paraId="36DD0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27" w:type="pct"/>
            <w:vAlign w:val="center"/>
          </w:tcPr>
          <w:p w14:paraId="20CA0D1B">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14</w:t>
            </w:r>
          </w:p>
        </w:tc>
        <w:tc>
          <w:tcPr>
            <w:tcW w:w="1086" w:type="pct"/>
            <w:vAlign w:val="center"/>
          </w:tcPr>
          <w:p w14:paraId="0265804E">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加热系统</w:t>
            </w:r>
          </w:p>
        </w:tc>
        <w:tc>
          <w:tcPr>
            <w:tcW w:w="3285" w:type="pct"/>
            <w:vAlign w:val="center"/>
          </w:tcPr>
          <w:p w14:paraId="6433257E">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采用防腐型不锈钢翅片加热管、分三组，表面采用316不锈钢材质，确保在海水环境中使用寿命更持久稳定。</w:t>
            </w:r>
          </w:p>
        </w:tc>
      </w:tr>
      <w:tr w14:paraId="756D7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27" w:type="pct"/>
            <w:vAlign w:val="center"/>
          </w:tcPr>
          <w:p w14:paraId="7E5C9743">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15</w:t>
            </w:r>
          </w:p>
        </w:tc>
        <w:tc>
          <w:tcPr>
            <w:tcW w:w="1086" w:type="pct"/>
            <w:vAlign w:val="center"/>
          </w:tcPr>
          <w:p w14:paraId="4123D4C2">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温度传感器</w:t>
            </w:r>
          </w:p>
        </w:tc>
        <w:tc>
          <w:tcPr>
            <w:tcW w:w="3285" w:type="pct"/>
            <w:vAlign w:val="center"/>
          </w:tcPr>
          <w:p w14:paraId="72BA6B21">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1、一根A级PT100铂电阻气氛控温</w:t>
            </w:r>
          </w:p>
          <w:p w14:paraId="74ACCFB0">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2、一根A级PT100铂电阻液体监控</w:t>
            </w:r>
          </w:p>
          <w:p w14:paraId="77969E5F">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3、测量温度范围：-80~200℃</w:t>
            </w:r>
          </w:p>
        </w:tc>
      </w:tr>
      <w:tr w14:paraId="06709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27" w:type="pct"/>
            <w:vAlign w:val="center"/>
          </w:tcPr>
          <w:p w14:paraId="62927E6C">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16</w:t>
            </w:r>
          </w:p>
        </w:tc>
        <w:tc>
          <w:tcPr>
            <w:tcW w:w="1086" w:type="pct"/>
            <w:vAlign w:val="center"/>
          </w:tcPr>
          <w:p w14:paraId="2908F0CB">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pH值</w:t>
            </w:r>
          </w:p>
        </w:tc>
        <w:tc>
          <w:tcPr>
            <w:tcW w:w="3285" w:type="pct"/>
            <w:vAlign w:val="center"/>
          </w:tcPr>
          <w:p w14:paraId="14008B56">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玻璃电极法</w:t>
            </w:r>
          </w:p>
          <w:p w14:paraId="73EE1BEF">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测量范围：6到10</w:t>
            </w:r>
          </w:p>
          <w:p w14:paraId="44934C97">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测量误差：±0.1</w:t>
            </w:r>
          </w:p>
        </w:tc>
      </w:tr>
      <w:tr w14:paraId="44C0A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27" w:type="pct"/>
            <w:vAlign w:val="center"/>
          </w:tcPr>
          <w:p w14:paraId="455B78D9">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17</w:t>
            </w:r>
          </w:p>
        </w:tc>
        <w:tc>
          <w:tcPr>
            <w:tcW w:w="1086" w:type="pct"/>
            <w:vAlign w:val="center"/>
          </w:tcPr>
          <w:p w14:paraId="6137EAFB">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盐度值</w:t>
            </w:r>
          </w:p>
        </w:tc>
        <w:tc>
          <w:tcPr>
            <w:tcW w:w="3285" w:type="pct"/>
            <w:vAlign w:val="center"/>
          </w:tcPr>
          <w:p w14:paraId="53145FDB">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石墨电极法</w:t>
            </w:r>
          </w:p>
          <w:p w14:paraId="4FAE2D7F">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测量范围：1%到4%</w:t>
            </w:r>
          </w:p>
          <w:p w14:paraId="2F4DAEFB">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测量范围误差：±1.5%</w:t>
            </w:r>
          </w:p>
        </w:tc>
      </w:tr>
      <w:tr w14:paraId="62000F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27" w:type="pct"/>
            <w:vAlign w:val="center"/>
          </w:tcPr>
          <w:p w14:paraId="29542CC5">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18</w:t>
            </w:r>
          </w:p>
        </w:tc>
        <w:tc>
          <w:tcPr>
            <w:tcW w:w="1086" w:type="pct"/>
            <w:vAlign w:val="center"/>
          </w:tcPr>
          <w:p w14:paraId="1D4654AA">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溶解氧</w:t>
            </w:r>
          </w:p>
        </w:tc>
        <w:tc>
          <w:tcPr>
            <w:tcW w:w="3285" w:type="pct"/>
            <w:vAlign w:val="center"/>
          </w:tcPr>
          <w:p w14:paraId="449CE509">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电极法</w:t>
            </w:r>
          </w:p>
          <w:p w14:paraId="520B5426">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测量范围：0-20mg/L</w:t>
            </w:r>
          </w:p>
          <w:p w14:paraId="3964DF5F">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精度：±1.5%FS</w:t>
            </w:r>
          </w:p>
        </w:tc>
      </w:tr>
      <w:tr w14:paraId="46977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27" w:type="pct"/>
            <w:vAlign w:val="center"/>
          </w:tcPr>
          <w:p w14:paraId="56B363D2">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19</w:t>
            </w:r>
          </w:p>
        </w:tc>
        <w:tc>
          <w:tcPr>
            <w:tcW w:w="1086" w:type="pct"/>
            <w:vAlign w:val="center"/>
          </w:tcPr>
          <w:p w14:paraId="3B0965D4">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钙离子值</w:t>
            </w:r>
          </w:p>
        </w:tc>
        <w:tc>
          <w:tcPr>
            <w:tcW w:w="3285" w:type="pct"/>
            <w:vAlign w:val="center"/>
          </w:tcPr>
          <w:p w14:paraId="38250970">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离子电极法</w:t>
            </w:r>
          </w:p>
          <w:p w14:paraId="7FE7D251">
            <w:pPr>
              <w:widowControl/>
              <w:spacing w:line="360" w:lineRule="auto"/>
              <w:jc w:val="left"/>
              <w:rPr>
                <w:rFonts w:hint="eastAsia" w:ascii="Times New Roman" w:hAnsi="Times New Roman" w:eastAsia="方正兰亭黑简体" w:cs="Times New Roman"/>
                <w:color w:val="auto"/>
                <w:sz w:val="22"/>
                <w:szCs w:val="22"/>
                <w:highlight w:val="none"/>
                <w:lang w:eastAsia="zh-CN"/>
              </w:rPr>
            </w:pPr>
            <w:r>
              <w:rPr>
                <w:rFonts w:hint="default" w:ascii="Times New Roman" w:hAnsi="Times New Roman" w:eastAsia="方正兰亭黑简体" w:cs="Times New Roman"/>
                <w:color w:val="auto"/>
                <w:sz w:val="22"/>
                <w:szCs w:val="22"/>
                <w:highlight w:val="none"/>
              </w:rPr>
              <w:t>测量范围：50-2300mg/L</w:t>
            </w:r>
          </w:p>
          <w:p w14:paraId="3B13C0E9">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测量误差：±10%</w:t>
            </w:r>
          </w:p>
        </w:tc>
      </w:tr>
      <w:tr w14:paraId="0B4578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0" w:hRule="atLeast"/>
          <w:jc w:val="center"/>
        </w:trPr>
        <w:tc>
          <w:tcPr>
            <w:tcW w:w="627" w:type="pct"/>
            <w:vAlign w:val="center"/>
          </w:tcPr>
          <w:p w14:paraId="1D134B8A">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20</w:t>
            </w:r>
          </w:p>
        </w:tc>
        <w:tc>
          <w:tcPr>
            <w:tcW w:w="1086" w:type="pct"/>
            <w:vAlign w:val="center"/>
          </w:tcPr>
          <w:p w14:paraId="0845B0F2">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报警与监控保护</w:t>
            </w:r>
          </w:p>
        </w:tc>
        <w:tc>
          <w:tcPr>
            <w:tcW w:w="3285" w:type="pct"/>
            <w:vAlign w:val="center"/>
          </w:tcPr>
          <w:p w14:paraId="1E50B4F6">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超温报警</w:t>
            </w:r>
          </w:p>
          <w:p w14:paraId="193B05EE">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独立限温断电保护</w:t>
            </w:r>
          </w:p>
          <w:p w14:paraId="085F36A8">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漏电保护</w:t>
            </w:r>
          </w:p>
          <w:p w14:paraId="47C0918A">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电机过电流保护</w:t>
            </w:r>
          </w:p>
          <w:p w14:paraId="419C320D">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快速熔断器</w:t>
            </w:r>
          </w:p>
          <w:p w14:paraId="2038EB2D">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压缩机过热保护</w:t>
            </w:r>
          </w:p>
          <w:p w14:paraId="42A2D7A4">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压缩机过电流保护</w:t>
            </w:r>
          </w:p>
          <w:p w14:paraId="7C37948D">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线路保险丝及全护套式端子</w:t>
            </w:r>
          </w:p>
          <w:p w14:paraId="046CFF87">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接地保护</w:t>
            </w:r>
          </w:p>
        </w:tc>
      </w:tr>
      <w:tr w14:paraId="548E95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27" w:type="pct"/>
            <w:vAlign w:val="center"/>
          </w:tcPr>
          <w:p w14:paraId="2480B385">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21</w:t>
            </w:r>
          </w:p>
        </w:tc>
        <w:tc>
          <w:tcPr>
            <w:tcW w:w="1086" w:type="pct"/>
            <w:vAlign w:val="center"/>
          </w:tcPr>
          <w:p w14:paraId="7873B11B">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总功率</w:t>
            </w:r>
          </w:p>
        </w:tc>
        <w:tc>
          <w:tcPr>
            <w:tcW w:w="3285" w:type="pct"/>
            <w:vAlign w:val="center"/>
          </w:tcPr>
          <w:p w14:paraId="033EDD34">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12</w:t>
            </w:r>
            <w:r>
              <w:rPr>
                <w:rFonts w:hint="eastAsia" w:ascii="Times New Roman" w:hAnsi="Times New Roman" w:eastAsia="方正兰亭黑简体" w:cs="Times New Roman"/>
                <w:color w:val="auto"/>
                <w:sz w:val="22"/>
                <w:szCs w:val="22"/>
                <w:highlight w:val="none"/>
                <w:lang w:eastAsia="zh-CN"/>
              </w:rPr>
              <w:t>kW</w:t>
            </w:r>
            <w:r>
              <w:rPr>
                <w:rFonts w:hint="default" w:ascii="Times New Roman" w:hAnsi="Times New Roman" w:eastAsia="方正兰亭黑简体" w:cs="Times New Roman"/>
                <w:color w:val="auto"/>
                <w:sz w:val="22"/>
                <w:szCs w:val="22"/>
                <w:highlight w:val="none"/>
              </w:rPr>
              <w:t>以内</w:t>
            </w:r>
          </w:p>
        </w:tc>
      </w:tr>
      <w:tr w14:paraId="74EC8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 w:hRule="atLeast"/>
          <w:jc w:val="center"/>
        </w:trPr>
        <w:tc>
          <w:tcPr>
            <w:tcW w:w="627" w:type="pct"/>
            <w:vAlign w:val="center"/>
          </w:tcPr>
          <w:p w14:paraId="7C0FF2F8">
            <w:pPr>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22</w:t>
            </w:r>
          </w:p>
        </w:tc>
        <w:tc>
          <w:tcPr>
            <w:tcW w:w="1086" w:type="pct"/>
            <w:vAlign w:val="center"/>
          </w:tcPr>
          <w:p w14:paraId="0AE90550">
            <w:pPr>
              <w:widowControl/>
              <w:spacing w:line="360" w:lineRule="auto"/>
              <w:jc w:val="center"/>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腔体内预留电源</w:t>
            </w:r>
          </w:p>
        </w:tc>
        <w:tc>
          <w:tcPr>
            <w:tcW w:w="3285" w:type="pct"/>
            <w:vAlign w:val="center"/>
          </w:tcPr>
          <w:p w14:paraId="7485BE48">
            <w:pPr>
              <w:widowControl/>
              <w:spacing w:line="360" w:lineRule="auto"/>
              <w:jc w:val="left"/>
              <w:rPr>
                <w:rFonts w:hint="default" w:ascii="Times New Roman" w:hAnsi="Times New Roman" w:eastAsia="方正兰亭黑简体" w:cs="Times New Roman"/>
                <w:color w:val="auto"/>
                <w:sz w:val="22"/>
                <w:szCs w:val="22"/>
                <w:highlight w:val="none"/>
              </w:rPr>
            </w:pPr>
            <w:r>
              <w:rPr>
                <w:rFonts w:hint="default" w:ascii="Times New Roman" w:hAnsi="Times New Roman" w:eastAsia="方正兰亭黑简体" w:cs="Times New Roman"/>
                <w:color w:val="auto"/>
                <w:sz w:val="22"/>
                <w:szCs w:val="22"/>
                <w:highlight w:val="none"/>
              </w:rPr>
              <w:t>腔体内预留插线板2个，不少于6个220V插孔</w:t>
            </w:r>
          </w:p>
        </w:tc>
      </w:tr>
    </w:tbl>
    <w:p w14:paraId="652D0A8C">
      <w:pPr>
        <w:widowControl/>
        <w:shd w:val="clear" w:color="auto" w:fill="FFFFFF"/>
        <w:spacing w:line="360" w:lineRule="auto"/>
        <w:jc w:val="left"/>
        <w:rPr>
          <w:rFonts w:hint="eastAsia" w:ascii="方正兰亭黑简体" w:hAnsi="方正兰亭黑简体" w:eastAsia="方正兰亭黑简体" w:cs="方正兰亭黑简体"/>
          <w:b/>
          <w:bCs/>
          <w:color w:val="auto"/>
          <w:kern w:val="0"/>
          <w:sz w:val="22"/>
          <w:szCs w:val="22"/>
          <w:highlight w:val="none"/>
          <w:lang w:val="en-US" w:eastAsia="zh-CN"/>
        </w:rPr>
      </w:pPr>
    </w:p>
    <w:p w14:paraId="34E97200">
      <w:pPr>
        <w:widowControl/>
        <w:shd w:val="clear" w:color="auto" w:fill="FFFFFF"/>
        <w:spacing w:line="360" w:lineRule="auto"/>
        <w:jc w:val="left"/>
        <w:rPr>
          <w:rFonts w:hint="eastAsia" w:ascii="方正兰亭黑简体" w:hAnsi="方正兰亭黑简体" w:eastAsia="方正兰亭黑简体" w:cs="方正兰亭黑简体"/>
          <w:color w:val="auto"/>
          <w:kern w:val="0"/>
          <w:sz w:val="22"/>
          <w:szCs w:val="22"/>
          <w:highlight w:val="none"/>
          <w:lang w:val="en-US" w:eastAsia="zh-CN"/>
        </w:rPr>
      </w:pPr>
      <w:r>
        <w:rPr>
          <w:rFonts w:hint="eastAsia" w:ascii="方正兰亭黑简体" w:hAnsi="方正兰亭黑简体" w:eastAsia="方正兰亭黑简体" w:cs="方正兰亭黑简体"/>
          <w:b/>
          <w:bCs/>
          <w:color w:val="auto"/>
          <w:kern w:val="0"/>
          <w:sz w:val="22"/>
          <w:szCs w:val="22"/>
          <w:highlight w:val="none"/>
          <w:lang w:val="en-US" w:eastAsia="zh-CN"/>
        </w:rPr>
        <w:t>四</w:t>
      </w:r>
      <w:r>
        <w:rPr>
          <w:rFonts w:hint="default" w:ascii="方正兰亭黑简体" w:hAnsi="方正兰亭黑简体" w:eastAsia="方正兰亭黑简体" w:cs="方正兰亭黑简体"/>
          <w:b/>
          <w:bCs/>
          <w:color w:val="auto"/>
          <w:kern w:val="0"/>
          <w:sz w:val="22"/>
          <w:szCs w:val="22"/>
          <w:highlight w:val="none"/>
          <w:lang w:val="en-US" w:eastAsia="zh-CN"/>
        </w:rPr>
        <w:t>、</w:t>
      </w:r>
      <w:r>
        <w:rPr>
          <w:rFonts w:hint="eastAsia" w:ascii="方正兰亭黑简体" w:hAnsi="方正兰亭黑简体" w:eastAsia="方正兰亭黑简体" w:cs="方正兰亭黑简体"/>
          <w:b/>
          <w:bCs/>
          <w:color w:val="auto"/>
          <w:kern w:val="0"/>
          <w:sz w:val="22"/>
          <w:szCs w:val="22"/>
          <w:highlight w:val="none"/>
          <w:lang w:val="en-US" w:eastAsia="zh-CN"/>
        </w:rPr>
        <w:t>其他要求</w:t>
      </w:r>
    </w:p>
    <w:p w14:paraId="034F0627">
      <w:pPr>
        <w:ind w:left="0" w:leftChars="0" w:firstLine="0" w:firstLineChars="0"/>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1、质保服务：</w:t>
      </w:r>
      <w:r>
        <w:rPr>
          <w:rFonts w:hint="eastAsia" w:ascii="方正兰亭黑简体" w:hAnsi="方正兰亭黑简体" w:eastAsia="方正兰亭黑简体" w:cs="方正兰亭黑简体"/>
          <w:color w:val="auto"/>
          <w:sz w:val="22"/>
          <w:szCs w:val="28"/>
          <w:highlight w:val="none"/>
          <w:lang w:val="zh-CN" w:eastAsia="zh-CN"/>
        </w:rPr>
        <w:t>所有硬件1年免费保修、所有软件1年免费</w:t>
      </w:r>
      <w:r>
        <w:rPr>
          <w:rFonts w:hint="eastAsia" w:ascii="方正兰亭黑简体" w:hAnsi="方正兰亭黑简体" w:eastAsia="方正兰亭黑简体" w:cs="方正兰亭黑简体"/>
          <w:color w:val="auto"/>
          <w:sz w:val="22"/>
          <w:szCs w:val="28"/>
          <w:highlight w:val="none"/>
          <w:lang w:val="en-US" w:eastAsia="zh-CN"/>
        </w:rPr>
        <w:t>维护</w:t>
      </w:r>
      <w:r>
        <w:rPr>
          <w:rFonts w:hint="eastAsia" w:ascii="方正兰亭黑简体" w:hAnsi="方正兰亭黑简体" w:eastAsia="方正兰亭黑简体" w:cs="方正兰亭黑简体"/>
          <w:color w:val="auto"/>
          <w:sz w:val="22"/>
          <w:szCs w:val="28"/>
          <w:highlight w:val="none"/>
          <w:lang w:val="zh-CN" w:eastAsia="zh-CN"/>
        </w:rPr>
        <w:t>升级、电话报修后24小时上门服务、48小时内排除故障。所有硬件过免费保修期后按原价维修（按投标货物价格数量表所列价格，更换零部件的按合同签订时的零部件价格）、所有软件过免费</w:t>
      </w:r>
      <w:r>
        <w:rPr>
          <w:rFonts w:hint="eastAsia" w:ascii="方正兰亭黑简体" w:hAnsi="方正兰亭黑简体" w:eastAsia="方正兰亭黑简体" w:cs="方正兰亭黑简体"/>
          <w:color w:val="auto"/>
          <w:sz w:val="22"/>
          <w:szCs w:val="28"/>
          <w:highlight w:val="none"/>
          <w:lang w:val="en-US" w:eastAsia="zh-CN"/>
        </w:rPr>
        <w:t>维护</w:t>
      </w:r>
      <w:r>
        <w:rPr>
          <w:rFonts w:hint="eastAsia" w:ascii="方正兰亭黑简体" w:hAnsi="方正兰亭黑简体" w:eastAsia="方正兰亭黑简体" w:cs="方正兰亭黑简体"/>
          <w:color w:val="auto"/>
          <w:sz w:val="22"/>
          <w:szCs w:val="28"/>
          <w:highlight w:val="none"/>
          <w:lang w:val="zh-CN" w:eastAsia="zh-CN"/>
        </w:rPr>
        <w:t>升级期</w:t>
      </w:r>
      <w:r>
        <w:rPr>
          <w:rFonts w:hint="eastAsia" w:ascii="方正兰亭黑简体" w:hAnsi="方正兰亭黑简体" w:eastAsia="方正兰亭黑简体" w:cs="方正兰亭黑简体"/>
          <w:color w:val="auto"/>
          <w:sz w:val="22"/>
          <w:szCs w:val="28"/>
          <w:highlight w:val="none"/>
          <w:lang w:val="en-US" w:eastAsia="zh-CN"/>
        </w:rPr>
        <w:t>后按原价</w:t>
      </w:r>
      <w:r>
        <w:rPr>
          <w:rFonts w:hint="eastAsia" w:ascii="方正兰亭黑简体" w:hAnsi="方正兰亭黑简体" w:eastAsia="方正兰亭黑简体" w:cs="方正兰亭黑简体"/>
          <w:color w:val="auto"/>
          <w:sz w:val="22"/>
          <w:szCs w:val="28"/>
          <w:highlight w:val="none"/>
          <w:lang w:val="zh-CN" w:eastAsia="zh-CN"/>
        </w:rPr>
        <w:t>进行维修升级，响应速度同保修期响应速度。</w:t>
      </w:r>
    </w:p>
    <w:p w14:paraId="590EB7B8">
      <w:pPr>
        <w:ind w:left="0" w:leftChars="0" w:firstLine="0" w:firstLineChars="0"/>
        <w:jc w:val="left"/>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2、履约验收：</w:t>
      </w:r>
      <w:r>
        <w:rPr>
          <w:rFonts w:hint="eastAsia" w:ascii="方正兰亭黑简体" w:hAnsi="方正兰亭黑简体" w:eastAsia="方正兰亭黑简体" w:cs="方正兰亭黑简体"/>
          <w:color w:val="auto"/>
          <w:sz w:val="22"/>
          <w:szCs w:val="28"/>
          <w:highlight w:val="none"/>
          <w:lang w:val="zh-CN" w:eastAsia="zh-CN"/>
        </w:rPr>
        <w:t>安装调试结束后7个工作日内验收，验收人员包括科技处、项目经费负责人、设备使用人，验收方式采取实际操作验收，验收内容主要针对核心关键参数进行验收。</w:t>
      </w:r>
    </w:p>
    <w:p w14:paraId="104324FB">
      <w:pPr>
        <w:rPr>
          <w:rFonts w:hint="eastAsia"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br w:type="page"/>
      </w:r>
    </w:p>
    <w:p w14:paraId="6F08D747">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第三章 评审办法</w:t>
      </w:r>
    </w:p>
    <w:p w14:paraId="69EFEE19">
      <w:pPr>
        <w:ind w:firstLine="440" w:firstLineChars="200"/>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综合本项目的特点，根据相关法律法规的规定，本着保护竞争，维护采购工作公开、公平、公正原则，特制定本评审办法，作为选定本次采购</w:t>
      </w:r>
      <w:r>
        <w:rPr>
          <w:rFonts w:hint="eastAsia" w:ascii="方正兰亭黑简体" w:hAnsi="方正兰亭黑简体" w:eastAsia="方正兰亭黑简体" w:cs="方正兰亭黑简体"/>
          <w:color w:val="auto"/>
          <w:sz w:val="22"/>
          <w:szCs w:val="28"/>
          <w:highlight w:val="none"/>
          <w:lang w:eastAsia="zh-CN"/>
        </w:rPr>
        <w:t>中标</w:t>
      </w:r>
      <w:r>
        <w:rPr>
          <w:rFonts w:hint="eastAsia" w:ascii="方正兰亭黑简体" w:hAnsi="方正兰亭黑简体" w:eastAsia="方正兰亭黑简体" w:cs="方正兰亭黑简体"/>
          <w:color w:val="auto"/>
          <w:sz w:val="22"/>
          <w:szCs w:val="28"/>
          <w:highlight w:val="none"/>
        </w:rPr>
        <w:t>人的依据。</w:t>
      </w:r>
    </w:p>
    <w:p w14:paraId="117C4525">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lang w:val="en-US" w:eastAsia="zh-CN"/>
        </w:rPr>
        <w:t>1、成立比选评审小组</w:t>
      </w:r>
    </w:p>
    <w:p w14:paraId="49C58FDA">
      <w:p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sz w:val="22"/>
          <w:szCs w:val="28"/>
          <w:highlight w:val="none"/>
        </w:rPr>
        <w:t>采购人将根据</w:t>
      </w:r>
      <w:r>
        <w:rPr>
          <w:rFonts w:hint="eastAsia" w:ascii="方正兰亭黑简体" w:hAnsi="方正兰亭黑简体" w:eastAsia="方正兰亭黑简体" w:cs="方正兰亭黑简体"/>
          <w:color w:val="auto"/>
          <w:sz w:val="22"/>
          <w:szCs w:val="28"/>
          <w:highlight w:val="none"/>
          <w:lang w:val="en-US" w:eastAsia="zh-CN"/>
        </w:rPr>
        <w:t>货物与服务</w:t>
      </w:r>
      <w:r>
        <w:rPr>
          <w:rFonts w:hint="eastAsia" w:ascii="方正兰亭黑简体" w:hAnsi="方正兰亭黑简体" w:eastAsia="方正兰亭黑简体" w:cs="方正兰亭黑简体"/>
          <w:color w:val="auto"/>
          <w:sz w:val="22"/>
          <w:szCs w:val="28"/>
          <w:highlight w:val="none"/>
        </w:rPr>
        <w:t>的特点，依</w:t>
      </w:r>
      <w:r>
        <w:rPr>
          <w:rFonts w:hint="eastAsia" w:ascii="方正兰亭黑简体" w:hAnsi="方正兰亭黑简体" w:eastAsia="方正兰亭黑简体" w:cs="方正兰亭黑简体"/>
          <w:color w:val="auto"/>
          <w:sz w:val="22"/>
          <w:szCs w:val="28"/>
          <w:highlight w:val="none"/>
          <w:lang w:val="en-US" w:eastAsia="zh-CN"/>
        </w:rPr>
        <w:t>规</w:t>
      </w:r>
      <w:r>
        <w:rPr>
          <w:rFonts w:hint="eastAsia" w:ascii="方正兰亭黑简体" w:hAnsi="方正兰亭黑简体" w:eastAsia="方正兰亭黑简体" w:cs="方正兰亭黑简体"/>
          <w:color w:val="auto"/>
          <w:sz w:val="22"/>
          <w:szCs w:val="28"/>
          <w:highlight w:val="none"/>
        </w:rPr>
        <w:t>组建比选小组，比选小组由3人或以上的单数组成。</w:t>
      </w:r>
    </w:p>
    <w:p w14:paraId="123C9161">
      <w:pPr>
        <w:numPr>
          <w:ilvl w:val="0"/>
          <w:numId w:val="0"/>
        </w:numPr>
        <w:jc w:val="left"/>
        <w:rPr>
          <w:rFonts w:hint="eastAsia" w:ascii="方正兰亭黑简体" w:hAnsi="方正兰亭黑简体" w:eastAsia="方正兰亭黑简体" w:cs="方正兰亭黑简体"/>
          <w:color w:val="auto"/>
          <w:sz w:val="22"/>
          <w:szCs w:val="28"/>
          <w:highlight w:val="none"/>
        </w:rPr>
      </w:pPr>
      <w:r>
        <w:rPr>
          <w:rFonts w:hint="eastAsia"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rPr>
        <w:t>具体评分细则如下：</w:t>
      </w:r>
    </w:p>
    <w:tbl>
      <w:tblPr>
        <w:tblStyle w:val="14"/>
        <w:tblW w:w="4984"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653"/>
        <w:gridCol w:w="1734"/>
        <w:gridCol w:w="713"/>
        <w:gridCol w:w="6830"/>
      </w:tblGrid>
      <w:tr w14:paraId="64002D7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PrEx>
        <w:trPr>
          <w:trHeight w:val="23" w:hRule="atLeast"/>
          <w:jc w:val="center"/>
        </w:trPr>
        <w:tc>
          <w:tcPr>
            <w:tcW w:w="329" w:type="pct"/>
            <w:noWrap w:val="0"/>
            <w:vAlign w:val="center"/>
          </w:tcPr>
          <w:p w14:paraId="742FB554">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序号</w:t>
            </w:r>
          </w:p>
        </w:tc>
        <w:tc>
          <w:tcPr>
            <w:tcW w:w="873" w:type="pct"/>
            <w:noWrap w:val="0"/>
            <w:vAlign w:val="center"/>
          </w:tcPr>
          <w:p w14:paraId="5F54B63A">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评审因素</w:t>
            </w:r>
          </w:p>
        </w:tc>
        <w:tc>
          <w:tcPr>
            <w:tcW w:w="359" w:type="pct"/>
            <w:noWrap w:val="0"/>
            <w:vAlign w:val="center"/>
          </w:tcPr>
          <w:p w14:paraId="25FE165D">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分值</w:t>
            </w:r>
          </w:p>
        </w:tc>
        <w:tc>
          <w:tcPr>
            <w:tcW w:w="3436" w:type="pct"/>
            <w:noWrap w:val="0"/>
            <w:vAlign w:val="center"/>
          </w:tcPr>
          <w:p w14:paraId="1A737473">
            <w:pPr>
              <w:spacing w:line="360" w:lineRule="auto"/>
              <w:jc w:val="center"/>
              <w:rPr>
                <w:rFonts w:hint="eastAsia" w:ascii="方正兰亭黑简体" w:hAnsi="方正兰亭黑简体" w:eastAsia="方正兰亭黑简体" w:cs="方正兰亭黑简体"/>
                <w:b/>
                <w:bCs/>
                <w:color w:val="auto"/>
                <w:sz w:val="20"/>
                <w:szCs w:val="20"/>
                <w:highlight w:val="none"/>
              </w:rPr>
            </w:pPr>
            <w:r>
              <w:rPr>
                <w:rFonts w:hint="eastAsia" w:ascii="方正兰亭黑简体" w:hAnsi="方正兰亭黑简体" w:eastAsia="方正兰亭黑简体" w:cs="方正兰亭黑简体"/>
                <w:b/>
                <w:bCs/>
                <w:color w:val="auto"/>
                <w:sz w:val="20"/>
                <w:szCs w:val="20"/>
                <w:highlight w:val="none"/>
              </w:rPr>
              <w:t>评分说明</w:t>
            </w:r>
          </w:p>
        </w:tc>
      </w:tr>
      <w:tr w14:paraId="41C4C73E">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noWrap w:val="0"/>
            <w:vAlign w:val="center"/>
          </w:tcPr>
          <w:p w14:paraId="3FFFCA77">
            <w:pPr>
              <w:spacing w:line="360" w:lineRule="auto"/>
              <w:jc w:val="left"/>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一、价格部分</w:t>
            </w:r>
          </w:p>
        </w:tc>
      </w:tr>
      <w:tr w14:paraId="7E29D1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10CE2961">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1</w:t>
            </w:r>
          </w:p>
        </w:tc>
        <w:tc>
          <w:tcPr>
            <w:tcW w:w="873" w:type="pct"/>
            <w:noWrap w:val="0"/>
            <w:vAlign w:val="center"/>
          </w:tcPr>
          <w:p w14:paraId="69DFDD83">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价格得分</w:t>
            </w:r>
          </w:p>
          <w:p w14:paraId="5224EE0B">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4CB6FE5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30</w:t>
            </w:r>
          </w:p>
        </w:tc>
        <w:tc>
          <w:tcPr>
            <w:tcW w:w="3436" w:type="pct"/>
            <w:noWrap w:val="0"/>
            <w:vAlign w:val="center"/>
          </w:tcPr>
          <w:p w14:paraId="7EE17ECD">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采用低价优先法计算，即满足</w:t>
            </w:r>
            <w:r>
              <w:rPr>
                <w:rFonts w:hint="eastAsia" w:ascii="方正兰亭黑简体" w:hAnsi="方正兰亭黑简体" w:eastAsia="方正兰亭黑简体" w:cs="方正兰亭黑简体"/>
                <w:color w:val="auto"/>
                <w:sz w:val="20"/>
                <w:szCs w:val="20"/>
                <w:highlight w:val="none"/>
                <w:lang w:val="en-US" w:eastAsia="zh-CN"/>
              </w:rPr>
              <w:t>比选</w:t>
            </w:r>
            <w:r>
              <w:rPr>
                <w:rFonts w:hint="eastAsia" w:ascii="方正兰亭黑简体" w:hAnsi="方正兰亭黑简体" w:eastAsia="方正兰亭黑简体" w:cs="方正兰亭黑简体"/>
                <w:color w:val="auto"/>
                <w:sz w:val="20"/>
                <w:szCs w:val="20"/>
                <w:highlight w:val="none"/>
              </w:rPr>
              <w:t>文件要求且</w:t>
            </w:r>
            <w:r>
              <w:rPr>
                <w:rFonts w:hint="eastAsia" w:ascii="方正兰亭黑简体" w:hAnsi="方正兰亭黑简体" w:eastAsia="方正兰亭黑简体" w:cs="方正兰亭黑简体"/>
                <w:color w:val="auto"/>
                <w:sz w:val="20"/>
                <w:szCs w:val="20"/>
                <w:highlight w:val="none"/>
                <w:lang w:val="en-US" w:eastAsia="zh-CN"/>
              </w:rPr>
              <w:t>最低</w:t>
            </w:r>
            <w:r>
              <w:rPr>
                <w:rFonts w:hint="eastAsia" w:ascii="方正兰亭黑简体" w:hAnsi="方正兰亭黑简体" w:eastAsia="方正兰亭黑简体" w:cs="方正兰亭黑简体"/>
                <w:color w:val="auto"/>
                <w:sz w:val="20"/>
                <w:szCs w:val="20"/>
                <w:highlight w:val="none"/>
              </w:rPr>
              <w:t>的报价为基准价，其价格分为满分30分。其他报价</w:t>
            </w:r>
            <w:r>
              <w:rPr>
                <w:rFonts w:hint="eastAsia" w:ascii="方正兰亭黑简体" w:hAnsi="方正兰亭黑简体" w:eastAsia="方正兰亭黑简体" w:cs="方正兰亭黑简体"/>
                <w:color w:val="auto"/>
                <w:sz w:val="20"/>
                <w:szCs w:val="20"/>
                <w:highlight w:val="none"/>
                <w:lang w:val="en-US" w:eastAsia="zh-CN"/>
              </w:rPr>
              <w:t>单位</w:t>
            </w:r>
            <w:r>
              <w:rPr>
                <w:rFonts w:hint="eastAsia" w:ascii="方正兰亭黑简体" w:hAnsi="方正兰亭黑简体" w:eastAsia="方正兰亭黑简体" w:cs="方正兰亭黑简体"/>
                <w:color w:val="auto"/>
                <w:sz w:val="20"/>
                <w:szCs w:val="20"/>
                <w:highlight w:val="none"/>
              </w:rPr>
              <w:t>的报价得分计算公式如下：</w:t>
            </w:r>
          </w:p>
          <w:p w14:paraId="00A2DA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报价得分＝30×（评标基准价/投标报价）。</w:t>
            </w:r>
          </w:p>
        </w:tc>
      </w:tr>
      <w:tr w14:paraId="1CE67C5A">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5000" w:type="pct"/>
            <w:gridSpan w:val="4"/>
            <w:noWrap w:val="0"/>
            <w:vAlign w:val="center"/>
          </w:tcPr>
          <w:p w14:paraId="14AC1211">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二、商务</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rPr>
              <w:t>技术部分</w:t>
            </w:r>
          </w:p>
        </w:tc>
      </w:tr>
      <w:tr w14:paraId="603C3291">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69B4451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2</w:t>
            </w:r>
          </w:p>
        </w:tc>
        <w:tc>
          <w:tcPr>
            <w:tcW w:w="873" w:type="pct"/>
            <w:noWrap w:val="0"/>
            <w:vAlign w:val="center"/>
          </w:tcPr>
          <w:p w14:paraId="4BAF2162">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经验业绩</w:t>
            </w:r>
          </w:p>
          <w:p w14:paraId="654A2B2C">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C2DAE44">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1</w:t>
            </w:r>
            <w:r>
              <w:rPr>
                <w:rFonts w:hint="eastAsia" w:ascii="方正兰亭黑简体" w:hAnsi="方正兰亭黑简体" w:eastAsia="方正兰亭黑简体" w:cs="方正兰亭黑简体"/>
                <w:color w:val="auto"/>
                <w:sz w:val="20"/>
                <w:szCs w:val="20"/>
                <w:highlight w:val="none"/>
                <w:lang w:val="en-US" w:eastAsia="zh-CN"/>
              </w:rPr>
              <w:t>5</w:t>
            </w:r>
          </w:p>
        </w:tc>
        <w:tc>
          <w:tcPr>
            <w:tcW w:w="3436" w:type="pct"/>
            <w:noWrap w:val="0"/>
            <w:vAlign w:val="center"/>
          </w:tcPr>
          <w:p w14:paraId="4A5A3383">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提供</w:t>
            </w:r>
            <w:r>
              <w:rPr>
                <w:rFonts w:hint="eastAsia" w:ascii="方正兰亭黑简体" w:hAnsi="方正兰亭黑简体" w:eastAsia="方正兰亭黑简体" w:cs="方正兰亭黑简体"/>
                <w:color w:val="auto"/>
                <w:sz w:val="20"/>
                <w:szCs w:val="20"/>
                <w:highlight w:val="none"/>
              </w:rPr>
              <w:t>近3年（合同签订日期自202</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年</w:t>
            </w:r>
            <w:r>
              <w:rPr>
                <w:rFonts w:hint="eastAsia" w:ascii="方正兰亭黑简体" w:hAnsi="方正兰亭黑简体" w:eastAsia="方正兰亭黑简体" w:cs="方正兰亭黑简体"/>
                <w:color w:val="auto"/>
                <w:sz w:val="20"/>
                <w:szCs w:val="20"/>
                <w:highlight w:val="none"/>
                <w:lang w:val="en-US" w:eastAsia="zh-CN"/>
              </w:rPr>
              <w:t>6</w:t>
            </w:r>
            <w:r>
              <w:rPr>
                <w:rFonts w:hint="eastAsia" w:ascii="方正兰亭黑简体" w:hAnsi="方正兰亭黑简体" w:eastAsia="方正兰亭黑简体" w:cs="方正兰亭黑简体"/>
                <w:color w:val="auto"/>
                <w:sz w:val="20"/>
                <w:szCs w:val="20"/>
                <w:highlight w:val="none"/>
              </w:rPr>
              <w:t>月起至今）</w:t>
            </w:r>
            <w:r>
              <w:rPr>
                <w:rFonts w:hint="eastAsia" w:ascii="方正兰亭黑简体" w:hAnsi="方正兰亭黑简体" w:eastAsia="方正兰亭黑简体" w:cs="方正兰亭黑简体"/>
                <w:color w:val="auto"/>
                <w:sz w:val="20"/>
                <w:szCs w:val="20"/>
                <w:highlight w:val="none"/>
                <w:lang w:val="en-US" w:eastAsia="zh-CN"/>
              </w:rPr>
              <w:t>业绩案例</w:t>
            </w:r>
            <w:r>
              <w:rPr>
                <w:rFonts w:hint="eastAsia" w:ascii="方正兰亭黑简体" w:hAnsi="方正兰亭黑简体" w:eastAsia="方正兰亭黑简体" w:cs="方正兰亭黑简体"/>
                <w:color w:val="auto"/>
                <w:sz w:val="20"/>
                <w:szCs w:val="20"/>
                <w:highlight w:val="none"/>
              </w:rPr>
              <w:t>。（每提供1个得</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分；最高得1</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分）注：需提供相关业绩的合同复印件，否则将不予认可。</w:t>
            </w:r>
          </w:p>
        </w:tc>
      </w:tr>
      <w:tr w14:paraId="4674DA27">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147D3766">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3</w:t>
            </w:r>
          </w:p>
        </w:tc>
        <w:tc>
          <w:tcPr>
            <w:tcW w:w="873" w:type="pct"/>
            <w:noWrap w:val="0"/>
            <w:vAlign w:val="center"/>
          </w:tcPr>
          <w:p w14:paraId="069DEA50">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技术响应程度</w:t>
            </w:r>
          </w:p>
          <w:p w14:paraId="1793C67A">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客观分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0332D36">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lang w:val="en-US" w:eastAsia="zh-CN"/>
              </w:rPr>
              <w:t>30</w:t>
            </w:r>
          </w:p>
        </w:tc>
        <w:tc>
          <w:tcPr>
            <w:tcW w:w="3436" w:type="pct"/>
            <w:shd w:val="clear" w:color="auto" w:fill="auto"/>
            <w:noWrap w:val="0"/>
            <w:vAlign w:val="center"/>
          </w:tcPr>
          <w:p w14:paraId="7461B042">
            <w:pPr>
              <w:spacing w:line="360" w:lineRule="auto"/>
              <w:jc w:val="both"/>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rPr>
              <w:t>针对第</w:t>
            </w:r>
            <w:r>
              <w:rPr>
                <w:rFonts w:hint="eastAsia" w:ascii="方正兰亭黑简体" w:hAnsi="方正兰亭黑简体" w:eastAsia="方正兰亭黑简体" w:cs="方正兰亭黑简体"/>
                <w:color w:val="auto"/>
                <w:sz w:val="20"/>
                <w:szCs w:val="20"/>
                <w:highlight w:val="none"/>
                <w:lang w:val="en-US" w:eastAsia="zh-CN"/>
              </w:rPr>
              <w:t>二</w:t>
            </w:r>
            <w:r>
              <w:rPr>
                <w:rFonts w:hint="eastAsia" w:ascii="方正兰亭黑简体" w:hAnsi="方正兰亭黑简体" w:eastAsia="方正兰亭黑简体" w:cs="方正兰亭黑简体"/>
                <w:color w:val="auto"/>
                <w:sz w:val="20"/>
                <w:szCs w:val="20"/>
                <w:highlight w:val="none"/>
              </w:rPr>
              <w:t>章中的</w:t>
            </w:r>
            <w:r>
              <w:rPr>
                <w:rFonts w:hint="eastAsia" w:ascii="方正兰亭黑简体" w:hAnsi="方正兰亭黑简体" w:eastAsia="方正兰亭黑简体" w:cs="方正兰亭黑简体"/>
                <w:color w:val="auto"/>
                <w:sz w:val="20"/>
                <w:szCs w:val="20"/>
                <w:highlight w:val="none"/>
                <w:lang w:val="en-US" w:eastAsia="zh-CN"/>
              </w:rPr>
              <w:t>采购需求</w:t>
            </w:r>
            <w:r>
              <w:rPr>
                <w:rFonts w:hint="eastAsia" w:ascii="方正兰亭黑简体" w:hAnsi="方正兰亭黑简体" w:eastAsia="方正兰亭黑简体" w:cs="方正兰亭黑简体"/>
                <w:color w:val="auto"/>
                <w:sz w:val="20"/>
                <w:szCs w:val="20"/>
                <w:highlight w:val="none"/>
              </w:rPr>
              <w:t>：不满足技术条款的，每项扣</w:t>
            </w:r>
            <w:r>
              <w:rPr>
                <w:rFonts w:hint="eastAsia" w:ascii="方正兰亭黑简体" w:hAnsi="方正兰亭黑简体" w:eastAsia="方正兰亭黑简体" w:cs="方正兰亭黑简体"/>
                <w:color w:val="auto"/>
                <w:sz w:val="20"/>
                <w:szCs w:val="20"/>
                <w:highlight w:val="none"/>
                <w:lang w:val="en-US" w:eastAsia="zh-CN"/>
              </w:rPr>
              <w:t>5</w:t>
            </w:r>
            <w:r>
              <w:rPr>
                <w:rFonts w:hint="eastAsia" w:ascii="方正兰亭黑简体" w:hAnsi="方正兰亭黑简体" w:eastAsia="方正兰亭黑简体" w:cs="方正兰亭黑简体"/>
                <w:color w:val="auto"/>
                <w:sz w:val="20"/>
                <w:szCs w:val="20"/>
                <w:highlight w:val="none"/>
              </w:rPr>
              <w:t>分；扣完为止。</w:t>
            </w:r>
          </w:p>
        </w:tc>
      </w:tr>
      <w:tr w14:paraId="32155710">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67884245">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4</w:t>
            </w:r>
          </w:p>
        </w:tc>
        <w:tc>
          <w:tcPr>
            <w:tcW w:w="873" w:type="pct"/>
            <w:tcBorders>
              <w:top w:val="single" w:color="auto" w:sz="6" w:space="0"/>
              <w:left w:val="single" w:color="auto" w:sz="6" w:space="0"/>
              <w:bottom w:val="single" w:color="auto" w:sz="6" w:space="0"/>
              <w:right w:val="single" w:color="auto" w:sz="6" w:space="0"/>
            </w:tcBorders>
            <w:noWrap w:val="0"/>
            <w:vAlign w:val="center"/>
          </w:tcPr>
          <w:p w14:paraId="5083A718">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产品性能介绍</w:t>
            </w:r>
          </w:p>
          <w:p w14:paraId="1A5865D0">
            <w:pPr>
              <w:spacing w:line="360" w:lineRule="auto"/>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主观分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3662F0A0">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10</w:t>
            </w:r>
          </w:p>
        </w:tc>
        <w:tc>
          <w:tcPr>
            <w:tcW w:w="3436" w:type="pct"/>
            <w:noWrap w:val="0"/>
            <w:vAlign w:val="center"/>
          </w:tcPr>
          <w:p w14:paraId="37F6985E">
            <w:pPr>
              <w:spacing w:line="360" w:lineRule="auto"/>
              <w:jc w:val="both"/>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rPr>
              <w:t>优秀（</w:t>
            </w:r>
            <w:r>
              <w:rPr>
                <w:rFonts w:hint="eastAsia" w:ascii="方正兰亭黑简体" w:hAnsi="方正兰亭黑简体" w:eastAsia="方正兰亭黑简体" w:cs="方正兰亭黑简体"/>
                <w:color w:val="auto"/>
                <w:sz w:val="20"/>
                <w:szCs w:val="20"/>
                <w:highlight w:val="none"/>
                <w:lang w:val="en-US" w:eastAsia="zh-CN"/>
              </w:rPr>
              <w:t>8～10</w:t>
            </w:r>
            <w:r>
              <w:rPr>
                <w:rFonts w:hint="eastAsia" w:ascii="方正兰亭黑简体" w:hAnsi="方正兰亭黑简体" w:eastAsia="方正兰亭黑简体" w:cs="方正兰亭黑简体"/>
                <w:color w:val="auto"/>
                <w:sz w:val="20"/>
                <w:szCs w:val="20"/>
                <w:highlight w:val="none"/>
              </w:rPr>
              <w:t>分）：详细介绍了产品的各项性能参数</w:t>
            </w:r>
            <w:r>
              <w:rPr>
                <w:rFonts w:hint="eastAsia" w:ascii="方正兰亭黑简体" w:hAnsi="方正兰亭黑简体" w:eastAsia="方正兰亭黑简体" w:cs="方正兰亭黑简体"/>
                <w:color w:val="auto"/>
                <w:sz w:val="20"/>
                <w:szCs w:val="20"/>
                <w:highlight w:val="none"/>
                <w:lang w:eastAsia="zh-CN"/>
              </w:rPr>
              <w:t>。</w:t>
            </w:r>
          </w:p>
          <w:p w14:paraId="62A7189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w:t>
            </w:r>
            <w:r>
              <w:rPr>
                <w:rFonts w:hint="eastAsia" w:ascii="方正兰亭黑简体" w:hAnsi="方正兰亭黑简体" w:eastAsia="方正兰亭黑简体" w:cs="方正兰亭黑简体"/>
                <w:color w:val="auto"/>
                <w:sz w:val="20"/>
                <w:szCs w:val="20"/>
                <w:highlight w:val="none"/>
                <w:lang w:val="en-US" w:eastAsia="zh-CN"/>
              </w:rPr>
              <w:t>5～7</w:t>
            </w:r>
            <w:r>
              <w:rPr>
                <w:rFonts w:hint="eastAsia" w:ascii="方正兰亭黑简体" w:hAnsi="方正兰亭黑简体" w:eastAsia="方正兰亭黑简体" w:cs="方正兰亭黑简体"/>
                <w:color w:val="auto"/>
                <w:sz w:val="20"/>
                <w:szCs w:val="20"/>
                <w:highlight w:val="none"/>
              </w:rPr>
              <w:t>分）：较全面地介绍了产品的性能参数。</w:t>
            </w:r>
          </w:p>
          <w:p w14:paraId="70A493C7">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w:t>
            </w:r>
            <w:r>
              <w:rPr>
                <w:rFonts w:hint="eastAsia" w:ascii="方正兰亭黑简体" w:hAnsi="方正兰亭黑简体" w:eastAsia="方正兰亭黑简体" w:cs="方正兰亭黑简体"/>
                <w:color w:val="auto"/>
                <w:sz w:val="20"/>
                <w:szCs w:val="20"/>
                <w:highlight w:val="none"/>
                <w:lang w:val="en-US" w:eastAsia="zh-CN"/>
              </w:rPr>
              <w:t>2～4</w:t>
            </w:r>
            <w:r>
              <w:rPr>
                <w:rFonts w:hint="eastAsia" w:ascii="方正兰亭黑简体" w:hAnsi="方正兰亭黑简体" w:eastAsia="方正兰亭黑简体" w:cs="方正兰亭黑简体"/>
                <w:color w:val="auto"/>
                <w:sz w:val="20"/>
                <w:szCs w:val="20"/>
                <w:highlight w:val="none"/>
              </w:rPr>
              <w:t>分）：介绍了部分性能参数，但不够全面或详细。</w:t>
            </w:r>
          </w:p>
          <w:p w14:paraId="0BEE09A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1</w:t>
            </w:r>
            <w:r>
              <w:rPr>
                <w:rFonts w:hint="eastAsia" w:ascii="方正兰亭黑简体" w:hAnsi="方正兰亭黑简体" w:eastAsia="方正兰亭黑简体" w:cs="方正兰亭黑简体"/>
                <w:color w:val="auto"/>
                <w:sz w:val="20"/>
                <w:szCs w:val="20"/>
                <w:highlight w:val="none"/>
              </w:rPr>
              <w:t>分）：性能参数介绍不完整或存在明显错误。</w:t>
            </w:r>
          </w:p>
        </w:tc>
      </w:tr>
      <w:tr w14:paraId="261A6EB4">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3" w:hRule="atLeast"/>
          <w:jc w:val="center"/>
        </w:trPr>
        <w:tc>
          <w:tcPr>
            <w:tcW w:w="329" w:type="pct"/>
            <w:noWrap w:val="0"/>
            <w:vAlign w:val="center"/>
          </w:tcPr>
          <w:p w14:paraId="063649C8">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5</w:t>
            </w:r>
          </w:p>
        </w:tc>
        <w:tc>
          <w:tcPr>
            <w:tcW w:w="873" w:type="pct"/>
            <w:noWrap w:val="0"/>
            <w:vAlign w:val="center"/>
          </w:tcPr>
          <w:p w14:paraId="555CFAE5">
            <w:pPr>
              <w:spacing w:line="360" w:lineRule="auto"/>
              <w:jc w:val="center"/>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技术支持与</w:t>
            </w:r>
            <w:r>
              <w:rPr>
                <w:rFonts w:hint="eastAsia" w:ascii="方正兰亭黑简体" w:hAnsi="方正兰亭黑简体" w:eastAsia="方正兰亭黑简体" w:cs="方正兰亭黑简体"/>
                <w:color w:val="auto"/>
                <w:sz w:val="20"/>
                <w:szCs w:val="20"/>
                <w:highlight w:val="none"/>
                <w:lang w:val="en-US" w:eastAsia="zh-CN"/>
              </w:rPr>
              <w:t>售后</w:t>
            </w:r>
            <w:r>
              <w:rPr>
                <w:rFonts w:hint="eastAsia" w:ascii="方正兰亭黑简体" w:hAnsi="方正兰亭黑简体" w:eastAsia="方正兰亭黑简体" w:cs="方正兰亭黑简体"/>
                <w:color w:val="auto"/>
                <w:sz w:val="20"/>
                <w:szCs w:val="20"/>
                <w:highlight w:val="none"/>
              </w:rPr>
              <w:t>服务</w:t>
            </w:r>
          </w:p>
          <w:p w14:paraId="1F53F634">
            <w:pPr>
              <w:pStyle w:val="13"/>
              <w:spacing w:line="360" w:lineRule="auto"/>
              <w:ind w:firstLine="200" w:firstLineChars="100"/>
              <w:jc w:val="center"/>
              <w:rPr>
                <w:rFonts w:hint="eastAsia" w:ascii="方正兰亭黑简体" w:hAnsi="方正兰亭黑简体" w:eastAsia="方正兰亭黑简体" w:cs="方正兰亭黑简体"/>
                <w:color w:val="auto"/>
                <w:sz w:val="20"/>
                <w:szCs w:val="20"/>
                <w:highlight w:val="none"/>
                <w:lang w:val="en-US" w:eastAsia="zh-CN"/>
              </w:rPr>
            </w:pP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主观分</w:t>
            </w:r>
            <w:r>
              <w:rPr>
                <w:rFonts w:hint="eastAsia" w:ascii="方正兰亭黑简体" w:hAnsi="方正兰亭黑简体" w:eastAsia="方正兰亭黑简体" w:cs="方正兰亭黑简体"/>
                <w:color w:val="auto"/>
                <w:sz w:val="20"/>
                <w:szCs w:val="20"/>
                <w:highlight w:val="none"/>
                <w:lang w:eastAsia="zh-CN"/>
              </w:rPr>
              <w:t>）</w:t>
            </w:r>
          </w:p>
        </w:tc>
        <w:tc>
          <w:tcPr>
            <w:tcW w:w="359" w:type="pct"/>
            <w:noWrap w:val="0"/>
            <w:vAlign w:val="center"/>
          </w:tcPr>
          <w:p w14:paraId="7D753253">
            <w:pPr>
              <w:spacing w:line="360" w:lineRule="auto"/>
              <w:jc w:val="center"/>
              <w:rPr>
                <w:rFonts w:hint="eastAsia" w:ascii="方正兰亭黑简体" w:hAnsi="方正兰亭黑简体" w:eastAsia="方正兰亭黑简体" w:cs="方正兰亭黑简体"/>
                <w:color w:val="auto"/>
                <w:sz w:val="20"/>
                <w:szCs w:val="20"/>
                <w:highlight w:val="none"/>
                <w:lang w:eastAsia="zh-CN"/>
              </w:rPr>
            </w:pPr>
            <w:r>
              <w:rPr>
                <w:rFonts w:hint="eastAsia" w:ascii="方正兰亭黑简体" w:hAnsi="方正兰亭黑简体" w:eastAsia="方正兰亭黑简体" w:cs="方正兰亭黑简体"/>
                <w:color w:val="auto"/>
                <w:sz w:val="20"/>
                <w:szCs w:val="20"/>
                <w:highlight w:val="none"/>
                <w:lang w:val="en-US" w:eastAsia="zh-CN"/>
              </w:rPr>
              <w:t>15</w:t>
            </w:r>
          </w:p>
        </w:tc>
        <w:tc>
          <w:tcPr>
            <w:tcW w:w="3436" w:type="pct"/>
            <w:noWrap w:val="0"/>
            <w:vAlign w:val="center"/>
          </w:tcPr>
          <w:p w14:paraId="566D5B29">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优秀（</w:t>
            </w:r>
            <w:r>
              <w:rPr>
                <w:rFonts w:hint="eastAsia" w:ascii="方正兰亭黑简体" w:hAnsi="方正兰亭黑简体" w:eastAsia="方正兰亭黑简体" w:cs="方正兰亭黑简体"/>
                <w:color w:val="auto"/>
                <w:sz w:val="20"/>
                <w:szCs w:val="20"/>
                <w:highlight w:val="none"/>
                <w:lang w:val="en-US" w:eastAsia="zh-CN"/>
              </w:rPr>
              <w:t>12～15</w:t>
            </w:r>
            <w:r>
              <w:rPr>
                <w:rFonts w:hint="eastAsia" w:ascii="方正兰亭黑简体" w:hAnsi="方正兰亭黑简体" w:eastAsia="方正兰亭黑简体" w:cs="方正兰亭黑简体"/>
                <w:color w:val="auto"/>
                <w:sz w:val="20"/>
                <w:szCs w:val="20"/>
                <w:highlight w:val="none"/>
              </w:rPr>
              <w:t>分）：提供了详尽的技术支持方案</w:t>
            </w:r>
            <w:r>
              <w:rPr>
                <w:rFonts w:hint="eastAsia" w:ascii="方正兰亭黑简体" w:hAnsi="方正兰亭黑简体" w:eastAsia="方正兰亭黑简体" w:cs="方正兰亭黑简体"/>
                <w:color w:val="auto"/>
                <w:sz w:val="20"/>
                <w:szCs w:val="20"/>
                <w:highlight w:val="none"/>
                <w:lang w:val="en-US" w:eastAsia="zh-CN"/>
              </w:rPr>
              <w:t>以及售后服务方案</w:t>
            </w:r>
            <w:r>
              <w:rPr>
                <w:rFonts w:hint="eastAsia" w:ascii="方正兰亭黑简体" w:hAnsi="方正兰亭黑简体" w:eastAsia="方正兰亭黑简体" w:cs="方正兰亭黑简体"/>
                <w:color w:val="auto"/>
                <w:sz w:val="20"/>
                <w:szCs w:val="20"/>
                <w:highlight w:val="none"/>
              </w:rPr>
              <w:t>，包括快速响应机制、服务承诺等。</w:t>
            </w:r>
          </w:p>
          <w:p w14:paraId="1B650857">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良好（</w:t>
            </w:r>
            <w:r>
              <w:rPr>
                <w:rFonts w:hint="eastAsia" w:ascii="方正兰亭黑简体" w:hAnsi="方正兰亭黑简体" w:eastAsia="方正兰亭黑简体" w:cs="方正兰亭黑简体"/>
                <w:color w:val="auto"/>
                <w:sz w:val="20"/>
                <w:szCs w:val="20"/>
                <w:highlight w:val="none"/>
                <w:lang w:val="en-US" w:eastAsia="zh-CN"/>
              </w:rPr>
              <w:t>8～11</w:t>
            </w:r>
            <w:r>
              <w:rPr>
                <w:rFonts w:hint="eastAsia" w:ascii="方正兰亭黑简体" w:hAnsi="方正兰亭黑简体" w:eastAsia="方正兰亭黑简体" w:cs="方正兰亭黑简体"/>
                <w:color w:val="auto"/>
                <w:sz w:val="20"/>
                <w:szCs w:val="20"/>
                <w:highlight w:val="none"/>
              </w:rPr>
              <w:t>分）：提供了较为全面的技术支持方案</w:t>
            </w:r>
            <w:r>
              <w:rPr>
                <w:rFonts w:hint="eastAsia" w:ascii="方正兰亭黑简体" w:hAnsi="方正兰亭黑简体" w:eastAsia="方正兰亭黑简体" w:cs="方正兰亭黑简体"/>
                <w:color w:val="auto"/>
                <w:sz w:val="20"/>
                <w:szCs w:val="20"/>
                <w:highlight w:val="none"/>
                <w:lang w:val="en-US" w:eastAsia="zh-CN"/>
              </w:rPr>
              <w:t>和售后服务方案</w:t>
            </w:r>
            <w:r>
              <w:rPr>
                <w:rFonts w:hint="eastAsia" w:ascii="方正兰亭黑简体" w:hAnsi="方正兰亭黑简体" w:eastAsia="方正兰亭黑简体" w:cs="方正兰亭黑简体"/>
                <w:color w:val="auto"/>
                <w:sz w:val="20"/>
                <w:szCs w:val="20"/>
                <w:highlight w:val="none"/>
              </w:rPr>
              <w:t>，但计划不够详细。</w:t>
            </w:r>
          </w:p>
          <w:p w14:paraId="2E6A021F">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一般（</w:t>
            </w:r>
            <w:r>
              <w:rPr>
                <w:rFonts w:hint="eastAsia" w:ascii="方正兰亭黑简体" w:hAnsi="方正兰亭黑简体" w:eastAsia="方正兰亭黑简体" w:cs="方正兰亭黑简体"/>
                <w:color w:val="auto"/>
                <w:sz w:val="20"/>
                <w:szCs w:val="20"/>
                <w:highlight w:val="none"/>
                <w:lang w:val="en-US" w:eastAsia="zh-CN"/>
              </w:rPr>
              <w:t>4～7</w:t>
            </w:r>
            <w:r>
              <w:rPr>
                <w:rFonts w:hint="eastAsia" w:ascii="方正兰亭黑简体" w:hAnsi="方正兰亭黑简体" w:eastAsia="方正兰亭黑简体" w:cs="方正兰亭黑简体"/>
                <w:color w:val="auto"/>
                <w:sz w:val="20"/>
                <w:szCs w:val="20"/>
                <w:highlight w:val="none"/>
              </w:rPr>
              <w:t>分）：方案较为简单，缺乏</w:t>
            </w:r>
            <w:r>
              <w:rPr>
                <w:rFonts w:hint="eastAsia" w:ascii="方正兰亭黑简体" w:hAnsi="方正兰亭黑简体" w:eastAsia="方正兰亭黑简体" w:cs="方正兰亭黑简体"/>
                <w:color w:val="auto"/>
                <w:sz w:val="20"/>
                <w:szCs w:val="20"/>
                <w:highlight w:val="none"/>
                <w:lang w:val="en-US" w:eastAsia="zh-CN"/>
              </w:rPr>
              <w:t>具体的</w:t>
            </w:r>
            <w:r>
              <w:rPr>
                <w:rFonts w:hint="eastAsia" w:ascii="方正兰亭黑简体" w:hAnsi="方正兰亭黑简体" w:eastAsia="方正兰亭黑简体" w:cs="方正兰亭黑简体"/>
                <w:color w:val="auto"/>
                <w:sz w:val="20"/>
                <w:szCs w:val="20"/>
                <w:highlight w:val="none"/>
              </w:rPr>
              <w:t>计划。</w:t>
            </w:r>
          </w:p>
          <w:p w14:paraId="4BA27702">
            <w:pPr>
              <w:spacing w:line="360" w:lineRule="auto"/>
              <w:jc w:val="both"/>
              <w:rPr>
                <w:rFonts w:hint="eastAsia" w:ascii="方正兰亭黑简体" w:hAnsi="方正兰亭黑简体" w:eastAsia="方正兰亭黑简体" w:cs="方正兰亭黑简体"/>
                <w:color w:val="auto"/>
                <w:sz w:val="20"/>
                <w:szCs w:val="20"/>
                <w:highlight w:val="none"/>
              </w:rPr>
            </w:pPr>
            <w:r>
              <w:rPr>
                <w:rFonts w:hint="eastAsia" w:ascii="方正兰亭黑简体" w:hAnsi="方正兰亭黑简体" w:eastAsia="方正兰亭黑简体" w:cs="方正兰亭黑简体"/>
                <w:color w:val="auto"/>
                <w:sz w:val="20"/>
                <w:szCs w:val="20"/>
                <w:highlight w:val="none"/>
              </w:rPr>
              <w:t>较差（0</w:t>
            </w:r>
            <w:r>
              <w:rPr>
                <w:rFonts w:hint="eastAsia" w:ascii="方正兰亭黑简体" w:hAnsi="方正兰亭黑简体" w:eastAsia="方正兰亭黑简体" w:cs="方正兰亭黑简体"/>
                <w:color w:val="auto"/>
                <w:sz w:val="20"/>
                <w:szCs w:val="20"/>
                <w:highlight w:val="none"/>
                <w:lang w:eastAsia="zh-CN"/>
              </w:rPr>
              <w:t>～</w:t>
            </w:r>
            <w:r>
              <w:rPr>
                <w:rFonts w:hint="eastAsia" w:ascii="方正兰亭黑简体" w:hAnsi="方正兰亭黑简体" w:eastAsia="方正兰亭黑简体" w:cs="方正兰亭黑简体"/>
                <w:color w:val="auto"/>
                <w:sz w:val="20"/>
                <w:szCs w:val="20"/>
                <w:highlight w:val="none"/>
                <w:lang w:val="en-US" w:eastAsia="zh-CN"/>
              </w:rPr>
              <w:t>3</w:t>
            </w:r>
            <w:r>
              <w:rPr>
                <w:rFonts w:hint="eastAsia" w:ascii="方正兰亭黑简体" w:hAnsi="方正兰亭黑简体" w:eastAsia="方正兰亭黑简体" w:cs="方正兰亭黑简体"/>
                <w:color w:val="auto"/>
                <w:sz w:val="20"/>
                <w:szCs w:val="20"/>
                <w:highlight w:val="none"/>
              </w:rPr>
              <w:t>分）：未提供技术支持方案或售后服务承诺。</w:t>
            </w:r>
          </w:p>
        </w:tc>
      </w:tr>
    </w:tbl>
    <w:p w14:paraId="71E5B026">
      <w:pPr>
        <w:jc w:val="center"/>
        <w:rPr>
          <w:rFonts w:hint="eastAsia" w:ascii="方正兰亭黑简体" w:hAnsi="方正兰亭黑简体" w:eastAsia="方正兰亭黑简体" w:cs="方正兰亭黑简体"/>
          <w:b/>
          <w:bCs/>
          <w:color w:val="auto"/>
          <w:sz w:val="24"/>
          <w:szCs w:val="32"/>
          <w:highlight w:val="none"/>
          <w:lang w:val="en-US" w:eastAsia="zh-CN"/>
        </w:rPr>
        <w:sectPr>
          <w:footerReference r:id="rId3" w:type="default"/>
          <w:type w:val="continuous"/>
          <w:pgSz w:w="11906" w:h="16838"/>
          <w:pgMar w:top="1440" w:right="1080" w:bottom="1440" w:left="1080" w:header="851" w:footer="992" w:gutter="0"/>
          <w:pgNumType w:fmt="decimal"/>
          <w:cols w:space="425" w:num="1"/>
          <w:docGrid w:type="lines" w:linePitch="312" w:charSpace="0"/>
        </w:sectPr>
      </w:pPr>
    </w:p>
    <w:p w14:paraId="3E74C2BD">
      <w:pPr>
        <w:jc w:val="center"/>
        <w:rPr>
          <w:rFonts w:hint="default" w:ascii="方正兰亭黑简体" w:hAnsi="方正兰亭黑简体" w:eastAsia="方正兰亭黑简体" w:cs="方正兰亭黑简体"/>
          <w:b/>
          <w:bCs/>
          <w:color w:val="auto"/>
          <w:sz w:val="24"/>
          <w:szCs w:val="32"/>
          <w:highlight w:val="none"/>
          <w:lang w:val="en-US" w:eastAsia="zh-CN"/>
        </w:rPr>
      </w:pPr>
      <w:r>
        <w:rPr>
          <w:rFonts w:hint="eastAsia" w:ascii="方正兰亭黑简体" w:hAnsi="方正兰亭黑简体" w:eastAsia="方正兰亭黑简体" w:cs="方正兰亭黑简体"/>
          <w:b/>
          <w:bCs/>
          <w:color w:val="auto"/>
          <w:sz w:val="24"/>
          <w:szCs w:val="32"/>
          <w:highlight w:val="none"/>
          <w:lang w:val="en-US" w:eastAsia="zh-CN"/>
        </w:rPr>
        <w:t>第四章 格式附件</w:t>
      </w:r>
    </w:p>
    <w:p w14:paraId="636BB61B">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附件1：报价单</w:t>
      </w:r>
    </w:p>
    <w:p w14:paraId="52D9A168">
      <w:pPr>
        <w:spacing w:line="440" w:lineRule="exact"/>
        <w:jc w:val="center"/>
        <w:rPr>
          <w:rFonts w:hint="default" w:ascii="宋体" w:hAnsi="宋体" w:eastAsia="宋体"/>
          <w:color w:val="auto"/>
          <w:sz w:val="24"/>
          <w:highlight w:val="none"/>
          <w:lang w:val="en-US" w:eastAsia="zh-CN"/>
        </w:rPr>
      </w:pPr>
      <w:r>
        <w:rPr>
          <w:rFonts w:hint="eastAsia" w:ascii="黑体" w:hAnsi="华文楷体" w:eastAsia="黑体"/>
          <w:b/>
          <w:color w:val="auto"/>
          <w:sz w:val="36"/>
          <w:szCs w:val="36"/>
          <w:highlight w:val="none"/>
        </w:rPr>
        <w:t>报   价   单</w:t>
      </w:r>
    </w:p>
    <w:p w14:paraId="50E6B72B">
      <w:pPr>
        <w:spacing w:line="440" w:lineRule="exact"/>
        <w:jc w:val="left"/>
        <w:rPr>
          <w:rFonts w:hint="default" w:ascii="黑体" w:hAnsi="华文楷体" w:eastAsia="黑体"/>
          <w:color w:val="auto"/>
          <w:sz w:val="24"/>
          <w:highlight w:val="none"/>
          <w:lang w:val="en-US" w:eastAsia="zh-CN"/>
        </w:rPr>
      </w:pPr>
      <w:r>
        <w:rPr>
          <w:rFonts w:hint="eastAsia" w:ascii="黑体" w:hAnsi="华文楷体" w:eastAsia="黑体"/>
          <w:b/>
          <w:color w:val="auto"/>
          <w:sz w:val="24"/>
          <w:highlight w:val="none"/>
        </w:rPr>
        <w:t xml:space="preserve">TO: </w:t>
      </w:r>
      <w:r>
        <w:rPr>
          <w:rFonts w:hint="eastAsia" w:ascii="黑体" w:hAnsi="华文楷体" w:eastAsia="黑体"/>
          <w:color w:val="auto"/>
          <w:sz w:val="24"/>
          <w:highlight w:val="none"/>
        </w:rPr>
        <w:t xml:space="preserve"> 上海海事大学 </w:t>
      </w:r>
      <w:r>
        <w:rPr>
          <w:rFonts w:hint="eastAsia" w:ascii="黑体" w:hAnsi="华文楷体" w:eastAsia="黑体"/>
          <w:color w:val="auto"/>
          <w:sz w:val="24"/>
          <w:highlight w:val="none"/>
          <w:lang w:val="en-US" w:eastAsia="zh-CN"/>
        </w:rPr>
        <w:t>采购与招投标管理中心</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r>
        <w:rPr>
          <w:rFonts w:hint="eastAsia" w:ascii="黑体" w:hAnsi="华文楷体" w:eastAsia="黑体"/>
          <w:color w:val="auto"/>
          <w:sz w:val="24"/>
          <w:highlight w:val="none"/>
          <w:lang w:val="en-US" w:eastAsia="zh-CN"/>
        </w:rPr>
        <w:t>项目编号：HFBX2026054</w:t>
      </w:r>
      <w:r>
        <w:rPr>
          <w:rFonts w:hint="eastAsia" w:ascii="黑体" w:hAnsi="华文楷体" w:eastAsia="黑体"/>
          <w:b/>
          <w:color w:val="auto"/>
          <w:sz w:val="36"/>
          <w:szCs w:val="36"/>
          <w:highlight w:val="none"/>
        </w:rPr>
        <w:t xml:space="preserve">               </w:t>
      </w:r>
      <w:r>
        <w:rPr>
          <w:rFonts w:hint="eastAsia" w:ascii="黑体" w:hAnsi="华文楷体" w:eastAsia="黑体"/>
          <w:b/>
          <w:color w:val="auto"/>
          <w:sz w:val="36"/>
          <w:szCs w:val="36"/>
          <w:highlight w:val="none"/>
          <w:lang w:val="en-US" w:eastAsia="zh-CN"/>
        </w:rPr>
        <w:t xml:space="preserve">                    </w:t>
      </w:r>
    </w:p>
    <w:p w14:paraId="192C9FAF">
      <w:pPr>
        <w:spacing w:line="440" w:lineRule="exact"/>
        <w:rPr>
          <w:rFonts w:hint="eastAsia" w:ascii="方正仿宋_GB2312" w:hAnsi="方正仿宋_GB2312" w:eastAsia="方正仿宋_GB2312" w:cs="方正仿宋_GB2312"/>
          <w:b/>
          <w:color w:val="auto"/>
          <w:sz w:val="24"/>
          <w:highlight w:val="none"/>
        </w:rPr>
      </w:pPr>
      <w:r>
        <w:rPr>
          <w:rFonts w:hint="eastAsia" w:ascii="黑体" w:hAnsi="华文楷体" w:eastAsia="黑体"/>
          <w:b/>
          <w:color w:val="auto"/>
          <w:sz w:val="24"/>
          <w:highlight w:val="none"/>
        </w:rPr>
        <w:t>电子邮箱：</w:t>
      </w:r>
      <w:r>
        <w:rPr>
          <w:rFonts w:ascii="黑体" w:hAnsi="华文楷体" w:eastAsia="黑体"/>
          <w:b/>
          <w:color w:val="auto"/>
          <w:sz w:val="24"/>
          <w:highlight w:val="none"/>
        </w:rPr>
        <w:fldChar w:fldCharType="begin"/>
      </w:r>
      <w:r>
        <w:rPr>
          <w:rFonts w:ascii="黑体" w:hAnsi="华文楷体" w:eastAsia="黑体"/>
          <w:b/>
          <w:color w:val="auto"/>
          <w:sz w:val="24"/>
          <w:highlight w:val="none"/>
        </w:rPr>
        <w:instrText xml:space="preserve"> HYPERLINK "mailto:quotation@shmtu.edu.cn" </w:instrText>
      </w:r>
      <w:r>
        <w:rPr>
          <w:rFonts w:ascii="黑体" w:hAnsi="华文楷体" w:eastAsia="黑体"/>
          <w:b/>
          <w:color w:val="auto"/>
          <w:sz w:val="24"/>
          <w:highlight w:val="none"/>
        </w:rPr>
        <w:fldChar w:fldCharType="separate"/>
      </w:r>
      <w:r>
        <w:rPr>
          <w:rStyle w:val="18"/>
          <w:rFonts w:ascii="黑体" w:hAnsi="华文楷体" w:eastAsia="黑体"/>
          <w:b/>
          <w:color w:val="auto"/>
          <w:sz w:val="24"/>
          <w:highlight w:val="none"/>
        </w:rPr>
        <w:t>quotation@shmtu.edu.cn</w:t>
      </w:r>
      <w:r>
        <w:rPr>
          <w:rFonts w:ascii="黑体" w:hAnsi="华文楷体" w:eastAsia="黑体"/>
          <w:b/>
          <w:color w:val="auto"/>
          <w:sz w:val="24"/>
          <w:highlight w:val="none"/>
        </w:rPr>
        <w:fldChar w:fldCharType="end"/>
      </w:r>
    </w:p>
    <w:p w14:paraId="1D25A65B">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公司名称：</w:t>
      </w:r>
      <w:r>
        <w:rPr>
          <w:rFonts w:hint="eastAsia" w:ascii="黑体" w:hAnsi="华文楷体" w:eastAsia="黑体"/>
          <w:color w:val="auto"/>
          <w:sz w:val="24"/>
          <w:highlight w:val="none"/>
        </w:rPr>
        <w:t xml:space="preserve">                                                </w:t>
      </w:r>
      <w:r>
        <w:rPr>
          <w:rFonts w:hint="eastAsia" w:ascii="黑体" w:hAnsi="华文楷体" w:eastAsia="黑体"/>
          <w:b/>
          <w:color w:val="auto"/>
          <w:sz w:val="24"/>
          <w:highlight w:val="none"/>
        </w:rPr>
        <w:t>联系人：</w:t>
      </w:r>
    </w:p>
    <w:p w14:paraId="0416696A">
      <w:pPr>
        <w:spacing w:line="440" w:lineRule="exact"/>
        <w:rPr>
          <w:rFonts w:ascii="黑体" w:hAnsi="华文楷体" w:eastAsia="黑体"/>
          <w:b/>
          <w:color w:val="auto"/>
          <w:sz w:val="24"/>
          <w:highlight w:val="none"/>
        </w:rPr>
      </w:pPr>
      <w:r>
        <w:rPr>
          <w:rFonts w:hint="eastAsia" w:ascii="黑体" w:hAnsi="华文楷体" w:eastAsia="黑体"/>
          <w:b/>
          <w:color w:val="auto"/>
          <w:sz w:val="24"/>
          <w:highlight w:val="none"/>
        </w:rPr>
        <w:t>电子邮箱：                                                公司地址：</w:t>
      </w:r>
    </w:p>
    <w:p w14:paraId="096E10B9">
      <w:pPr>
        <w:spacing w:line="440" w:lineRule="exact"/>
        <w:rPr>
          <w:rFonts w:hint="eastAsia" w:ascii="黑体" w:hAnsi="华文楷体" w:eastAsia="黑体"/>
          <w:b/>
          <w:color w:val="auto"/>
          <w:sz w:val="24"/>
          <w:highlight w:val="none"/>
        </w:rPr>
      </w:pPr>
      <w:r>
        <w:rPr>
          <w:rFonts w:hint="eastAsia" w:ascii="黑体" w:hAnsi="华文楷体" w:eastAsia="黑体"/>
          <w:b/>
          <w:color w:val="auto"/>
          <w:sz w:val="24"/>
          <w:highlight w:val="none"/>
        </w:rPr>
        <w:t>电话：                                                    联系人手机：</w:t>
      </w:r>
    </w:p>
    <w:p w14:paraId="35F2988C">
      <w:pPr>
        <w:spacing w:line="440" w:lineRule="exact"/>
        <w:rPr>
          <w:rFonts w:hint="eastAsia" w:ascii="黑体" w:hAnsi="华文楷体" w:eastAsia="黑体"/>
          <w:b/>
          <w:color w:val="auto"/>
          <w:sz w:val="24"/>
          <w:highlight w:val="none"/>
        </w:rPr>
      </w:pPr>
    </w:p>
    <w:tbl>
      <w:tblPr>
        <w:tblStyle w:val="14"/>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94"/>
        <w:gridCol w:w="2062"/>
        <w:gridCol w:w="971"/>
        <w:gridCol w:w="1463"/>
        <w:gridCol w:w="581"/>
        <w:gridCol w:w="876"/>
        <w:gridCol w:w="876"/>
        <w:gridCol w:w="1230"/>
        <w:gridCol w:w="1397"/>
      </w:tblGrid>
      <w:tr w14:paraId="48147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single" w:color="auto" w:sz="12" w:space="0"/>
              <w:left w:val="single" w:color="auto" w:sz="12" w:space="0"/>
              <w:bottom w:val="double" w:color="auto" w:sz="4" w:space="0"/>
            </w:tcBorders>
            <w:noWrap w:val="0"/>
            <w:vAlign w:val="center"/>
          </w:tcPr>
          <w:p w14:paraId="67E9217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序号</w:t>
            </w:r>
          </w:p>
        </w:tc>
        <w:tc>
          <w:tcPr>
            <w:tcW w:w="1036" w:type="pct"/>
            <w:tcBorders>
              <w:top w:val="single" w:color="auto" w:sz="12" w:space="0"/>
              <w:bottom w:val="double" w:color="auto" w:sz="4" w:space="0"/>
            </w:tcBorders>
            <w:noWrap w:val="0"/>
            <w:vAlign w:val="center"/>
          </w:tcPr>
          <w:p w14:paraId="5FFC86E8">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产品名称</w:t>
            </w:r>
          </w:p>
        </w:tc>
        <w:tc>
          <w:tcPr>
            <w:tcW w:w="488" w:type="pct"/>
            <w:tcBorders>
              <w:top w:val="single" w:color="auto" w:sz="12" w:space="0"/>
              <w:bottom w:val="double" w:color="auto" w:sz="4" w:space="0"/>
            </w:tcBorders>
            <w:noWrap w:val="0"/>
            <w:vAlign w:val="center"/>
          </w:tcPr>
          <w:p w14:paraId="5F8969C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品牌</w:t>
            </w:r>
          </w:p>
        </w:tc>
        <w:tc>
          <w:tcPr>
            <w:tcW w:w="733" w:type="pct"/>
            <w:tcBorders>
              <w:top w:val="single" w:color="auto" w:sz="12" w:space="0"/>
              <w:bottom w:val="double" w:color="auto" w:sz="4" w:space="0"/>
            </w:tcBorders>
            <w:noWrap w:val="0"/>
            <w:vAlign w:val="center"/>
          </w:tcPr>
          <w:p w14:paraId="16AB36D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型号规格</w:t>
            </w:r>
          </w:p>
        </w:tc>
        <w:tc>
          <w:tcPr>
            <w:tcW w:w="292" w:type="pct"/>
            <w:tcBorders>
              <w:top w:val="single" w:color="auto" w:sz="12" w:space="0"/>
              <w:bottom w:val="double" w:color="auto" w:sz="4" w:space="0"/>
            </w:tcBorders>
            <w:noWrap w:val="0"/>
            <w:vAlign w:val="center"/>
          </w:tcPr>
          <w:p w14:paraId="7A41A9BF">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数量</w:t>
            </w:r>
          </w:p>
        </w:tc>
        <w:tc>
          <w:tcPr>
            <w:tcW w:w="440" w:type="pct"/>
            <w:tcBorders>
              <w:top w:val="single" w:color="auto" w:sz="12" w:space="0"/>
              <w:bottom w:val="double" w:color="auto" w:sz="4" w:space="0"/>
            </w:tcBorders>
            <w:noWrap w:val="0"/>
            <w:vAlign w:val="center"/>
          </w:tcPr>
          <w:p w14:paraId="22044959">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单价</w:t>
            </w:r>
          </w:p>
        </w:tc>
        <w:tc>
          <w:tcPr>
            <w:tcW w:w="440" w:type="pct"/>
            <w:tcBorders>
              <w:top w:val="single" w:color="auto" w:sz="12" w:space="0"/>
              <w:bottom w:val="double" w:color="auto" w:sz="4" w:space="0"/>
            </w:tcBorders>
            <w:noWrap w:val="0"/>
            <w:vAlign w:val="center"/>
          </w:tcPr>
          <w:p w14:paraId="61A1F830">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金额</w:t>
            </w:r>
          </w:p>
        </w:tc>
        <w:tc>
          <w:tcPr>
            <w:tcW w:w="618" w:type="pct"/>
            <w:tcBorders>
              <w:top w:val="single" w:color="auto" w:sz="12" w:space="0"/>
              <w:bottom w:val="double" w:color="auto" w:sz="4" w:space="0"/>
            </w:tcBorders>
            <w:noWrap w:val="0"/>
            <w:vAlign w:val="center"/>
          </w:tcPr>
          <w:p w14:paraId="2F9A1E62">
            <w:pPr>
              <w:spacing w:line="440" w:lineRule="exact"/>
              <w:jc w:val="center"/>
              <w:rPr>
                <w:rFonts w:ascii="黑体" w:hAnsi="华文楷体" w:eastAsia="黑体"/>
                <w:color w:val="auto"/>
                <w:kern w:val="0"/>
                <w:sz w:val="24"/>
                <w:highlight w:val="none"/>
              </w:rPr>
            </w:pPr>
            <w:r>
              <w:rPr>
                <w:rFonts w:hint="eastAsia" w:ascii="黑体" w:hAnsi="华文楷体" w:eastAsia="黑体"/>
                <w:color w:val="auto"/>
                <w:kern w:val="0"/>
                <w:sz w:val="24"/>
                <w:highlight w:val="none"/>
              </w:rPr>
              <w:t>质保时间</w:t>
            </w:r>
          </w:p>
        </w:tc>
        <w:tc>
          <w:tcPr>
            <w:tcW w:w="700" w:type="pct"/>
            <w:tcBorders>
              <w:top w:val="single" w:color="auto" w:sz="12" w:space="0"/>
              <w:bottom w:val="double" w:color="auto" w:sz="4" w:space="0"/>
              <w:right w:val="single" w:color="auto" w:sz="12" w:space="0"/>
            </w:tcBorders>
            <w:noWrap w:val="0"/>
            <w:vAlign w:val="center"/>
          </w:tcPr>
          <w:p w14:paraId="09E42E8D">
            <w:pPr>
              <w:spacing w:line="440" w:lineRule="exact"/>
              <w:jc w:val="center"/>
              <w:rPr>
                <w:rFonts w:hint="eastAsia" w:ascii="黑体" w:hAnsi="华文楷体" w:eastAsia="黑体"/>
                <w:color w:val="auto"/>
                <w:kern w:val="0"/>
                <w:sz w:val="24"/>
                <w:highlight w:val="none"/>
                <w:lang w:eastAsia="zh-CN"/>
              </w:rPr>
            </w:pPr>
            <w:r>
              <w:rPr>
                <w:rFonts w:ascii="黑体" w:hAnsi="华文楷体" w:eastAsia="黑体"/>
                <w:color w:val="auto"/>
                <w:kern w:val="0"/>
                <w:sz w:val="24"/>
                <w:highlight w:val="none"/>
              </w:rPr>
              <w:t>最快供货</w:t>
            </w:r>
            <w:r>
              <w:rPr>
                <w:rFonts w:hint="eastAsia" w:ascii="黑体" w:hAnsi="华文楷体" w:eastAsia="黑体"/>
                <w:color w:val="auto"/>
                <w:kern w:val="0"/>
                <w:sz w:val="24"/>
                <w:highlight w:val="none"/>
                <w:lang w:val="en-US" w:eastAsia="zh-CN"/>
              </w:rPr>
              <w:t>时间</w:t>
            </w:r>
          </w:p>
        </w:tc>
      </w:tr>
      <w:tr w14:paraId="6076EB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top w:val="double" w:color="auto" w:sz="4" w:space="0"/>
              <w:left w:val="single" w:color="auto" w:sz="12" w:space="0"/>
            </w:tcBorders>
            <w:noWrap w:val="0"/>
            <w:vAlign w:val="top"/>
          </w:tcPr>
          <w:p w14:paraId="6904F50E">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1</w:t>
            </w:r>
          </w:p>
        </w:tc>
        <w:tc>
          <w:tcPr>
            <w:tcW w:w="1036" w:type="pct"/>
            <w:tcBorders>
              <w:top w:val="double" w:color="auto" w:sz="4" w:space="0"/>
            </w:tcBorders>
            <w:noWrap w:val="0"/>
            <w:vAlign w:val="center"/>
          </w:tcPr>
          <w:p w14:paraId="2716FB82">
            <w:pPr>
              <w:ind w:left="-63" w:leftChars="-30" w:right="-63" w:rightChars="-30"/>
              <w:jc w:val="center"/>
              <w:rPr>
                <w:rFonts w:hint="eastAsia" w:ascii="宋体" w:hAnsi="宋体" w:cs="宋体"/>
                <w:color w:val="auto"/>
                <w:sz w:val="18"/>
                <w:szCs w:val="18"/>
                <w:highlight w:val="none"/>
              </w:rPr>
            </w:pPr>
          </w:p>
        </w:tc>
        <w:tc>
          <w:tcPr>
            <w:tcW w:w="488" w:type="pct"/>
            <w:tcBorders>
              <w:top w:val="double" w:color="auto" w:sz="4" w:space="0"/>
            </w:tcBorders>
            <w:noWrap w:val="0"/>
            <w:vAlign w:val="top"/>
          </w:tcPr>
          <w:p w14:paraId="68C63CC3">
            <w:pPr>
              <w:spacing w:line="440" w:lineRule="exact"/>
              <w:jc w:val="center"/>
              <w:rPr>
                <w:rFonts w:ascii="方正仿宋_GB2312" w:hAnsi="华文楷体" w:eastAsia="方正仿宋_GB2312"/>
                <w:color w:val="auto"/>
                <w:kern w:val="0"/>
                <w:sz w:val="24"/>
                <w:highlight w:val="none"/>
              </w:rPr>
            </w:pPr>
          </w:p>
        </w:tc>
        <w:tc>
          <w:tcPr>
            <w:tcW w:w="733" w:type="pct"/>
            <w:tcBorders>
              <w:top w:val="double" w:color="auto" w:sz="4" w:space="0"/>
            </w:tcBorders>
            <w:noWrap w:val="0"/>
            <w:vAlign w:val="top"/>
          </w:tcPr>
          <w:p w14:paraId="2062DBEC">
            <w:pPr>
              <w:spacing w:line="440" w:lineRule="exact"/>
              <w:jc w:val="center"/>
              <w:rPr>
                <w:rFonts w:ascii="方正仿宋_GB2312" w:hAnsi="华文楷体" w:eastAsia="方正仿宋_GB2312"/>
                <w:color w:val="auto"/>
                <w:kern w:val="0"/>
                <w:sz w:val="24"/>
                <w:highlight w:val="none"/>
              </w:rPr>
            </w:pPr>
          </w:p>
        </w:tc>
        <w:tc>
          <w:tcPr>
            <w:tcW w:w="292" w:type="pct"/>
            <w:tcBorders>
              <w:top w:val="double" w:color="auto" w:sz="4" w:space="0"/>
            </w:tcBorders>
            <w:noWrap w:val="0"/>
            <w:vAlign w:val="top"/>
          </w:tcPr>
          <w:p w14:paraId="5576A539">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3366DAB2">
            <w:pPr>
              <w:spacing w:line="440" w:lineRule="exact"/>
              <w:jc w:val="center"/>
              <w:rPr>
                <w:rFonts w:ascii="方正仿宋_GB2312" w:hAnsi="华文楷体" w:eastAsia="方正仿宋_GB2312"/>
                <w:color w:val="auto"/>
                <w:kern w:val="0"/>
                <w:sz w:val="24"/>
                <w:highlight w:val="none"/>
              </w:rPr>
            </w:pPr>
          </w:p>
        </w:tc>
        <w:tc>
          <w:tcPr>
            <w:tcW w:w="440" w:type="pct"/>
            <w:tcBorders>
              <w:top w:val="double" w:color="auto" w:sz="4" w:space="0"/>
            </w:tcBorders>
            <w:noWrap w:val="0"/>
            <w:vAlign w:val="top"/>
          </w:tcPr>
          <w:p w14:paraId="45D03D7C">
            <w:pPr>
              <w:spacing w:line="440" w:lineRule="exact"/>
              <w:jc w:val="center"/>
              <w:rPr>
                <w:rFonts w:ascii="方正仿宋_GB2312" w:hAnsi="华文楷体" w:eastAsia="方正仿宋_GB2312"/>
                <w:color w:val="auto"/>
                <w:kern w:val="0"/>
                <w:sz w:val="24"/>
                <w:highlight w:val="none"/>
              </w:rPr>
            </w:pPr>
          </w:p>
        </w:tc>
        <w:tc>
          <w:tcPr>
            <w:tcW w:w="618" w:type="pct"/>
            <w:tcBorders>
              <w:top w:val="double" w:color="auto" w:sz="4" w:space="0"/>
            </w:tcBorders>
            <w:noWrap w:val="0"/>
            <w:vAlign w:val="top"/>
          </w:tcPr>
          <w:p w14:paraId="014679F0">
            <w:pPr>
              <w:spacing w:line="440" w:lineRule="exact"/>
              <w:jc w:val="center"/>
              <w:rPr>
                <w:rFonts w:ascii="方正仿宋_GB2312" w:hAnsi="华文楷体" w:eastAsia="方正仿宋_GB2312"/>
                <w:color w:val="auto"/>
                <w:kern w:val="0"/>
                <w:sz w:val="24"/>
                <w:highlight w:val="none"/>
              </w:rPr>
            </w:pPr>
          </w:p>
        </w:tc>
        <w:tc>
          <w:tcPr>
            <w:tcW w:w="700" w:type="pct"/>
            <w:tcBorders>
              <w:top w:val="double" w:color="auto" w:sz="4" w:space="0"/>
              <w:right w:val="single" w:color="auto" w:sz="12" w:space="0"/>
            </w:tcBorders>
            <w:noWrap w:val="0"/>
            <w:vAlign w:val="top"/>
          </w:tcPr>
          <w:p w14:paraId="605E89B2">
            <w:pPr>
              <w:spacing w:line="440" w:lineRule="exact"/>
              <w:jc w:val="center"/>
              <w:rPr>
                <w:rFonts w:ascii="方正仿宋_GB2312" w:hAnsi="华文楷体" w:eastAsia="方正仿宋_GB2312"/>
                <w:color w:val="auto"/>
                <w:kern w:val="0"/>
                <w:sz w:val="24"/>
                <w:highlight w:val="none"/>
              </w:rPr>
            </w:pPr>
          </w:p>
        </w:tc>
      </w:tr>
      <w:tr w14:paraId="32388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tcBorders>
            <w:noWrap w:val="0"/>
            <w:vAlign w:val="top"/>
          </w:tcPr>
          <w:p w14:paraId="29977C73">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2</w:t>
            </w:r>
          </w:p>
        </w:tc>
        <w:tc>
          <w:tcPr>
            <w:tcW w:w="1036" w:type="pct"/>
            <w:noWrap w:val="0"/>
            <w:vAlign w:val="center"/>
          </w:tcPr>
          <w:p w14:paraId="2866E2D0">
            <w:pPr>
              <w:ind w:left="-63" w:leftChars="-30" w:right="-63" w:rightChars="-30"/>
              <w:jc w:val="center"/>
              <w:rPr>
                <w:rFonts w:hint="eastAsia" w:ascii="宋体" w:hAnsi="宋体" w:cs="宋体"/>
                <w:color w:val="auto"/>
                <w:sz w:val="18"/>
                <w:szCs w:val="18"/>
                <w:highlight w:val="none"/>
              </w:rPr>
            </w:pPr>
          </w:p>
        </w:tc>
        <w:tc>
          <w:tcPr>
            <w:tcW w:w="488" w:type="pct"/>
            <w:noWrap w:val="0"/>
            <w:vAlign w:val="top"/>
          </w:tcPr>
          <w:p w14:paraId="0669C2FF">
            <w:pPr>
              <w:spacing w:line="440" w:lineRule="exact"/>
              <w:jc w:val="center"/>
              <w:rPr>
                <w:rFonts w:ascii="方正仿宋_GB2312" w:hAnsi="华文楷体" w:eastAsia="方正仿宋_GB2312"/>
                <w:color w:val="auto"/>
                <w:kern w:val="0"/>
                <w:sz w:val="24"/>
                <w:highlight w:val="none"/>
              </w:rPr>
            </w:pPr>
          </w:p>
        </w:tc>
        <w:tc>
          <w:tcPr>
            <w:tcW w:w="733" w:type="pct"/>
            <w:noWrap w:val="0"/>
            <w:vAlign w:val="top"/>
          </w:tcPr>
          <w:p w14:paraId="4D504156">
            <w:pPr>
              <w:spacing w:line="440" w:lineRule="exact"/>
              <w:jc w:val="center"/>
              <w:rPr>
                <w:rFonts w:ascii="方正仿宋_GB2312" w:hAnsi="华文楷体" w:eastAsia="方正仿宋_GB2312"/>
                <w:color w:val="auto"/>
                <w:kern w:val="0"/>
                <w:sz w:val="24"/>
                <w:highlight w:val="none"/>
              </w:rPr>
            </w:pPr>
          </w:p>
        </w:tc>
        <w:tc>
          <w:tcPr>
            <w:tcW w:w="292" w:type="pct"/>
            <w:noWrap w:val="0"/>
            <w:vAlign w:val="top"/>
          </w:tcPr>
          <w:p w14:paraId="74F4D8E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27571361">
            <w:pPr>
              <w:spacing w:line="440" w:lineRule="exact"/>
              <w:jc w:val="center"/>
              <w:rPr>
                <w:rFonts w:ascii="方正仿宋_GB2312" w:hAnsi="华文楷体" w:eastAsia="方正仿宋_GB2312"/>
                <w:color w:val="auto"/>
                <w:kern w:val="0"/>
                <w:sz w:val="24"/>
                <w:highlight w:val="none"/>
              </w:rPr>
            </w:pPr>
          </w:p>
        </w:tc>
        <w:tc>
          <w:tcPr>
            <w:tcW w:w="440" w:type="pct"/>
            <w:noWrap w:val="0"/>
            <w:vAlign w:val="top"/>
          </w:tcPr>
          <w:p w14:paraId="45E1288F">
            <w:pPr>
              <w:spacing w:line="440" w:lineRule="exact"/>
              <w:jc w:val="center"/>
              <w:rPr>
                <w:rFonts w:ascii="方正仿宋_GB2312" w:hAnsi="华文楷体" w:eastAsia="方正仿宋_GB2312"/>
                <w:color w:val="auto"/>
                <w:kern w:val="0"/>
                <w:sz w:val="24"/>
                <w:highlight w:val="none"/>
              </w:rPr>
            </w:pPr>
          </w:p>
        </w:tc>
        <w:tc>
          <w:tcPr>
            <w:tcW w:w="618" w:type="pct"/>
            <w:noWrap w:val="0"/>
            <w:vAlign w:val="top"/>
          </w:tcPr>
          <w:p w14:paraId="5DDB1CC9">
            <w:pPr>
              <w:spacing w:line="440" w:lineRule="exact"/>
              <w:jc w:val="center"/>
              <w:rPr>
                <w:rFonts w:ascii="方正仿宋_GB2312" w:hAnsi="华文楷体" w:eastAsia="方正仿宋_GB2312"/>
                <w:color w:val="auto"/>
                <w:kern w:val="0"/>
                <w:sz w:val="24"/>
                <w:highlight w:val="none"/>
              </w:rPr>
            </w:pPr>
          </w:p>
        </w:tc>
        <w:tc>
          <w:tcPr>
            <w:tcW w:w="700" w:type="pct"/>
            <w:tcBorders>
              <w:right w:val="single" w:color="auto" w:sz="12" w:space="0"/>
            </w:tcBorders>
            <w:noWrap w:val="0"/>
            <w:vAlign w:val="top"/>
          </w:tcPr>
          <w:p w14:paraId="6BB70514">
            <w:pPr>
              <w:spacing w:line="440" w:lineRule="exact"/>
              <w:jc w:val="center"/>
              <w:rPr>
                <w:rFonts w:ascii="方正仿宋_GB2312" w:hAnsi="华文楷体" w:eastAsia="方正仿宋_GB2312"/>
                <w:color w:val="auto"/>
                <w:kern w:val="0"/>
                <w:sz w:val="24"/>
                <w:highlight w:val="none"/>
              </w:rPr>
            </w:pPr>
          </w:p>
        </w:tc>
      </w:tr>
      <w:tr w14:paraId="66928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5E49ACAD">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3</w:t>
            </w:r>
          </w:p>
        </w:tc>
        <w:tc>
          <w:tcPr>
            <w:tcW w:w="1036" w:type="pct"/>
            <w:tcBorders>
              <w:bottom w:val="single" w:color="auto" w:sz="4" w:space="0"/>
            </w:tcBorders>
            <w:noWrap w:val="0"/>
            <w:vAlign w:val="center"/>
          </w:tcPr>
          <w:p w14:paraId="2D958EE1">
            <w:pPr>
              <w:ind w:left="-42" w:leftChars="-20" w:right="-42" w:rightChars="-20"/>
              <w:jc w:val="center"/>
              <w:rPr>
                <w:rFonts w:hint="eastAsia" w:ascii="宋体" w:hAnsi="宋体" w:cs="宋体"/>
                <w:color w:val="auto"/>
                <w:sz w:val="18"/>
                <w:szCs w:val="18"/>
                <w:highlight w:val="none"/>
              </w:rPr>
            </w:pPr>
          </w:p>
        </w:tc>
        <w:tc>
          <w:tcPr>
            <w:tcW w:w="488" w:type="pct"/>
            <w:tcBorders>
              <w:bottom w:val="single" w:color="auto" w:sz="4" w:space="0"/>
            </w:tcBorders>
            <w:noWrap w:val="0"/>
            <w:vAlign w:val="top"/>
          </w:tcPr>
          <w:p w14:paraId="6B0A81D6">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58841A2F">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6802B6E">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ECBBA3C">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47E5F99">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5140F715">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7F3F6EF0">
            <w:pPr>
              <w:spacing w:line="440" w:lineRule="exact"/>
              <w:jc w:val="center"/>
              <w:rPr>
                <w:rFonts w:ascii="方正仿宋_GB2312" w:hAnsi="华文楷体" w:eastAsia="方正仿宋_GB2312"/>
                <w:color w:val="auto"/>
                <w:kern w:val="0"/>
                <w:sz w:val="24"/>
                <w:highlight w:val="none"/>
              </w:rPr>
            </w:pPr>
          </w:p>
        </w:tc>
      </w:tr>
      <w:tr w14:paraId="5A9D0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22131CE2">
            <w:pPr>
              <w:spacing w:line="440" w:lineRule="exact"/>
              <w:jc w:val="center"/>
              <w:rPr>
                <w:rFonts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4</w:t>
            </w:r>
          </w:p>
        </w:tc>
        <w:tc>
          <w:tcPr>
            <w:tcW w:w="1036" w:type="pct"/>
            <w:tcBorders>
              <w:bottom w:val="single" w:color="auto" w:sz="4" w:space="0"/>
            </w:tcBorders>
            <w:noWrap w:val="0"/>
            <w:vAlign w:val="top"/>
          </w:tcPr>
          <w:p w14:paraId="6938BE08">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CD1A541">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337FC11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3C03B4F1">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47DA722A">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76A33D3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1F0F09">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0B4D1DA3">
            <w:pPr>
              <w:spacing w:line="440" w:lineRule="exact"/>
              <w:jc w:val="center"/>
              <w:rPr>
                <w:rFonts w:ascii="方正仿宋_GB2312" w:hAnsi="华文楷体" w:eastAsia="方正仿宋_GB2312"/>
                <w:color w:val="auto"/>
                <w:kern w:val="0"/>
                <w:sz w:val="24"/>
                <w:highlight w:val="none"/>
              </w:rPr>
            </w:pPr>
          </w:p>
        </w:tc>
      </w:tr>
      <w:tr w14:paraId="72A11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8" w:type="pct"/>
            <w:tcBorders>
              <w:left w:val="single" w:color="auto" w:sz="12" w:space="0"/>
              <w:bottom w:val="single" w:color="auto" w:sz="4" w:space="0"/>
            </w:tcBorders>
            <w:noWrap w:val="0"/>
            <w:vAlign w:val="top"/>
          </w:tcPr>
          <w:p w14:paraId="6A9F333C">
            <w:pPr>
              <w:spacing w:line="440" w:lineRule="exact"/>
              <w:jc w:val="center"/>
              <w:rPr>
                <w:rFonts w:hint="eastAsia" w:ascii="方正仿宋_GB2312" w:hAnsi="华文楷体" w:eastAsia="方正仿宋_GB2312"/>
                <w:color w:val="auto"/>
                <w:kern w:val="0"/>
                <w:sz w:val="24"/>
                <w:highlight w:val="none"/>
              </w:rPr>
            </w:pPr>
            <w:r>
              <w:rPr>
                <w:rFonts w:hint="eastAsia" w:ascii="方正仿宋_GB2312" w:hAnsi="华文楷体" w:eastAsia="方正仿宋_GB2312"/>
                <w:color w:val="auto"/>
                <w:kern w:val="0"/>
                <w:sz w:val="24"/>
                <w:highlight w:val="none"/>
              </w:rPr>
              <w:t>5</w:t>
            </w:r>
          </w:p>
        </w:tc>
        <w:tc>
          <w:tcPr>
            <w:tcW w:w="1036" w:type="pct"/>
            <w:tcBorders>
              <w:bottom w:val="single" w:color="auto" w:sz="4" w:space="0"/>
            </w:tcBorders>
            <w:noWrap w:val="0"/>
            <w:vAlign w:val="top"/>
          </w:tcPr>
          <w:p w14:paraId="5ED63A4B">
            <w:pPr>
              <w:spacing w:line="440" w:lineRule="exact"/>
              <w:jc w:val="center"/>
              <w:rPr>
                <w:rFonts w:ascii="方正仿宋_GB2312" w:hAnsi="华文楷体" w:eastAsia="方正仿宋_GB2312"/>
                <w:color w:val="auto"/>
                <w:kern w:val="0"/>
                <w:sz w:val="24"/>
                <w:highlight w:val="none"/>
              </w:rPr>
            </w:pPr>
          </w:p>
        </w:tc>
        <w:tc>
          <w:tcPr>
            <w:tcW w:w="488" w:type="pct"/>
            <w:tcBorders>
              <w:bottom w:val="single" w:color="auto" w:sz="4" w:space="0"/>
            </w:tcBorders>
            <w:noWrap w:val="0"/>
            <w:vAlign w:val="top"/>
          </w:tcPr>
          <w:p w14:paraId="49A78B8A">
            <w:pPr>
              <w:spacing w:line="440" w:lineRule="exact"/>
              <w:jc w:val="center"/>
              <w:rPr>
                <w:rFonts w:ascii="方正仿宋_GB2312" w:hAnsi="华文楷体" w:eastAsia="方正仿宋_GB2312"/>
                <w:color w:val="auto"/>
                <w:kern w:val="0"/>
                <w:sz w:val="24"/>
                <w:highlight w:val="none"/>
              </w:rPr>
            </w:pPr>
          </w:p>
        </w:tc>
        <w:tc>
          <w:tcPr>
            <w:tcW w:w="733" w:type="pct"/>
            <w:tcBorders>
              <w:bottom w:val="single" w:color="auto" w:sz="4" w:space="0"/>
            </w:tcBorders>
            <w:noWrap w:val="0"/>
            <w:vAlign w:val="top"/>
          </w:tcPr>
          <w:p w14:paraId="2EEE3065">
            <w:pPr>
              <w:spacing w:line="440" w:lineRule="exact"/>
              <w:jc w:val="center"/>
              <w:rPr>
                <w:rFonts w:ascii="方正仿宋_GB2312" w:hAnsi="华文楷体" w:eastAsia="方正仿宋_GB2312"/>
                <w:color w:val="auto"/>
                <w:kern w:val="0"/>
                <w:sz w:val="24"/>
                <w:highlight w:val="none"/>
              </w:rPr>
            </w:pPr>
          </w:p>
        </w:tc>
        <w:tc>
          <w:tcPr>
            <w:tcW w:w="292" w:type="pct"/>
            <w:tcBorders>
              <w:bottom w:val="single" w:color="auto" w:sz="4" w:space="0"/>
            </w:tcBorders>
            <w:noWrap w:val="0"/>
            <w:vAlign w:val="top"/>
          </w:tcPr>
          <w:p w14:paraId="270F8717">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2A4C7C00">
            <w:pPr>
              <w:spacing w:line="440" w:lineRule="exact"/>
              <w:jc w:val="center"/>
              <w:rPr>
                <w:rFonts w:ascii="方正仿宋_GB2312" w:hAnsi="华文楷体" w:eastAsia="方正仿宋_GB2312"/>
                <w:color w:val="auto"/>
                <w:kern w:val="0"/>
                <w:sz w:val="24"/>
                <w:highlight w:val="none"/>
              </w:rPr>
            </w:pPr>
          </w:p>
        </w:tc>
        <w:tc>
          <w:tcPr>
            <w:tcW w:w="440" w:type="pct"/>
            <w:tcBorders>
              <w:bottom w:val="single" w:color="auto" w:sz="4" w:space="0"/>
            </w:tcBorders>
            <w:noWrap w:val="0"/>
            <w:vAlign w:val="top"/>
          </w:tcPr>
          <w:p w14:paraId="6028EA0C">
            <w:pPr>
              <w:spacing w:line="440" w:lineRule="exact"/>
              <w:jc w:val="center"/>
              <w:rPr>
                <w:rFonts w:ascii="方正仿宋_GB2312" w:hAnsi="华文楷体" w:eastAsia="方正仿宋_GB2312"/>
                <w:color w:val="auto"/>
                <w:kern w:val="0"/>
                <w:sz w:val="24"/>
                <w:highlight w:val="none"/>
              </w:rPr>
            </w:pPr>
          </w:p>
        </w:tc>
        <w:tc>
          <w:tcPr>
            <w:tcW w:w="618" w:type="pct"/>
            <w:tcBorders>
              <w:bottom w:val="single" w:color="auto" w:sz="4" w:space="0"/>
            </w:tcBorders>
            <w:noWrap w:val="0"/>
            <w:vAlign w:val="top"/>
          </w:tcPr>
          <w:p w14:paraId="7530FD9C">
            <w:pPr>
              <w:spacing w:line="440" w:lineRule="exact"/>
              <w:jc w:val="center"/>
              <w:rPr>
                <w:rFonts w:ascii="方正仿宋_GB2312" w:hAnsi="华文楷体" w:eastAsia="方正仿宋_GB2312"/>
                <w:color w:val="auto"/>
                <w:kern w:val="0"/>
                <w:sz w:val="24"/>
                <w:highlight w:val="none"/>
              </w:rPr>
            </w:pPr>
          </w:p>
        </w:tc>
        <w:tc>
          <w:tcPr>
            <w:tcW w:w="700" w:type="pct"/>
            <w:tcBorders>
              <w:bottom w:val="single" w:color="auto" w:sz="4" w:space="0"/>
              <w:right w:val="single" w:color="auto" w:sz="12" w:space="0"/>
            </w:tcBorders>
            <w:noWrap w:val="0"/>
            <w:vAlign w:val="top"/>
          </w:tcPr>
          <w:p w14:paraId="1CF8882E">
            <w:pPr>
              <w:spacing w:line="440" w:lineRule="exact"/>
              <w:jc w:val="center"/>
              <w:rPr>
                <w:rFonts w:ascii="方正仿宋_GB2312" w:hAnsi="华文楷体" w:eastAsia="方正仿宋_GB2312"/>
                <w:color w:val="auto"/>
                <w:kern w:val="0"/>
                <w:sz w:val="24"/>
                <w:highlight w:val="none"/>
              </w:rPr>
            </w:pPr>
          </w:p>
        </w:tc>
      </w:tr>
      <w:tr w14:paraId="512FFB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507" w:type="pct"/>
            <w:gridSpan w:val="4"/>
            <w:tcBorders>
              <w:top w:val="double" w:color="auto" w:sz="4" w:space="0"/>
              <w:left w:val="single" w:color="auto" w:sz="12" w:space="0"/>
              <w:bottom w:val="single" w:color="auto" w:sz="12" w:space="0"/>
            </w:tcBorders>
            <w:noWrap w:val="0"/>
            <w:vAlign w:val="top"/>
          </w:tcPr>
          <w:p w14:paraId="57ECA68A">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合计金额（人民币）</w:t>
            </w:r>
          </w:p>
        </w:tc>
        <w:tc>
          <w:tcPr>
            <w:tcW w:w="2492" w:type="pct"/>
            <w:gridSpan w:val="5"/>
            <w:tcBorders>
              <w:top w:val="double" w:color="auto" w:sz="4" w:space="0"/>
              <w:bottom w:val="single" w:color="auto" w:sz="12" w:space="0"/>
              <w:right w:val="single" w:color="auto" w:sz="12" w:space="0"/>
            </w:tcBorders>
            <w:noWrap w:val="0"/>
            <w:vAlign w:val="top"/>
          </w:tcPr>
          <w:p w14:paraId="5C538379">
            <w:pPr>
              <w:spacing w:line="440" w:lineRule="exact"/>
              <w:jc w:val="center"/>
              <w:rPr>
                <w:rFonts w:hint="eastAsia" w:ascii="黑体" w:hAnsi="华文楷体" w:eastAsia="黑体" w:cs="Times New Roman"/>
                <w:color w:val="auto"/>
                <w:kern w:val="0"/>
                <w:sz w:val="24"/>
                <w:highlight w:val="none"/>
              </w:rPr>
            </w:pPr>
            <w:r>
              <w:rPr>
                <w:rFonts w:hint="eastAsia" w:ascii="黑体" w:hAnsi="华文楷体" w:eastAsia="黑体" w:cs="Times New Roman"/>
                <w:color w:val="auto"/>
                <w:kern w:val="0"/>
                <w:sz w:val="24"/>
                <w:highlight w:val="none"/>
              </w:rPr>
              <w:t xml:space="preserve">￥           （大写）：                               </w:t>
            </w:r>
          </w:p>
        </w:tc>
      </w:tr>
    </w:tbl>
    <w:p w14:paraId="655247D5">
      <w:pPr>
        <w:spacing w:line="440" w:lineRule="exact"/>
        <w:rPr>
          <w:rFonts w:hint="eastAsia" w:ascii="黑体" w:hAnsi="华文楷体" w:eastAsia="黑体"/>
          <w:b/>
          <w:color w:val="auto"/>
          <w:sz w:val="24"/>
          <w:highlight w:val="none"/>
        </w:rPr>
      </w:pPr>
    </w:p>
    <w:p w14:paraId="2181F384">
      <w:pPr>
        <w:spacing w:line="440" w:lineRule="exact"/>
        <w:rPr>
          <w:rFonts w:hint="eastAsia" w:ascii="黑体" w:hAnsi="华文楷体" w:eastAsia="黑体"/>
          <w:b/>
          <w:color w:val="auto"/>
          <w:sz w:val="24"/>
          <w:highlight w:val="none"/>
        </w:rPr>
      </w:pPr>
    </w:p>
    <w:p w14:paraId="5E23D6EF">
      <w:pPr>
        <w:pStyle w:val="13"/>
        <w:ind w:left="0" w:leftChars="0" w:firstLine="0" w:firstLineChars="0"/>
        <w:rPr>
          <w:rFonts w:hint="eastAsia"/>
          <w:color w:val="auto"/>
          <w:highlight w:val="none"/>
        </w:rPr>
      </w:pPr>
    </w:p>
    <w:p w14:paraId="296AA70E">
      <w:pPr>
        <w:spacing w:line="440" w:lineRule="exact"/>
        <w:rPr>
          <w:rFonts w:ascii="黑体" w:hAnsi="华文楷体" w:eastAsia="黑体"/>
          <w:color w:val="auto"/>
          <w:sz w:val="24"/>
          <w:highlight w:val="none"/>
        </w:rPr>
      </w:pPr>
      <w:r>
        <w:rPr>
          <w:rFonts w:hint="eastAsia" w:ascii="黑体" w:hAnsi="华文楷体" w:eastAsia="黑体"/>
          <w:color w:val="auto"/>
          <w:sz w:val="24"/>
          <w:highlight w:val="none"/>
        </w:rPr>
        <w:t>公司名称（盖章）：          委托代理人（签字）：        报价日期：      年    月   日</w:t>
      </w:r>
    </w:p>
    <w:p w14:paraId="345567A0">
      <w:pPr>
        <w:rPr>
          <w:rFonts w:hint="eastAsia" w:ascii="黑体" w:hAnsi="华文楷体" w:eastAsia="黑体"/>
          <w:color w:val="auto"/>
          <w:szCs w:val="21"/>
          <w:highlight w:val="none"/>
        </w:rPr>
      </w:pPr>
    </w:p>
    <w:p w14:paraId="24F3C11F">
      <w:pPr>
        <w:rPr>
          <w:rFonts w:ascii="黑体" w:hAnsi="华文楷体" w:eastAsia="黑体"/>
          <w:color w:val="auto"/>
          <w:szCs w:val="21"/>
          <w:highlight w:val="none"/>
        </w:rPr>
      </w:pPr>
      <w:r>
        <w:rPr>
          <w:rFonts w:hint="eastAsia" w:ascii="黑体" w:hAnsi="华文楷体" w:eastAsia="黑体"/>
          <w:color w:val="auto"/>
          <w:szCs w:val="21"/>
          <w:highlight w:val="none"/>
        </w:rPr>
        <w:t>报价说明：1、报价公司提供的上述产品，应完全满足或者优于我校提出的需求。</w:t>
      </w:r>
    </w:p>
    <w:p w14:paraId="6C546935">
      <w:pPr>
        <w:rPr>
          <w:rFonts w:ascii="黑体" w:hAnsi="华文楷体" w:eastAsia="黑体"/>
          <w:color w:val="auto"/>
          <w:szCs w:val="21"/>
          <w:highlight w:val="none"/>
        </w:rPr>
      </w:pPr>
      <w:r>
        <w:rPr>
          <w:rFonts w:hint="eastAsia" w:ascii="黑体" w:hAnsi="华文楷体" w:eastAsia="黑体"/>
          <w:color w:val="auto"/>
          <w:szCs w:val="21"/>
          <w:highlight w:val="none"/>
        </w:rPr>
        <w:t xml:space="preserve">          2、如属非标配产品，其技术指标（特别是优于我校需求的部分）请另行附页说明。</w:t>
      </w:r>
    </w:p>
    <w:p w14:paraId="360E75B8">
      <w:pPr>
        <w:rPr>
          <w:rFonts w:ascii="黑体" w:hAnsi="华文楷体" w:eastAsia="黑体"/>
          <w:color w:val="auto"/>
          <w:szCs w:val="21"/>
          <w:highlight w:val="none"/>
        </w:rPr>
      </w:pPr>
      <w:r>
        <w:rPr>
          <w:rFonts w:hint="eastAsia" w:ascii="黑体" w:hAnsi="华文楷体" w:eastAsia="黑体"/>
          <w:color w:val="auto"/>
          <w:szCs w:val="21"/>
          <w:highlight w:val="none"/>
        </w:rPr>
        <w:t xml:space="preserve">          3、特殊的售后服务措施、代理证明情况等需要说明的，请另行附页说明。</w:t>
      </w:r>
    </w:p>
    <w:p w14:paraId="4A21681F">
      <w:pPr>
        <w:rPr>
          <w:rFonts w:hint="eastAsia" w:ascii="黑体" w:hAnsi="华文楷体" w:eastAsia="黑体"/>
          <w:color w:val="auto"/>
          <w:szCs w:val="21"/>
          <w:highlight w:val="none"/>
        </w:rPr>
      </w:pPr>
      <w:r>
        <w:rPr>
          <w:rFonts w:hint="eastAsia" w:ascii="黑体" w:hAnsi="华文楷体" w:eastAsia="黑体"/>
          <w:color w:val="auto"/>
          <w:szCs w:val="21"/>
          <w:highlight w:val="none"/>
        </w:rPr>
        <w:t xml:space="preserve">          4、报价单附页（如有）共</w:t>
      </w:r>
      <w:r>
        <w:rPr>
          <w:rFonts w:hint="eastAsia" w:ascii="黑体" w:hAnsi="华文楷体" w:eastAsia="黑体"/>
          <w:color w:val="auto"/>
          <w:szCs w:val="21"/>
          <w:highlight w:val="none"/>
          <w:u w:val="single"/>
        </w:rPr>
        <w:t xml:space="preserve">      </w:t>
      </w:r>
      <w:r>
        <w:rPr>
          <w:rFonts w:hint="eastAsia" w:ascii="黑体" w:hAnsi="华文楷体" w:eastAsia="黑体"/>
          <w:color w:val="auto"/>
          <w:szCs w:val="21"/>
          <w:highlight w:val="none"/>
        </w:rPr>
        <w:t>页。</w:t>
      </w:r>
    </w:p>
    <w:p w14:paraId="4403A77C">
      <w:pPr>
        <w:rPr>
          <w:rFonts w:hint="eastAsia" w:ascii="仿宋" w:hAnsi="仿宋" w:eastAsia="仿宋"/>
          <w:b/>
          <w:bCs/>
          <w:color w:val="auto"/>
          <w:kern w:val="0"/>
          <w:sz w:val="36"/>
          <w:szCs w:val="36"/>
          <w:highlight w:val="none"/>
          <w:lang w:val="en-US" w:eastAsia="zh-CN"/>
        </w:rPr>
      </w:pPr>
      <w:r>
        <w:rPr>
          <w:rFonts w:hint="eastAsia" w:ascii="仿宋" w:hAnsi="仿宋" w:eastAsia="仿宋"/>
          <w:b/>
          <w:bCs/>
          <w:color w:val="auto"/>
          <w:kern w:val="0"/>
          <w:sz w:val="36"/>
          <w:szCs w:val="36"/>
          <w:highlight w:val="none"/>
          <w:lang w:val="en-US" w:eastAsia="zh-CN"/>
        </w:rPr>
        <w:br w:type="page"/>
      </w:r>
    </w:p>
    <w:p w14:paraId="0D7FB27B">
      <w:pPr>
        <w:spacing w:after="120" w:afterLines="50" w:line="240" w:lineRule="auto"/>
        <w:ind w:left="0" w:leftChars="0" w:firstLine="0" w:firstLineChars="0"/>
        <w:jc w:val="center"/>
        <w:rPr>
          <w:rFonts w:ascii="仿宋" w:hAnsi="仿宋" w:eastAsia="仿宋"/>
          <w:b/>
          <w:bCs/>
          <w:color w:val="auto"/>
          <w:kern w:val="0"/>
          <w:sz w:val="36"/>
          <w:szCs w:val="36"/>
          <w:highlight w:val="none"/>
        </w:rPr>
      </w:pPr>
      <w:r>
        <w:rPr>
          <w:rFonts w:hint="eastAsia" w:ascii="仿宋" w:hAnsi="仿宋" w:eastAsia="仿宋"/>
          <w:b/>
          <w:bCs/>
          <w:color w:val="auto"/>
          <w:kern w:val="0"/>
          <w:sz w:val="36"/>
          <w:szCs w:val="36"/>
          <w:highlight w:val="none"/>
          <w:lang w:val="en-US" w:eastAsia="zh-CN"/>
        </w:rPr>
        <w:t>报价</w:t>
      </w:r>
      <w:r>
        <w:rPr>
          <w:rFonts w:hint="eastAsia" w:ascii="仿宋" w:hAnsi="仿宋" w:eastAsia="仿宋"/>
          <w:b/>
          <w:bCs/>
          <w:color w:val="auto"/>
          <w:kern w:val="0"/>
          <w:sz w:val="36"/>
          <w:szCs w:val="36"/>
          <w:highlight w:val="none"/>
        </w:rPr>
        <w:t>承诺函</w:t>
      </w:r>
    </w:p>
    <w:p w14:paraId="154139ED">
      <w:pPr>
        <w:spacing w:after="120" w:afterLines="50" w:line="240" w:lineRule="auto"/>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rPr>
        <w:t>致：</w:t>
      </w:r>
      <w:r>
        <w:rPr>
          <w:rFonts w:hint="eastAsia" w:ascii="仿宋" w:hAnsi="仿宋" w:eastAsia="仿宋" w:cs="宋体"/>
          <w:color w:val="auto"/>
          <w:sz w:val="24"/>
          <w:szCs w:val="24"/>
          <w:highlight w:val="none"/>
          <w:lang w:val="en-US" w:eastAsia="zh-CN"/>
        </w:rPr>
        <w:t>上海海事大学</w:t>
      </w:r>
    </w:p>
    <w:p w14:paraId="37C42137">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zh-CN"/>
        </w:rPr>
        <w:t>我</w:t>
      </w:r>
      <w:r>
        <w:rPr>
          <w:rFonts w:ascii="仿宋" w:hAnsi="仿宋" w:eastAsia="仿宋" w:cs="宋体"/>
          <w:color w:val="auto"/>
          <w:sz w:val="24"/>
          <w:szCs w:val="24"/>
          <w:highlight w:val="none"/>
          <w:lang w:val="zh-CN"/>
        </w:rPr>
        <w:t>公司在参加本次</w:t>
      </w:r>
      <w:r>
        <w:rPr>
          <w:rFonts w:hint="eastAsia" w:ascii="仿宋" w:hAnsi="仿宋" w:eastAsia="仿宋" w:cs="宋体"/>
          <w:color w:val="auto"/>
          <w:sz w:val="24"/>
          <w:szCs w:val="24"/>
          <w:highlight w:val="none"/>
          <w:lang w:val="en-US" w:eastAsia="zh-CN"/>
        </w:rPr>
        <w:t>比选采购</w:t>
      </w:r>
      <w:r>
        <w:rPr>
          <w:rFonts w:ascii="仿宋" w:hAnsi="仿宋" w:eastAsia="仿宋" w:cs="宋体"/>
          <w:color w:val="auto"/>
          <w:sz w:val="24"/>
          <w:szCs w:val="24"/>
          <w:highlight w:val="none"/>
          <w:lang w:val="zh-CN"/>
        </w:rPr>
        <w:t>活动中，</w:t>
      </w:r>
      <w:r>
        <w:rPr>
          <w:rFonts w:hint="eastAsia" w:ascii="仿宋" w:hAnsi="仿宋" w:eastAsia="仿宋" w:cs="宋体"/>
          <w:color w:val="auto"/>
          <w:sz w:val="24"/>
          <w:szCs w:val="24"/>
          <w:highlight w:val="none"/>
          <w:lang w:val="zh-CN"/>
        </w:rPr>
        <w:t>作出如下</w:t>
      </w:r>
      <w:r>
        <w:rPr>
          <w:rFonts w:ascii="仿宋" w:hAnsi="仿宋" w:eastAsia="仿宋" w:cs="宋体"/>
          <w:color w:val="auto"/>
          <w:sz w:val="24"/>
          <w:szCs w:val="24"/>
          <w:highlight w:val="none"/>
          <w:lang w:val="zh-CN"/>
        </w:rPr>
        <w:t>承诺：</w:t>
      </w:r>
    </w:p>
    <w:p w14:paraId="46C0BB39">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zh-CN" w:eastAsia="zh-CN"/>
        </w:rPr>
        <w:t>一、</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具备独立法人资格，能够独立承担民事责任。</w:t>
      </w:r>
    </w:p>
    <w:p w14:paraId="50EE2300">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二、我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财务状况良好，具备履行合同所需资金实力。</w:t>
      </w:r>
    </w:p>
    <w:p w14:paraId="3F8FCAE5">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三、我</w:t>
      </w:r>
      <w:r>
        <w:rPr>
          <w:rFonts w:hint="eastAsia" w:ascii="仿宋" w:hAnsi="仿宋" w:eastAsia="仿宋" w:cs="宋体"/>
          <w:color w:val="auto"/>
          <w:sz w:val="24"/>
          <w:szCs w:val="24"/>
          <w:highlight w:val="none"/>
          <w:lang w:val="zh-CN"/>
        </w:rPr>
        <w:t>公司</w:t>
      </w:r>
      <w:r>
        <w:rPr>
          <w:rFonts w:hint="eastAsia" w:ascii="仿宋" w:hAnsi="仿宋" w:eastAsia="仿宋" w:cs="宋体"/>
          <w:color w:val="auto"/>
          <w:sz w:val="24"/>
          <w:szCs w:val="24"/>
          <w:highlight w:val="none"/>
          <w:lang w:val="en-US" w:eastAsia="zh-CN"/>
        </w:rPr>
        <w:t>拥有履行项目所需的专业技术人员和先进的生产设备。</w:t>
      </w:r>
    </w:p>
    <w:p w14:paraId="45943AA8">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四、我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依法纳税，并按时缴纳社会保险费。</w:t>
      </w:r>
    </w:p>
    <w:p w14:paraId="0F0C6E90">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五、我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在最近三年内无任何违法违规行为，信誉良好。</w:t>
      </w:r>
    </w:p>
    <w:p w14:paraId="3EF4200C">
      <w:pPr>
        <w:spacing w:after="120" w:afterLines="50" w:line="240" w:lineRule="auto"/>
        <w:ind w:left="0" w:leftChars="0" w:firstLine="480" w:firstLineChars="200"/>
        <w:rPr>
          <w:rFonts w:hint="default"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六、我</w:t>
      </w:r>
      <w:r>
        <w:rPr>
          <w:rFonts w:hint="eastAsia" w:ascii="仿宋" w:hAnsi="仿宋" w:eastAsia="仿宋" w:cs="宋体"/>
          <w:color w:val="auto"/>
          <w:sz w:val="24"/>
          <w:szCs w:val="24"/>
          <w:highlight w:val="none"/>
          <w:lang w:val="zh-CN" w:eastAsia="zh-CN"/>
        </w:rPr>
        <w:t>公司</w:t>
      </w:r>
      <w:r>
        <w:rPr>
          <w:rFonts w:hint="eastAsia" w:ascii="仿宋" w:hAnsi="仿宋" w:eastAsia="仿宋" w:cs="宋体"/>
          <w:color w:val="auto"/>
          <w:sz w:val="24"/>
          <w:szCs w:val="24"/>
          <w:highlight w:val="none"/>
          <w:lang w:val="en-US" w:eastAsia="zh-CN"/>
        </w:rPr>
        <w:t>完全符合政府采购法及其他相关法律法规的规定。</w:t>
      </w:r>
    </w:p>
    <w:p w14:paraId="072F3ABB">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七</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我</w:t>
      </w:r>
      <w:r>
        <w:rPr>
          <w:rFonts w:hint="eastAsia" w:ascii="仿宋" w:hAnsi="仿宋" w:eastAsia="仿宋" w:cs="宋体"/>
          <w:color w:val="auto"/>
          <w:sz w:val="24"/>
          <w:szCs w:val="24"/>
          <w:highlight w:val="none"/>
          <w:lang w:val="zh-CN" w:eastAsia="zh-CN"/>
        </w:rPr>
        <w:t>公司提供的相关文件均真实、有效。</w:t>
      </w:r>
    </w:p>
    <w:p w14:paraId="1E86BCEA">
      <w:pPr>
        <w:spacing w:after="120" w:afterLines="50" w:line="240" w:lineRule="auto"/>
        <w:ind w:left="0" w:leftChars="0" w:firstLine="480" w:firstLineChars="200"/>
        <w:rPr>
          <w:rFonts w:hint="eastAsia" w:ascii="仿宋" w:hAnsi="仿宋" w:eastAsia="仿宋" w:cs="宋体"/>
          <w:color w:val="auto"/>
          <w:sz w:val="24"/>
          <w:szCs w:val="24"/>
          <w:highlight w:val="none"/>
          <w:lang w:val="en-US" w:eastAsia="zh-CN"/>
        </w:rPr>
      </w:pPr>
      <w:r>
        <w:rPr>
          <w:rFonts w:hint="eastAsia" w:ascii="仿宋" w:hAnsi="仿宋" w:eastAsia="仿宋" w:cs="宋体"/>
          <w:color w:val="auto"/>
          <w:sz w:val="24"/>
          <w:szCs w:val="24"/>
          <w:highlight w:val="none"/>
          <w:lang w:val="en-US" w:eastAsia="zh-CN"/>
        </w:rPr>
        <w:t>八、我</w:t>
      </w:r>
      <w:r>
        <w:rPr>
          <w:rFonts w:hint="eastAsia" w:ascii="仿宋" w:hAnsi="仿宋" w:eastAsia="仿宋" w:cs="宋体"/>
          <w:color w:val="auto"/>
          <w:sz w:val="24"/>
          <w:szCs w:val="24"/>
          <w:highlight w:val="none"/>
          <w:lang w:val="zh-CN" w:eastAsia="zh-CN"/>
        </w:rPr>
        <w:t>公司未挂靠、借用资质进行投标等违法违规行为。</w:t>
      </w:r>
    </w:p>
    <w:p w14:paraId="1961C25F">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九、</w:t>
      </w:r>
      <w:r>
        <w:rPr>
          <w:rFonts w:hint="eastAsia" w:ascii="仿宋" w:hAnsi="仿宋" w:eastAsia="仿宋" w:cs="宋体"/>
          <w:color w:val="auto"/>
          <w:sz w:val="24"/>
          <w:szCs w:val="24"/>
          <w:highlight w:val="none"/>
          <w:lang w:val="zh-CN" w:eastAsia="zh-CN"/>
        </w:rPr>
        <w:t>我公司承诺在参加本</w:t>
      </w:r>
      <w:r>
        <w:rPr>
          <w:rFonts w:hint="eastAsia" w:ascii="仿宋" w:hAnsi="仿宋" w:eastAsia="仿宋" w:cs="宋体"/>
          <w:color w:val="auto"/>
          <w:sz w:val="24"/>
          <w:szCs w:val="24"/>
          <w:highlight w:val="none"/>
          <w:lang w:val="en-US" w:eastAsia="zh-CN"/>
        </w:rPr>
        <w:t>次</w:t>
      </w:r>
      <w:r>
        <w:rPr>
          <w:rFonts w:hint="eastAsia" w:ascii="仿宋" w:hAnsi="仿宋" w:eastAsia="仿宋" w:cs="宋体"/>
          <w:color w:val="auto"/>
          <w:sz w:val="24"/>
          <w:szCs w:val="24"/>
          <w:highlight w:val="none"/>
          <w:lang w:val="zh-CN" w:eastAsia="zh-CN"/>
        </w:rPr>
        <w:t>采购活动中，</w:t>
      </w:r>
      <w:r>
        <w:rPr>
          <w:rFonts w:hint="eastAsia" w:ascii="仿宋" w:hAnsi="仿宋" w:eastAsia="仿宋" w:cs="宋体"/>
          <w:color w:val="auto"/>
          <w:sz w:val="24"/>
          <w:szCs w:val="24"/>
          <w:highlight w:val="none"/>
          <w:lang w:val="en-US" w:eastAsia="zh-CN"/>
        </w:rPr>
        <w:t>不存在串标围标行为</w:t>
      </w:r>
      <w:r>
        <w:rPr>
          <w:rFonts w:hint="eastAsia" w:ascii="仿宋" w:hAnsi="仿宋" w:eastAsia="仿宋" w:cs="宋体"/>
          <w:color w:val="auto"/>
          <w:sz w:val="24"/>
          <w:szCs w:val="24"/>
          <w:highlight w:val="none"/>
          <w:lang w:val="zh-CN" w:eastAsia="zh-CN"/>
        </w:rPr>
        <w:t>，</w:t>
      </w:r>
      <w:r>
        <w:rPr>
          <w:rFonts w:hint="eastAsia" w:ascii="仿宋" w:hAnsi="仿宋" w:eastAsia="仿宋" w:cs="宋体"/>
          <w:color w:val="auto"/>
          <w:sz w:val="24"/>
          <w:szCs w:val="24"/>
          <w:highlight w:val="none"/>
          <w:lang w:val="en-US" w:eastAsia="zh-CN"/>
        </w:rPr>
        <w:t>不存在</w:t>
      </w:r>
      <w:r>
        <w:rPr>
          <w:rFonts w:hint="eastAsia" w:ascii="仿宋" w:hAnsi="仿宋" w:eastAsia="仿宋" w:cs="宋体"/>
          <w:color w:val="auto"/>
          <w:sz w:val="24"/>
          <w:szCs w:val="24"/>
          <w:highlight w:val="none"/>
          <w:lang w:val="zh-CN" w:eastAsia="zh-CN"/>
        </w:rPr>
        <w:t>损害</w:t>
      </w:r>
      <w:r>
        <w:rPr>
          <w:rFonts w:hint="eastAsia" w:ascii="仿宋" w:hAnsi="仿宋" w:eastAsia="仿宋" w:cs="宋体"/>
          <w:color w:val="auto"/>
          <w:sz w:val="24"/>
          <w:szCs w:val="24"/>
          <w:highlight w:val="none"/>
          <w:lang w:val="en-US" w:eastAsia="zh-CN"/>
        </w:rPr>
        <w:t>校方</w:t>
      </w:r>
      <w:r>
        <w:rPr>
          <w:rFonts w:hint="eastAsia" w:ascii="仿宋" w:hAnsi="仿宋" w:eastAsia="仿宋" w:cs="宋体"/>
          <w:color w:val="auto"/>
          <w:sz w:val="24"/>
          <w:szCs w:val="24"/>
          <w:highlight w:val="none"/>
          <w:lang w:val="zh-CN" w:eastAsia="zh-CN"/>
        </w:rPr>
        <w:t>或者其他</w:t>
      </w:r>
      <w:r>
        <w:rPr>
          <w:rFonts w:hint="eastAsia" w:ascii="仿宋" w:hAnsi="仿宋" w:eastAsia="仿宋" w:cs="宋体"/>
          <w:color w:val="auto"/>
          <w:sz w:val="24"/>
          <w:szCs w:val="24"/>
          <w:highlight w:val="none"/>
          <w:lang w:val="en-US" w:eastAsia="zh-CN"/>
        </w:rPr>
        <w:t>报价单位</w:t>
      </w:r>
      <w:r>
        <w:rPr>
          <w:rFonts w:hint="eastAsia" w:ascii="仿宋" w:hAnsi="仿宋" w:eastAsia="仿宋" w:cs="宋体"/>
          <w:color w:val="auto"/>
          <w:sz w:val="24"/>
          <w:szCs w:val="24"/>
          <w:highlight w:val="none"/>
          <w:lang w:val="zh-CN" w:eastAsia="zh-CN"/>
        </w:rPr>
        <w:t>利益的行为。</w:t>
      </w:r>
    </w:p>
    <w:p w14:paraId="1B3C8AA7">
      <w:pPr>
        <w:spacing w:after="120" w:afterLines="50" w:line="240" w:lineRule="auto"/>
        <w:ind w:left="0" w:leftChars="0" w:firstLine="480" w:firstLineChars="200"/>
        <w:rPr>
          <w:rFonts w:hint="eastAsia" w:ascii="仿宋" w:hAnsi="仿宋" w:eastAsia="仿宋" w:cs="宋体"/>
          <w:color w:val="auto"/>
          <w:sz w:val="24"/>
          <w:szCs w:val="24"/>
          <w:highlight w:val="none"/>
          <w:lang w:val="zh-CN" w:eastAsia="zh-CN"/>
        </w:rPr>
      </w:pPr>
      <w:r>
        <w:rPr>
          <w:rFonts w:hint="eastAsia" w:ascii="仿宋" w:hAnsi="仿宋" w:eastAsia="仿宋" w:cs="宋体"/>
          <w:color w:val="auto"/>
          <w:sz w:val="24"/>
          <w:szCs w:val="24"/>
          <w:highlight w:val="none"/>
          <w:lang w:val="en-US" w:eastAsia="zh-CN"/>
        </w:rPr>
        <w:t>十、</w:t>
      </w:r>
      <w:r>
        <w:rPr>
          <w:rFonts w:hint="eastAsia" w:ascii="仿宋" w:hAnsi="仿宋" w:eastAsia="仿宋" w:cs="宋体"/>
          <w:color w:val="auto"/>
          <w:sz w:val="24"/>
          <w:szCs w:val="24"/>
          <w:highlight w:val="none"/>
          <w:lang w:val="zh-CN" w:eastAsia="zh-CN"/>
        </w:rPr>
        <w:t>我</w:t>
      </w:r>
      <w:r>
        <w:rPr>
          <w:rFonts w:hint="eastAsia" w:ascii="仿宋" w:hAnsi="仿宋" w:eastAsia="仿宋" w:cs="宋体"/>
          <w:color w:val="auto"/>
          <w:sz w:val="24"/>
          <w:szCs w:val="24"/>
          <w:highlight w:val="none"/>
          <w:lang w:val="en-US" w:eastAsia="zh-CN"/>
        </w:rPr>
        <w:t>公司管理层中</w:t>
      </w:r>
      <w:r>
        <w:rPr>
          <w:rFonts w:hint="eastAsia" w:ascii="仿宋" w:hAnsi="仿宋" w:eastAsia="仿宋" w:cs="宋体"/>
          <w:color w:val="auto"/>
          <w:sz w:val="24"/>
          <w:szCs w:val="24"/>
          <w:highlight w:val="none"/>
          <w:lang w:val="zh-CN" w:eastAsia="zh-CN"/>
        </w:rPr>
        <w:t>没有从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离职或退休3年以内的人员担任控股股东或实际控股人、董事、监事，也没有聘用从</w:t>
      </w:r>
      <w:r>
        <w:rPr>
          <w:rFonts w:hint="eastAsia" w:ascii="仿宋" w:hAnsi="仿宋" w:eastAsia="仿宋" w:cs="宋体"/>
          <w:color w:val="auto"/>
          <w:sz w:val="24"/>
          <w:szCs w:val="24"/>
          <w:highlight w:val="none"/>
          <w:lang w:val="en-US" w:eastAsia="zh-CN"/>
        </w:rPr>
        <w:t>贵校</w:t>
      </w:r>
      <w:r>
        <w:rPr>
          <w:rFonts w:hint="eastAsia" w:ascii="仿宋" w:hAnsi="仿宋" w:eastAsia="仿宋" w:cs="宋体"/>
          <w:color w:val="auto"/>
          <w:sz w:val="24"/>
          <w:szCs w:val="24"/>
          <w:highlight w:val="none"/>
          <w:lang w:val="zh-CN" w:eastAsia="zh-CN"/>
        </w:rPr>
        <w:t>离职或退休3年以内的人员。</w:t>
      </w:r>
    </w:p>
    <w:p w14:paraId="3FE2B1FA">
      <w:pPr>
        <w:spacing w:after="120" w:afterLines="50" w:line="240" w:lineRule="auto"/>
        <w:ind w:left="0" w:leftChars="0" w:firstLine="480" w:firstLineChars="200"/>
        <w:rPr>
          <w:rFonts w:ascii="仿宋" w:hAnsi="仿宋" w:eastAsia="仿宋" w:cs="宋体"/>
          <w:color w:val="auto"/>
          <w:sz w:val="24"/>
          <w:szCs w:val="24"/>
          <w:highlight w:val="none"/>
          <w:lang w:val="zh-CN"/>
        </w:rPr>
      </w:pPr>
      <w:r>
        <w:rPr>
          <w:rFonts w:hint="eastAsia" w:ascii="仿宋" w:hAnsi="仿宋" w:eastAsia="仿宋" w:cs="宋体"/>
          <w:color w:val="auto"/>
          <w:sz w:val="24"/>
          <w:szCs w:val="24"/>
          <w:highlight w:val="none"/>
          <w:lang w:val="en-US" w:eastAsia="zh-CN"/>
        </w:rPr>
        <w:t>我公司保证上述声明真实无误，如有不实，愿承担相应法律责任。</w:t>
      </w:r>
    </w:p>
    <w:p w14:paraId="2C38F8B9">
      <w:pPr>
        <w:spacing w:after="120" w:afterLines="50" w:line="240" w:lineRule="auto"/>
        <w:ind w:left="0" w:leftChars="0" w:firstLine="0" w:firstLineChars="0"/>
        <w:rPr>
          <w:rFonts w:ascii="仿宋" w:hAnsi="仿宋" w:eastAsia="仿宋" w:cs="宋体"/>
          <w:color w:val="auto"/>
          <w:sz w:val="24"/>
          <w:szCs w:val="24"/>
          <w:highlight w:val="none"/>
          <w:lang w:val="zh-CN"/>
        </w:rPr>
      </w:pPr>
    </w:p>
    <w:p w14:paraId="4A13A388">
      <w:pPr>
        <w:spacing w:after="120" w:afterLines="50" w:line="240" w:lineRule="auto"/>
        <w:ind w:left="0" w:leftChars="0" w:firstLine="0" w:firstLineChars="0"/>
        <w:rPr>
          <w:rFonts w:ascii="黑体" w:hAnsi="华文楷体" w:eastAsia="黑体"/>
          <w:b/>
          <w:bCs/>
          <w:color w:val="auto"/>
          <w:sz w:val="32"/>
          <w:szCs w:val="32"/>
          <w:highlight w:val="none"/>
        </w:rPr>
      </w:pPr>
      <w:r>
        <w:rPr>
          <w:rFonts w:hint="eastAsia" w:ascii="黑体" w:hAnsi="华文楷体" w:eastAsia="黑体"/>
          <w:color w:val="auto"/>
          <w:sz w:val="24"/>
          <w:szCs w:val="24"/>
          <w:highlight w:val="none"/>
        </w:rPr>
        <w:t>公司名称（盖章）：                              委托代理人（签字）：</w:t>
      </w:r>
    </w:p>
    <w:p w14:paraId="476D3484">
      <w:pPr>
        <w:pStyle w:val="7"/>
        <w:rPr>
          <w:rFonts w:hint="default" w:ascii="方正兰亭黑简体" w:hAnsi="方正兰亭黑简体" w:eastAsia="方正兰亭黑简体" w:cs="方正兰亭黑简体"/>
          <w:color w:val="auto"/>
          <w:sz w:val="22"/>
          <w:szCs w:val="28"/>
          <w:highlight w:val="none"/>
          <w:lang w:val="en-US" w:eastAsia="zh-CN"/>
        </w:rPr>
      </w:pPr>
    </w:p>
    <w:p w14:paraId="3F5F1DB4">
      <w:pPr>
        <w:pStyle w:val="7"/>
        <w:rPr>
          <w:rFonts w:hint="default" w:ascii="方正兰亭黑简体" w:hAnsi="方正兰亭黑简体" w:eastAsia="方正兰亭黑简体" w:cs="方正兰亭黑简体"/>
          <w:color w:val="auto"/>
          <w:sz w:val="22"/>
          <w:szCs w:val="28"/>
          <w:highlight w:val="none"/>
          <w:lang w:val="en-US" w:eastAsia="zh-CN"/>
        </w:rPr>
      </w:pPr>
    </w:p>
    <w:p w14:paraId="086B01F9">
      <w:pPr>
        <w:jc w:val="left"/>
        <w:rPr>
          <w:rFonts w:hint="eastAsia" w:ascii="方正兰亭黑简体" w:hAnsi="方正兰亭黑简体" w:eastAsia="方正兰亭黑简体" w:cs="方正兰亭黑简体"/>
          <w:color w:val="auto"/>
          <w:sz w:val="22"/>
          <w:szCs w:val="28"/>
          <w:highlight w:val="none"/>
          <w:lang w:val="en-US" w:eastAsia="zh-CN"/>
        </w:rPr>
        <w:sectPr>
          <w:pgSz w:w="11906" w:h="16838"/>
          <w:pgMar w:top="1440" w:right="1083" w:bottom="1440" w:left="1083" w:header="851" w:footer="992" w:gutter="0"/>
          <w:pgNumType w:fmt="decimal"/>
          <w:cols w:space="0" w:num="1"/>
          <w:rtlGutter w:val="0"/>
          <w:docGrid w:type="lines" w:linePitch="314" w:charSpace="0"/>
        </w:sectPr>
      </w:pPr>
    </w:p>
    <w:p w14:paraId="7CDE4BA2">
      <w:pPr>
        <w:jc w:val="left"/>
        <w:rPr>
          <w:rFonts w:hint="eastAsia" w:ascii="方正兰亭黑简体" w:hAnsi="方正兰亭黑简体" w:eastAsia="方正兰亭黑简体" w:cs="方正兰亭黑简体"/>
          <w:b/>
          <w:bCs/>
          <w:color w:val="auto"/>
          <w:sz w:val="22"/>
          <w:szCs w:val="28"/>
          <w:highlight w:val="none"/>
          <w:lang w:val="en-US" w:eastAsia="zh-CN"/>
        </w:rPr>
      </w:pPr>
      <w:r>
        <w:rPr>
          <w:rFonts w:hint="eastAsia" w:ascii="方正兰亭黑简体" w:hAnsi="方正兰亭黑简体" w:eastAsia="方正兰亭黑简体" w:cs="方正兰亭黑简体"/>
          <w:b/>
          <w:bCs/>
          <w:color w:val="auto"/>
          <w:sz w:val="22"/>
          <w:szCs w:val="28"/>
          <w:highlight w:val="none"/>
          <w:lang w:val="en-US" w:eastAsia="zh-CN"/>
        </w:rPr>
        <w:t>附件2：其他材料</w:t>
      </w:r>
    </w:p>
    <w:p w14:paraId="7D103AD2">
      <w:pPr>
        <w:pStyle w:val="6"/>
        <w:ind w:left="0" w:leftChars="0" w:firstLine="0" w:firstLineChars="0"/>
        <w:rPr>
          <w:rFonts w:hint="default"/>
          <w:color w:val="auto"/>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包括但不限于：</w:t>
      </w:r>
    </w:p>
    <w:p w14:paraId="6163A2E2">
      <w:pPr>
        <w:pStyle w:val="6"/>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kern w:val="2"/>
          <w:sz w:val="22"/>
          <w:szCs w:val="28"/>
          <w:highlight w:val="none"/>
          <w:lang w:val="en-US" w:eastAsia="zh-CN" w:bidi="ar-SA"/>
        </w:rPr>
        <w:t>1、</w:t>
      </w:r>
      <w:r>
        <w:rPr>
          <w:rFonts w:hint="eastAsia" w:ascii="方正兰亭黑简体" w:hAnsi="方正兰亭黑简体" w:eastAsia="方正兰亭黑简体" w:cs="方正兰亭黑简体"/>
          <w:color w:val="auto"/>
          <w:sz w:val="22"/>
          <w:szCs w:val="28"/>
          <w:highlight w:val="none"/>
          <w:lang w:val="en-US" w:eastAsia="zh-CN"/>
        </w:rPr>
        <w:t>营业执照扫描件</w:t>
      </w:r>
    </w:p>
    <w:p w14:paraId="75BA9CDB">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2、</w:t>
      </w:r>
      <w:r>
        <w:rPr>
          <w:rFonts w:hint="eastAsia" w:ascii="方正兰亭黑简体" w:hAnsi="方正兰亭黑简体" w:eastAsia="方正兰亭黑简体" w:cs="方正兰亭黑简体"/>
          <w:color w:val="auto"/>
          <w:sz w:val="22"/>
          <w:szCs w:val="28"/>
          <w:highlight w:val="none"/>
          <w:lang w:val="en-US" w:eastAsia="zh-CN"/>
        </w:rPr>
        <w:t>产品资料（产品参数及性能）</w:t>
      </w:r>
    </w:p>
    <w:p w14:paraId="1BB2A8EF">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3、</w:t>
      </w:r>
      <w:r>
        <w:rPr>
          <w:rFonts w:hint="eastAsia" w:ascii="方正兰亭黑简体" w:hAnsi="方正兰亭黑简体" w:eastAsia="方正兰亭黑简体" w:cs="方正兰亭黑简体"/>
          <w:color w:val="auto"/>
          <w:sz w:val="22"/>
          <w:szCs w:val="28"/>
          <w:highlight w:val="none"/>
          <w:lang w:val="en-US" w:eastAsia="zh-CN"/>
        </w:rPr>
        <w:t>实施计划</w:t>
      </w:r>
    </w:p>
    <w:p w14:paraId="32423874">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4、</w:t>
      </w:r>
      <w:r>
        <w:rPr>
          <w:rFonts w:hint="eastAsia" w:ascii="方正兰亭黑简体" w:hAnsi="方正兰亭黑简体" w:eastAsia="方正兰亭黑简体" w:cs="方正兰亭黑简体"/>
          <w:color w:val="auto"/>
          <w:sz w:val="22"/>
          <w:szCs w:val="28"/>
          <w:highlight w:val="none"/>
          <w:lang w:val="en-US" w:eastAsia="zh-CN"/>
        </w:rPr>
        <w:t>售后方案</w:t>
      </w:r>
    </w:p>
    <w:p w14:paraId="47143B82">
      <w:pPr>
        <w:pStyle w:val="6"/>
        <w:numPr>
          <w:ilvl w:val="0"/>
          <w:numId w:val="0"/>
        </w:numPr>
        <w:ind w:left="0" w:leftChars="0" w:firstLine="0" w:firstLineChars="0"/>
        <w:rPr>
          <w:rFonts w:hint="eastAsia" w:ascii="方正兰亭黑简体" w:hAnsi="方正兰亭黑简体" w:eastAsia="方正兰亭黑简体" w:cs="方正兰亭黑简体"/>
          <w:color w:val="auto"/>
          <w:sz w:val="22"/>
          <w:szCs w:val="28"/>
          <w:highlight w:val="none"/>
          <w:lang w:val="en-US" w:eastAsia="zh-CN"/>
        </w:rPr>
      </w:pPr>
      <w:r>
        <w:rPr>
          <w:rFonts w:hint="default" w:ascii="方正兰亭黑简体" w:hAnsi="方正兰亭黑简体" w:eastAsia="方正兰亭黑简体" w:cs="方正兰亭黑简体"/>
          <w:color w:val="auto"/>
          <w:kern w:val="2"/>
          <w:sz w:val="22"/>
          <w:szCs w:val="28"/>
          <w:highlight w:val="none"/>
          <w:lang w:val="en-US" w:eastAsia="zh-CN" w:bidi="ar-SA"/>
        </w:rPr>
        <w:t>5、</w:t>
      </w:r>
      <w:r>
        <w:rPr>
          <w:rFonts w:hint="eastAsia" w:ascii="方正兰亭黑简体" w:hAnsi="方正兰亭黑简体" w:eastAsia="方正兰亭黑简体" w:cs="方正兰亭黑简体"/>
          <w:color w:val="auto"/>
          <w:sz w:val="22"/>
          <w:szCs w:val="28"/>
          <w:highlight w:val="none"/>
          <w:lang w:val="en-US" w:eastAsia="zh-CN"/>
        </w:rPr>
        <w:t>业绩案例</w:t>
      </w:r>
    </w:p>
    <w:p w14:paraId="3644FF0B">
      <w:pPr>
        <w:pStyle w:val="6"/>
        <w:numPr>
          <w:ilvl w:val="0"/>
          <w:numId w:val="0"/>
        </w:numPr>
        <w:ind w:left="0" w:leftChars="0" w:firstLine="0" w:firstLineChars="0"/>
        <w:rPr>
          <w:rFonts w:hint="default" w:ascii="方正兰亭黑简体" w:hAnsi="方正兰亭黑简体" w:eastAsia="方正兰亭黑简体" w:cs="方正兰亭黑简体"/>
          <w:color w:val="auto"/>
          <w:sz w:val="22"/>
          <w:szCs w:val="28"/>
          <w:highlight w:val="none"/>
          <w:lang w:val="en-US" w:eastAsia="zh-CN"/>
        </w:rPr>
      </w:pPr>
      <w:r>
        <w:rPr>
          <w:rFonts w:hint="eastAsia" w:ascii="方正兰亭黑简体" w:hAnsi="方正兰亭黑简体" w:eastAsia="方正兰亭黑简体" w:cs="方正兰亭黑简体"/>
          <w:color w:val="auto"/>
          <w:sz w:val="22"/>
          <w:szCs w:val="28"/>
          <w:highlight w:val="none"/>
          <w:lang w:val="en-US" w:eastAsia="zh-CN"/>
        </w:rPr>
        <w:t>6、其他所必需的相关材料</w:t>
      </w:r>
    </w:p>
    <w:sectPr>
      <w:pgSz w:w="11906" w:h="16838"/>
      <w:pgMar w:top="1440" w:right="1083" w:bottom="1440" w:left="1083" w:header="851" w:footer="992" w:gutter="0"/>
      <w:pgNumType w:fmt="decimal"/>
      <w:cols w:space="0" w:num="1"/>
      <w:rtlGutter w:val="0"/>
      <w:docGrid w:type="lines" w:linePitch="314"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1AEDCA7-BDF6-46A1-AFFE-03EB72ACCFD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Times NR MT Pro Medium">
    <w:panose1 w:val="02010600010101010101"/>
    <w:charset w:val="86"/>
    <w:family w:val="auto"/>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兰亭黑简体">
    <w:panose1 w:val="02000000000000000000"/>
    <w:charset w:val="86"/>
    <w:family w:val="auto"/>
    <w:pitch w:val="default"/>
    <w:sig w:usb0="A00002BF" w:usb1="184F6CFA" w:usb2="00000012" w:usb3="00000000" w:csb0="00040001" w:csb1="00000000"/>
    <w:embedRegular r:id="rId2" w:fontKey="{606728E3-5B51-4C62-ACBC-5A694A00D183}"/>
  </w:font>
  <w:font w:name="华文楷体">
    <w:panose1 w:val="02010600040101010101"/>
    <w:charset w:val="86"/>
    <w:family w:val="auto"/>
    <w:pitch w:val="default"/>
    <w:sig w:usb0="A00002BF" w:usb1="78CF7CFB" w:usb2="00000016" w:usb3="00000000" w:csb0="6006009F" w:csb1="DFD70000"/>
    <w:embedRegular r:id="rId3" w:fontKey="{B47B62D2-C753-4776-847A-B46F051D9B16}"/>
  </w:font>
  <w:font w:name="方正仿宋_GB2312">
    <w:panose1 w:val="02000000000000000000"/>
    <w:charset w:val="86"/>
    <w:family w:val="auto"/>
    <w:pitch w:val="default"/>
    <w:sig w:usb0="A00002BF" w:usb1="184F6CFA" w:usb2="00000012" w:usb3="00000000" w:csb0="00040001" w:csb1="00000000"/>
    <w:embedRegular r:id="rId4" w:fontKey="{628953E9-01E1-4E7D-8BC5-CCC11158B941}"/>
  </w:font>
  <w:font w:name="仿宋">
    <w:panose1 w:val="02010609060101010101"/>
    <w:charset w:val="86"/>
    <w:family w:val="modern"/>
    <w:pitch w:val="default"/>
    <w:sig w:usb0="800002BF" w:usb1="38CF7CFA" w:usb2="00000016" w:usb3="00000000" w:csb0="00040001" w:csb1="00000000"/>
    <w:embedRegular r:id="rId5" w:fontKey="{A4400D02-3296-4098-839A-2A0BC88257F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004925">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C62FB9A">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C62FB9A">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14</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7722401"/>
    <w:multiLevelType w:val="multilevel"/>
    <w:tmpl w:val="17722401"/>
    <w:lvl w:ilvl="0" w:tentative="0">
      <w:start w:val="1"/>
      <w:numFmt w:val="japaneseCounting"/>
      <w:pStyle w:val="2"/>
      <w:lvlText w:val="%1、"/>
      <w:lvlJc w:val="left"/>
      <w:pPr>
        <w:ind w:left="464" w:hanging="720"/>
      </w:pPr>
      <w:rPr>
        <w:rFonts w:hint="default"/>
      </w:rPr>
    </w:lvl>
    <w:lvl w:ilvl="1" w:tentative="0">
      <w:start w:val="1"/>
      <w:numFmt w:val="decimalEnclosedCircle"/>
      <w:lvlText w:val="%2"/>
      <w:lvlJc w:val="left"/>
      <w:pPr>
        <w:ind w:left="544" w:hanging="360"/>
      </w:pPr>
      <w:rPr>
        <w:rFonts w:hint="default"/>
      </w:rPr>
    </w:lvl>
    <w:lvl w:ilvl="2" w:tentative="0">
      <w:start w:val="1"/>
      <w:numFmt w:val="lowerRoman"/>
      <w:lvlText w:val="%3."/>
      <w:lvlJc w:val="right"/>
      <w:pPr>
        <w:ind w:left="1064" w:hanging="440"/>
      </w:pPr>
    </w:lvl>
    <w:lvl w:ilvl="3" w:tentative="0">
      <w:start w:val="1"/>
      <w:numFmt w:val="decimal"/>
      <w:lvlText w:val="%4."/>
      <w:lvlJc w:val="left"/>
      <w:pPr>
        <w:ind w:left="1504" w:hanging="440"/>
      </w:pPr>
    </w:lvl>
    <w:lvl w:ilvl="4" w:tentative="0">
      <w:start w:val="1"/>
      <w:numFmt w:val="lowerLetter"/>
      <w:lvlText w:val="%5)"/>
      <w:lvlJc w:val="left"/>
      <w:pPr>
        <w:ind w:left="1944" w:hanging="440"/>
      </w:pPr>
    </w:lvl>
    <w:lvl w:ilvl="5" w:tentative="0">
      <w:start w:val="1"/>
      <w:numFmt w:val="lowerRoman"/>
      <w:lvlText w:val="%6."/>
      <w:lvlJc w:val="right"/>
      <w:pPr>
        <w:ind w:left="2384" w:hanging="440"/>
      </w:pPr>
    </w:lvl>
    <w:lvl w:ilvl="6" w:tentative="0">
      <w:start w:val="1"/>
      <w:numFmt w:val="decimal"/>
      <w:lvlText w:val="%7."/>
      <w:lvlJc w:val="left"/>
      <w:pPr>
        <w:ind w:left="2824" w:hanging="440"/>
      </w:pPr>
    </w:lvl>
    <w:lvl w:ilvl="7" w:tentative="0">
      <w:start w:val="1"/>
      <w:numFmt w:val="lowerLetter"/>
      <w:lvlText w:val="%8)"/>
      <w:lvlJc w:val="left"/>
      <w:pPr>
        <w:ind w:left="3264" w:hanging="440"/>
      </w:pPr>
    </w:lvl>
    <w:lvl w:ilvl="8" w:tentative="0">
      <w:start w:val="1"/>
      <w:numFmt w:val="lowerRoman"/>
      <w:lvlText w:val="%9."/>
      <w:lvlJc w:val="right"/>
      <w:pPr>
        <w:ind w:left="3704" w:hanging="440"/>
      </w:pPr>
    </w:lvl>
  </w:abstractNum>
  <w:abstractNum w:abstractNumId="1">
    <w:nsid w:val="6EE46474"/>
    <w:multiLevelType w:val="multilevel"/>
    <w:tmpl w:val="6EE46474"/>
    <w:lvl w:ilvl="0" w:tentative="0">
      <w:start w:val="1"/>
      <w:numFmt w:val="decimal"/>
      <w:lvlText w:val="%1"/>
      <w:lvlJc w:val="left"/>
      <w:pPr>
        <w:ind w:left="425" w:hanging="425"/>
      </w:pPr>
      <w:rPr>
        <w:rFonts w:hint="eastAsia"/>
      </w:rPr>
    </w:lvl>
    <w:lvl w:ilvl="1" w:tentative="0">
      <w:start w:val="1"/>
      <w:numFmt w:val="decimal"/>
      <w:pStyle w:val="3"/>
      <w:lvlText w:val="%1.%2"/>
      <w:lvlJc w:val="left"/>
      <w:pPr>
        <w:ind w:left="992" w:hanging="567"/>
      </w:pPr>
      <w:rPr>
        <w:rFonts w:hint="eastAsia"/>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7"/>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675436"/>
    <w:rsid w:val="029C08D4"/>
    <w:rsid w:val="035A42B0"/>
    <w:rsid w:val="0875321F"/>
    <w:rsid w:val="09642E33"/>
    <w:rsid w:val="0AAB1FDD"/>
    <w:rsid w:val="0B7B6E53"/>
    <w:rsid w:val="100D024F"/>
    <w:rsid w:val="146C6B60"/>
    <w:rsid w:val="15285D7F"/>
    <w:rsid w:val="157E6317"/>
    <w:rsid w:val="15D04D45"/>
    <w:rsid w:val="1B307278"/>
    <w:rsid w:val="1D2B42FB"/>
    <w:rsid w:val="1DF9272E"/>
    <w:rsid w:val="22AA0589"/>
    <w:rsid w:val="24050543"/>
    <w:rsid w:val="26C52776"/>
    <w:rsid w:val="2DAA3F84"/>
    <w:rsid w:val="2E691D1D"/>
    <w:rsid w:val="2FB07FD7"/>
    <w:rsid w:val="3684230E"/>
    <w:rsid w:val="3A774F92"/>
    <w:rsid w:val="3CFB52B6"/>
    <w:rsid w:val="3D6469F5"/>
    <w:rsid w:val="3DBA1AA2"/>
    <w:rsid w:val="3E5C4869"/>
    <w:rsid w:val="3FCC680A"/>
    <w:rsid w:val="41007DAA"/>
    <w:rsid w:val="45DB0FAA"/>
    <w:rsid w:val="480A63EB"/>
    <w:rsid w:val="4A2362AE"/>
    <w:rsid w:val="4AFC4A60"/>
    <w:rsid w:val="4CC21E26"/>
    <w:rsid w:val="4EFD134C"/>
    <w:rsid w:val="55CF5109"/>
    <w:rsid w:val="57117CB6"/>
    <w:rsid w:val="573107A3"/>
    <w:rsid w:val="5AEA704B"/>
    <w:rsid w:val="5B776212"/>
    <w:rsid w:val="5CB31D19"/>
    <w:rsid w:val="5D66061F"/>
    <w:rsid w:val="5E8720EC"/>
    <w:rsid w:val="5EE9209B"/>
    <w:rsid w:val="62DD78C6"/>
    <w:rsid w:val="63DF4A20"/>
    <w:rsid w:val="684F045C"/>
    <w:rsid w:val="699E1F48"/>
    <w:rsid w:val="6C3138A4"/>
    <w:rsid w:val="6E3767B2"/>
    <w:rsid w:val="6FC06751"/>
    <w:rsid w:val="769D2894"/>
    <w:rsid w:val="79091C23"/>
    <w:rsid w:val="794117F3"/>
    <w:rsid w:val="7C2C43E3"/>
    <w:rsid w:val="7C944E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numPr>
        <w:ilvl w:val="0"/>
        <w:numId w:val="1"/>
      </w:numPr>
      <w:spacing w:before="120" w:after="80"/>
      <w:ind w:firstLineChars="0"/>
      <w:outlineLvl w:val="0"/>
    </w:pPr>
    <w:rPr>
      <w:rFonts w:cs="Times NR MT Pro Medium" w:asciiTheme="majorHAnsi" w:hAnsiTheme="majorHAnsi"/>
      <w:b/>
      <w:bCs/>
      <w:sz w:val="28"/>
      <w:szCs w:val="48"/>
    </w:rPr>
  </w:style>
  <w:style w:type="paragraph" w:styleId="3">
    <w:name w:val="heading 2"/>
    <w:basedOn w:val="1"/>
    <w:next w:val="1"/>
    <w:unhideWhenUsed/>
    <w:qFormat/>
    <w:uiPriority w:val="9"/>
    <w:pPr>
      <w:numPr>
        <w:ilvl w:val="1"/>
        <w:numId w:val="2"/>
      </w:numPr>
      <w:spacing w:before="80" w:after="80"/>
      <w:ind w:firstLineChars="0"/>
      <w:outlineLvl w:val="1"/>
    </w:pPr>
    <w:rPr>
      <w:rFonts w:cs="Times NR MT Pro Medium" w:asciiTheme="majorHAnsi" w:hAnsiTheme="majorHAnsi"/>
      <w:b/>
      <w:bCs/>
      <w:color w:val="000000" w:themeColor="text1"/>
      <w:sz w:val="24"/>
      <w:szCs w:val="40"/>
      <w14:textFill>
        <w14:solidFill>
          <w14:schemeClr w14:val="tx1"/>
        </w14:solidFill>
      </w14:textFill>
    </w:rPr>
  </w:style>
  <w:style w:type="paragraph" w:styleId="4">
    <w:name w:val="heading 3"/>
    <w:basedOn w:val="1"/>
    <w:next w:val="1"/>
    <w:unhideWhenUsed/>
    <w:qFormat/>
    <w:uiPriority w:val="9"/>
    <w:pPr>
      <w:spacing w:before="160" w:after="80"/>
      <w:ind w:left="737" w:firstLine="0" w:firstLineChars="0"/>
      <w:outlineLvl w:val="2"/>
    </w:pPr>
    <w:rPr>
      <w:rFonts w:cs="Times NR MT Pro Medium" w:asciiTheme="majorHAnsi" w:hAnsiTheme="majorHAnsi"/>
      <w:sz w:val="24"/>
      <w:szCs w:val="32"/>
    </w:rPr>
  </w:style>
  <w:style w:type="character" w:default="1" w:styleId="16">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5">
    <w:name w:val="Body Text"/>
    <w:basedOn w:val="1"/>
    <w:qFormat/>
    <w:uiPriority w:val="0"/>
    <w:pPr>
      <w:spacing w:after="120"/>
    </w:pPr>
  </w:style>
  <w:style w:type="paragraph" w:styleId="6">
    <w:name w:val="Body Text Indent"/>
    <w:basedOn w:val="1"/>
    <w:qFormat/>
    <w:uiPriority w:val="0"/>
    <w:pPr>
      <w:ind w:left="420" w:leftChars="200"/>
    </w:pPr>
  </w:style>
  <w:style w:type="paragraph" w:styleId="7">
    <w:name w:val="Plain Text"/>
    <w:basedOn w:val="1"/>
    <w:qFormat/>
    <w:uiPriority w:val="0"/>
    <w:rPr>
      <w:rFonts w:ascii="宋体" w:hAnsi="Courier New"/>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unhideWhenUsed/>
    <w:qFormat/>
    <w:uiPriority w:val="39"/>
    <w:rPr>
      <w:rFonts w:ascii="Calibri" w:hAnsi="Calibri" w:eastAsia="宋体" w:cs="Times New Roman"/>
    </w:rPr>
  </w:style>
  <w:style w:type="paragraph" w:styleId="11">
    <w:name w:val="Body Text Indent 3"/>
    <w:basedOn w:val="1"/>
    <w:qFormat/>
    <w:uiPriority w:val="0"/>
    <w:pPr>
      <w:ind w:firstLine="600" w:firstLineChars="200"/>
    </w:pPr>
    <w:rPr>
      <w:color w:val="FF0000"/>
      <w:sz w:val="30"/>
      <w:szCs w:val="20"/>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3">
    <w:name w:val="Body Text First Indent"/>
    <w:basedOn w:val="5"/>
    <w:qFormat/>
    <w:uiPriority w:val="0"/>
    <w:pPr>
      <w:widowControl/>
      <w:spacing w:after="120"/>
      <w:ind w:firstLine="420" w:firstLineChars="100"/>
      <w:jc w:val="left"/>
    </w:pPr>
    <w:rPr>
      <w:rFonts w:ascii="Times New Roman"/>
    </w:r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qFormat/>
    <w:uiPriority w:val="22"/>
    <w:rPr>
      <w:b/>
      <w:bCs/>
    </w:rPr>
  </w:style>
  <w:style w:type="character" w:styleId="18">
    <w:name w:val="Hyperlink"/>
    <w:basedOn w:val="16"/>
    <w:unhideWhenUsed/>
    <w:qFormat/>
    <w:uiPriority w:val="99"/>
    <w:rPr>
      <w:color w:val="0000FF"/>
      <w:u w:val="single"/>
    </w:rPr>
  </w:style>
  <w:style w:type="paragraph" w:customStyle="1" w:styleId="19">
    <w:name w:val="列表段落1"/>
    <w:basedOn w:val="1"/>
    <w:qFormat/>
    <w:uiPriority w:val="0"/>
    <w:pPr>
      <w:ind w:firstLine="420" w:firstLineChars="200"/>
    </w:pPr>
  </w:style>
  <w:style w:type="paragraph" w:customStyle="1" w:styleId="20">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21">
    <w:name w:val="15"/>
    <w:basedOn w:val="16"/>
    <w:qFormat/>
    <w:uiPriority w:val="0"/>
    <w:rPr>
      <w:rFonts w:hint="default" w:ascii="Calibri" w:hAnsi="Calibri" w:cs="Calibri"/>
      <w:b/>
      <w:bCs/>
    </w:rPr>
  </w:style>
  <w:style w:type="paragraph" w:styleId="22">
    <w:name w:val="List Paragraph"/>
    <w:basedOn w:val="1"/>
    <w:qFormat/>
    <w:uiPriority w:val="34"/>
    <w:pPr>
      <w:ind w:left="720"/>
      <w:contextualSpacing/>
    </w:pPr>
  </w:style>
  <w:style w:type="character" w:customStyle="1" w:styleId="23">
    <w:name w:val="楷体 (中文) 楷体"/>
    <w:qFormat/>
    <w:uiPriority w:val="0"/>
    <w:rPr>
      <w:rFonts w:ascii="楷体" w:hAnsi="楷体" w:eastAsia="楷体"/>
      <w:kern w:val="1"/>
      <w:sz w:val="28"/>
    </w:rPr>
  </w:style>
  <w:style w:type="paragraph" w:customStyle="1" w:styleId="24">
    <w:name w:val="正文11"/>
    <w:basedOn w:val="1"/>
    <w:qFormat/>
    <w:uiPriority w:val="0"/>
    <w:pPr>
      <w:ind w:firstLine="560" w:firstLineChars="200"/>
    </w:pPr>
    <w:rPr>
      <w:rFonts w:ascii="宋体" w:hAnsi="宋体" w:eastAsia="宋体" w:cs="Times New Roman"/>
      <w:sz w:val="28"/>
      <w:szCs w:val="2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ontractReview xmlns="http://schemas.wps.cn/vas-ai-hub/contract-review">
  <reviewItems>
    <reviewItem>
      <errorID>d612b409-1b19-49b4-96e5-d882a1f92bcc</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22E8766</paraID>
      <start>0</start>
      <end>2</end>
      <status>unmodified</status>
      <modifiedWord/>
      <trackRevisions>false</trackRevisions>
    </reviewItem>
    <reviewItem>
      <errorID>46fe5f17-b5ca-4ab4-8d5c-078a805b46f0</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6441606B</paraID>
      <start>0</start>
      <end>2</end>
      <status>unmodified</status>
      <modifiedWord/>
      <trackRevisions>false</trackRevisions>
    </reviewItem>
    <reviewItem>
      <errorID>60a63f0b-2dbc-4c92-8484-931545c24ab9</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3A3BF07A</paraID>
      <start>0</start>
      <end>2</end>
      <status>unmodified</status>
      <modifiedWord/>
      <trackRevisions>false</trackRevisions>
    </reviewItem>
    <reviewItem>
      <errorID>84f06183-e1e5-4801-897a-f73879bf102f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341DFA49</paraID>
      <start>0</start>
      <end>2</end>
      <status>unmodified</status>
      <modifiedWord/>
      <trackRevisions>false</trackRevisions>
    </reviewItem>
    <reviewItem>
      <errorID>28a44666-0e36-42f0-aff6-5e946cc56b06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7D17A3B3</paraID>
      <start>0</start>
      <end>2</end>
      <status>unmodified</status>
      <modifiedWord/>
      <trackRevisions>false</trackRevisions>
    </reviewItem>
    <reviewItem>
      <errorID>d7f0ee34-0b8c-4414-be55-292d0141cd31</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EEFFA6C</paraID>
      <start>0</start>
      <end>2</end>
      <status>unmodified</status>
      <modifiedWord/>
      <trackRevisions>false</trackRevisions>
    </reviewItem>
    <reviewItem>
      <errorID>67d7413d-82af-4286-abcf-c0e34d0df1e3</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2766C665</paraID>
      <start>0</start>
      <end>2</end>
      <status>unmodified</status>
      <modifiedWord/>
      <trackRevisions>false</trackRevisions>
    </reviewItem>
    <reviewItem>
      <errorID>c367bd0c-c023-4666-8bf7-ef04e61c90a4</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2CD5DD45</paraID>
      <start>0</start>
      <end>2</end>
      <status>unmodified</status>
      <modifiedWord/>
      <trackRevisions>false</trackRevisions>
    </reviewItem>
    <reviewItem>
      <errorID>e4ead89c-eec9-45cc-bb16-aa469c4cf258</errorID>
      <errorWord>的</errorWord>
      <group>L1_Word</group>
      <groupName>字词问题</groupName>
      <ability>L2_DDD</ability>
      <abilityName>的地得用法</abilityName>
      <candidateList>
        <item>地</item>
      </candidateList>
      <explain>“地”常用于连接修饰语与动词性中心语，表示动作的方式、状态或程度。</explain>
      <paraID>2CD5DD45</paraID>
      <start>37</start>
      <end>38</end>
      <status>modified</status>
      <modifiedWord>地</modifiedWord>
      <trackRevisions>false</trackRevisions>
    </reviewItem>
    <reviewItem>
      <errorID>19aa2a23-a311-49a2-b7a6-dd0e3729150c</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23966BF9</paraID>
      <start>0</start>
      <end>2</end>
      <status>unmodified</status>
      <modifiedWord/>
      <trackRevisions>false</trackRevisions>
    </reviewItem>
    <reviewItem>
      <errorID>c9a6a7c2-beac-4ea6-ba75-11269b49aac1</errorID>
      <errorWord>(</errorWord>
      <group>L1_Format</group>
      <groupName>格式问题</groupName>
      <ability>L2_HalfPunc_CN</ability>
      <abilityName>全半角问题</abilityName>
      <candidateList>
        <item>（</item>
      </candidateList>
      <explain>文本全半角错误。</explain>
      <paraID>23966BF9</paraID>
      <start>34</start>
      <end>35</end>
      <status>modified</status>
      <modifiedWord>（</modifiedWord>
      <trackRevisions>false</trackRevisions>
    </reviewItem>
    <reviewItem>
      <errorID>4de2d3ad-9cf3-4abd-8bf7-36b3fc5fa71e</errorID>
      <errorWord>须</errorWord>
      <group>L1_Word</group>
      <groupName>字词问题</groupName>
      <ability>L2_Typo</ability>
      <abilityName>字词错误</abilityName>
      <candidateList>
        <item>需</item>
      </candidateList>
      <explain>存在发音相同字词的误用。</explain>
      <paraID>23966BF9</paraID>
      <start>40</start>
      <end>41</end>
      <status>modified</status>
      <modifiedWord>需</modifiedWord>
      <trackRevisions>false</trackRevisions>
    </reviewItem>
    <reviewItem>
      <errorID>c6b7277a-7f3a-4963-a840-3feffafa60bc</errorID>
      <errorWord>定货时</errorWord>
      <group>L1_Word</group>
      <groupName>字词问题</groupName>
      <ability>L2_Variant</ability>
      <abilityName>异形词</abilityName>
      <candidateList>
        <item>订货时</item>
      </candidateList>
      <explain>词汇[定货时]的规范词形写作[订货时]。</explain>
      <paraID>23966BF9</paraID>
      <start>43</start>
      <end>46</end>
      <status>modified</status>
      <modifiedWord>订货时</modifiedWord>
      <trackRevisions>false</trackRevisions>
    </reviewItem>
    <reviewItem>
      <errorID>3686e435-520b-4d92-a2f0-126a9c2e9900</errorID>
      <errorWord>)</errorWord>
      <group>L1_Format</group>
      <groupName>格式问题</groupName>
      <ability>L2_HalfPunc_CN</ability>
      <abilityName>全半角问题</abilityName>
      <candidateList>
        <item>）</item>
      </candidateList>
      <explain>文本全半角错误。</explain>
      <paraID>23966BF9</paraID>
      <start>48</start>
      <end>49</end>
      <status>modified</status>
      <modifiedWord>）</modifiedWord>
      <trackRevisions>false</trackRevisions>
    </reviewItem>
    <reviewItem>
      <errorID>84446e2b-ab69-4258-b47c-2b027759c8fc</errorID>
      <errorWord>7、</errorWord>
      <group>L1_Format</group>
      <groupName>格式问题</groupName>
      <ability>L2_Ordinal</ability>
      <abilityName>序号格式</abilityName>
      <candidateList>
        <item>7.</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26276833</paraID>
      <start>0</start>
      <end>2</end>
      <status>unmodified</status>
      <modifiedWord/>
      <trackRevisions>false</trackRevisions>
    </reviewItem>
    <reviewItem>
      <errorID>23da282a-4cc2-436d-afa8-a752ba11034d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D8A26A</paraID>
      <start>0</start>
      <end>2</end>
      <status>unmodified</status>
      <modifiedWord/>
      <trackRevisions>false</trackRevisions>
    </reviewItem>
    <reviewItem>
      <errorID>0a8acba6-5613-4095-92b3-5442bc30cee5</errorID>
      <errorWord>有</errorWord>
      <group>L1_Word</group>
      <groupName>字词问题</groupName>
      <ability>L2_Typo</ability>
      <abilityName>字词错误</abilityName>
      <candidateList>
        <item>有一</item>
      </candidateList>
      <explain/>
      <paraID>  D8A26A</paraID>
      <start>42</start>
      <end>44</end>
      <status>modified</status>
      <modifiedWord>有一</modifiedWord>
      <trackRevisions>false</trackRevisions>
    </reviewItem>
    <reviewItem>
      <errorID>7daa622f-3185-417f-ad3c-80328e84d510</errorID>
      <errorWord>分</errorWord>
      <group>L1_Word</group>
      <groupName>字词问题</groupName>
      <ability>L2_Typo</ability>
      <abilityName>字词错误</abilityName>
      <candidateList>
        <item>分为</item>
      </candidateList>
      <explain/>
      <paraID>  D8A26A</paraID>
      <start>54</start>
      <end>56</end>
      <status>modified</status>
      <modifiedWord>分为</modifiedWord>
      <trackRevisions>false</trackRevisions>
    </reviewItem>
    <reviewItem>
      <errorID>de2d48ab-e69d-465f-9e2e-c03cf68d36ae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11DB645F</paraID>
      <start>0</start>
      <end>2</end>
      <status>unmodified</status>
      <modifiedWord/>
      <trackRevisions>false</trackRevisions>
    </reviewItem>
    <reviewItem>
      <errorID>f2be6ec7-4609-4d79-b1fa-1c8bd6e3b334</errorID>
      <errorWord>~</errorWord>
      <group>L1_Format</group>
      <groupName>格式问题</groupName>
      <ability>L2_HalfPunc_CN</ability>
      <abilityName>全半角问题</abilityName>
      <candidateList>
        <item>～</item>
      </candidateList>
      <explain>文本全半角错误。</explain>
      <paraID>11DB645F</paraID>
      <start>14</start>
      <end>15</end>
      <status>unmodified</status>
      <modifiedWord/>
      <trackRevisions>false</trackRevisions>
    </reviewItem>
    <reviewItem>
      <errorID>5f278c3e-77d4-4612-8d04-13b9e27531d4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28A65C44</paraID>
      <start>0</start>
      <end>2</end>
      <status>unmodified</status>
      <modifiedWord/>
      <trackRevisions>false</trackRevisions>
    </reviewItem>
    <reviewItem>
      <errorID>9cfb25a5-6f01-4717-8f62-27aea60f3c02</errorID>
      <errorWord>方面</errorWord>
      <group>L1_Word</group>
      <groupName>字词问题</groupName>
      <ability>L2_Typo</ability>
      <abilityName>字词错误</abilityName>
      <candidateList>
        <item>方便</item>
      </candidateList>
      <explain/>
      <paraID>28A65C44</paraID>
      <start>24</start>
      <end>26</end>
      <status>modified</status>
      <modifiedWord>方便</modifiedWord>
      <trackRevisions>false</trackRevisions>
    </reviewItem>
    <reviewItem>
      <errorID>a551a2cb-80ea-4218-b5fe-a5094ee04e2b</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112E742F</paraID>
      <start>0</start>
      <end>2</end>
      <status>unmodified</status>
      <modifiedWord/>
      <trackRevisions>false</trackRevisions>
    </reviewItem>
    <reviewItem>
      <errorID>554d844d-899f-4cbd-a1e5-dda33076d78b</errorID>
      <errorWord>~</errorWord>
      <group>L1_Format</group>
      <groupName>格式问题</groupName>
      <ability>L2_HalfPunc_CN</ability>
      <abilityName>全半角问题</abilityName>
      <candidateList>
        <item>～</item>
      </candidateList>
      <explain>文本全半角错误。</explain>
      <paraID>112E742F</paraID>
      <start>22</start>
      <end>23</end>
      <status>unmodified</status>
      <modifiedWord/>
      <trackRevisions>false</trackRevisions>
    </reviewItem>
    <reviewItem>
      <errorID>56564d47-7454-4bff-bb86-92c939147dfa</errorID>
      <errorWord>更加</errorWord>
      <group>L1_Word</group>
      <groupName>字词问题</groupName>
      <ability>L2_Typo</ability>
      <abilityName>字词错误</abilityName>
      <candidateList>
        <item>更佳</item>
      </candidateList>
      <explain/>
      <paraID>112E742F</paraID>
      <start>47</start>
      <end>49</end>
      <status>modified</status>
      <modifiedWord>更佳</modifiedWord>
      <trackRevisions>false</trackRevisions>
    </reviewItem>
    <reviewItem>
      <errorID>7376045d-b261-4fce-8b5b-5a627b0c3cf9</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3E2BF83E</paraID>
      <start>0</start>
      <end>2</end>
      <status>unmodified</status>
      <modifiedWord/>
      <trackRevisions>false</trackRevisions>
    </reviewItem>
    <reviewItem>
      <errorID>1b773c48-d00b-4c53-aef6-74d59c5537e5</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37DF3775</paraID>
      <start>0</start>
      <end>2</end>
      <status>unmodified</status>
      <modifiedWord/>
      <trackRevisions>false</trackRevisions>
    </reviewItem>
    <reviewItem>
      <errorID>cc056be0-8a03-4f00-9d8b-2fd98cbc06eb</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76A59FBE</paraID>
      <start>0</start>
      <end>2</end>
      <status>unmodified</status>
      <modifiedWord/>
      <trackRevisions>false</trackRevisions>
    </reviewItem>
    <reviewItem>
      <errorID>85d6135d-d43f-42df-a4cb-858722bb03ea</errorID>
      <errorWord>无须</errorWord>
      <group>L1_Word</group>
      <groupName>字词问题</groupName>
      <ability>L2_Typo</ability>
      <abilityName>字词错误</abilityName>
      <candidateList>
        <item>无需</item>
      </candidateList>
      <explain>同“无须”。</explain>
      <paraID>76A59FBE</paraID>
      <start>34</start>
      <end>36</end>
      <status>modified</status>
      <modifiedWord>无需</modifiedWord>
      <trackRevisions>false</trackRevisions>
    </reviewItem>
    <reviewItem>
      <errorID>ad15461d-b612-49df-83d3-f95a9398af34</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4AEE23A6</paraID>
      <start>0</start>
      <end>2</end>
      <status>unmodified</status>
      <modifiedWord/>
      <trackRevisions>false</trackRevisions>
    </reviewItem>
    <reviewItem>
      <errorID>50a7c947-ee0c-4fb6-b277-6f5f008afc52</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2CDA793D</paraID>
      <start>0</start>
      <end>2</end>
      <status>unmodified</status>
      <modifiedWord/>
      <trackRevisions>false</trackRevisions>
    </reviewItem>
    <reviewItem>
      <errorID>d251d665-5378-4b4f-827a-537927b0f33c</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5469DC25</paraID>
      <start>0</start>
      <end>2</end>
      <status>unmodified</status>
      <modifiedWord/>
      <trackRevisions>false</trackRevisions>
    </reviewItem>
    <reviewItem>
      <errorID>89843604-e1d6-4c15-ae7e-b2bfcb74fade</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7C2F601D</paraID>
      <start>0</start>
      <end>2</end>
      <status>unmodified</status>
      <modifiedWord/>
      <trackRevisions>false</trackRevisions>
    </reviewItem>
    <reviewItem>
      <errorID>8b9881e7-44b6-4d8c-bd19-54c88b1d566b</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5C64493F</paraID>
      <start>0</start>
      <end>2</end>
      <status>unmodified</status>
      <modifiedWord/>
      <trackRevisions>false</trackRevisions>
    </reviewItem>
    <reviewItem>
      <errorID>0143c697-0fb2-4a6d-8e61-908f1e53b9b1</errorID>
      <errorWord>有</errorWord>
      <group>L1_Word</group>
      <groupName>字词问题</groupName>
      <ability>L2_Typo</ability>
      <abilityName>字词错误</abilityName>
      <candidateList>
        <item>由</item>
      </candidateList>
      <explain>存在发音相同字词的误用。</explain>
      <paraID>6F8E65F2</paraID>
      <start>27</start>
      <end>28</end>
      <status>modified</status>
      <modifiedWord>由</modifiedWord>
      <trackRevisions>false</trackRevisions>
    </reviewItem>
    <reviewItem>
      <errorID>a4c0877c-5d2c-446e-bbd9-6bd89fdde74a</errorID>
      <errorWord>迭</errorWord>
      <group>L1_Word</group>
      <groupName>字词问题</groupName>
      <ability>L2_Typo</ability>
      <abilityName>字词错误</abilityName>
      <candidateList>
        <item>叠</item>
      </candidateList>
      <explain>存在发音相同字词的误用。</explain>
      <paraID>3C41C23A</paraID>
      <start>7</start>
      <end>8</end>
      <status>unmodified</status>
      <modifiedWord/>
      <trackRevisions>false</trackRevisions>
    </reviewItem>
    <reviewItem>
      <errorID>aefe8bd3-fd11-4f71-b9c1-350189d23c69</errorID>
      <errorWord>噪音</errorWord>
      <group>L1_Word</group>
      <groupName>字词问题</groupName>
      <ability>L2_Alias</ability>
      <abilityName>也作/曾用词</abilityName>
      <candidateList>
        <item>噪声</item>
      </candidateList>
      <explain>词汇[噪音]为不规范表述或旧称，其规范书面表述为[噪声]。</explain>
      <paraID>3C41C23A</paraID>
      <start>35</start>
      <end>37</end>
      <status>modified</status>
      <modifiedWord>噪声</modifiedWord>
      <trackRevisions>false</trackRevisions>
    </reviewItem>
    <reviewItem>
      <errorID>16a482c2-a700-4eed-9820-82e3bc57af1d</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72BA6B21</paraID>
      <start>0</start>
      <end>2</end>
      <status>unmodified</status>
      <modifiedWord/>
      <trackRevisions>false</trackRevisions>
    </reviewItem>
    <reviewItem>
      <errorID>3d0f23e1-d7a5-402d-b27d-4d21a08945b8</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74ACCFB0</paraID>
      <start>0</start>
      <end>2</end>
      <status>unmodified</status>
      <modifiedWord/>
      <trackRevisions>false</trackRevisions>
    </reviewItem>
    <reviewItem>
      <errorID>b5dd3f71-80a0-4d4a-ab9f-4f98012e8c94</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77969E5F</paraID>
      <start>0</start>
      <end>2</end>
      <status>unmodified</status>
      <modifiedWord/>
      <trackRevisions>false</trackRevisions>
    </reviewItem>
    <reviewItem>
      <errorID>87046caa-962a-487d-a748-5ddde932bdb2</errorID>
      <errorWord>KW</errorWord>
      <group>L1_Word</group>
      <groupName>字词问题</groupName>
      <ability>L2_Typo</ability>
      <abilityName>字词错误</abilityName>
      <candidateList>
        <item>kW</item>
      </candidateList>
      <explain/>
      <paraID> 33EDD34</paraID>
      <start>2</start>
      <end>4</end>
      <status>modified</status>
      <modifiedWord>kW</modifiedWord>
      <trackRevisions>false</trackRevisions>
    </reviewItem>
    <reviewItem>
      <errorID>bf0c48d9-7c6d-45d7-9978-6c76076ea11e</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34F0627</paraID>
      <start>0</start>
      <end>2</end>
      <status>unmodified</status>
      <modifiedWord/>
      <trackRevisions>false</trackRevisions>
    </reviewItem>
    <reviewItem>
      <errorID>649ebe20-1aef-45b6-b1a5-0f0e3f5df414</errorID>
      <errorWord>按按</errorWord>
      <group>L1_Word</group>
      <groupName>字词问题</groupName>
      <ability>L2_Typo</ability>
      <abilityName>字词错误</abilityName>
      <candidateList>
        <item>按</item>
      </candidateList>
      <explain>（案）àn❶〈书〉考查；核对：有原文可～。❷（编者、作者等）加按语：编者～。</explain>
      <paraID> 34F0627</paraID>
      <start>120</start>
      <end>121</end>
      <status>modified</status>
      <modifiedWord>按</modifiedWord>
      <trackRevisions>false</trackRevisions>
    </reviewItem>
    <reviewItem>
      <errorID>e219d8b1-f656-4e1e-b38f-dbbefe3952a1</errorID>
      <errorWord>原价的</errorWord>
      <group>L1_Word</group>
      <groupName>字词问题</groupName>
      <ability>L2_Typo</ability>
      <abilityName>字词错误</abilityName>
      <candidateList>
        <item>原价</item>
      </candidateList>
      <explain/>
      <paraID> 34F0627</paraID>
      <start>121</start>
      <end>123</end>
      <status>modified</status>
      <modifiedWord>原价</modifiedWord>
      <trackRevisions>false</trackRevisions>
    </reviewItem>
    <reviewItem>
      <errorID>b14db43c-be28-4bf6-8049-a44acab5319f</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590EB7B8</paraID>
      <start>0</start>
      <end>2</end>
      <status>unmodified</status>
      <modifiedWord/>
      <trackRevisions>false</trackRevisions>
    </reviewItem>
    <reviewItem>
      <errorID>7ac75365-8ebf-4e50-ba44-21a6b7b38c21</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117C4525</paraID>
      <start>0</start>
      <end>2</end>
      <status>unmodified</status>
      <modifiedWord/>
      <trackRevisions>false</trackRevisions>
    </reviewItem>
    <reviewItem>
      <errorID>06327fa4-c602-45ed-8f1b-fbd37cea882e</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123C9161</paraID>
      <start>0</start>
      <end>2</end>
      <status>unmodified</status>
      <modifiedWord/>
      <trackRevisions>false</trackRevisions>
    </reviewItem>
    <reviewItem>
      <errorID>878e73ec-bc18-47f1-9978-f0933a33604f</errorID>
      <errorWord>1、</errorWord>
      <group>L1_Format</group>
      <groupName>格式问题</groupName>
      <ability>L2_Ordinal</ability>
      <abilityName>序号格式</abilityName>
      <candidateList>
        <item>1.</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6163A2E2</paraID>
      <start>0</start>
      <end>2</end>
      <status>unmodified</status>
      <modifiedWord/>
      <trackRevisions>false</trackRevisions>
    </reviewItem>
    <reviewItem>
      <errorID>8ef98395-5917-4873-bc09-2b5218e615e6</errorID>
      <errorWord>2、</errorWord>
      <group>L1_Format</group>
      <groupName>格式问题</groupName>
      <ability>L2_Ordinal</ability>
      <abilityName>序号格式</abilityName>
      <candidateList>
        <item>2.</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75BA9CDB</paraID>
      <start>0</start>
      <end>2</end>
      <status>unmodified</status>
      <modifiedWord/>
      <trackRevisions>false</trackRevisions>
    </reviewItem>
    <reviewItem>
      <errorID>b3dca2aa-dfa8-4f1e-90e6-b17f8901a9e8</errorID>
      <errorWord>3、</errorWord>
      <group>L1_Format</group>
      <groupName>格式问题</groupName>
      <ability>L2_Ordinal</ability>
      <abilityName>序号格式</abilityName>
      <candidateList>
        <item>3.</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1BB2A8EF</paraID>
      <start>0</start>
      <end>2</end>
      <status>unmodified</status>
      <modifiedWord/>
      <trackRevisions>false</trackRevisions>
    </reviewItem>
    <reviewItem>
      <errorID>8651e1c2-e83f-4b48-9f51-26d052fee44e</errorID>
      <errorWord>4、</errorWord>
      <group>L1_Format</group>
      <groupName>格式问题</groupName>
      <ability>L2_Ordinal</ability>
      <abilityName>序号格式</abilityName>
      <candidateList>
        <item>4.</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32423874</paraID>
      <start>0</start>
      <end>2</end>
      <status>unmodified</status>
      <modifiedWord/>
      <trackRevisions>false</trackRevisions>
    </reviewItem>
    <reviewItem>
      <errorID>2dd510a8-df5c-46c6-9bc3-b9c53df5dc6f</errorID>
      <errorWord>5、</errorWord>
      <group>L1_Format</group>
      <groupName>格式问题</groupName>
      <ability>L2_Ordinal</ability>
      <abilityName>序号格式</abilityName>
      <candidateList>
        <item>5.</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47143B82</paraID>
      <start>0</start>
      <end>2</end>
      <status>unmodified</status>
      <modifiedWord/>
      <trackRevisions>false</trackRevisions>
    </reviewItem>
    <reviewItem>
      <errorID>294d2ebb-3969-4e0f-bb68-77de15725da3</errorID>
      <errorWord>6、</errorWord>
      <group>L1_Format</group>
      <groupName>格式问题</groupName>
      <ability>L2_Ordinal</ability>
      <abilityName>序号格式</abilityName>
      <candidateList>
        <item>6.</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3644FF0B</paraID>
      <start>0</start>
      <end>2</end>
      <status>unmodified</status>
      <modifiedWord/>
      <trackRevisions>false</trackRevisions>
    </reviewItem>
  </reviewItems>
  <config/>
</contractReview>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3bffcf3-00c1-4449-8409-5aed8897875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1522</Words>
  <Characters>1678</Characters>
  <Lines>0</Lines>
  <Paragraphs>0</Paragraphs>
  <TotalTime>11</TotalTime>
  <ScaleCrop>false</ScaleCrop>
  <LinksUpToDate>false</LinksUpToDate>
  <CharactersWithSpaces>1680</CharactersWithSpaces>
  <Application>WPS Office_12.1.0.26895_F1E327BC-269C-435d-A152-05C5408002CA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2025-04-03T05:09:00Z</dcterms:created>
  <dc:creator>HP</dc:creator>
  <cp:lastModifiedBy>仲杰</cp:lastModifiedBy>
  <dcterms:modified xsi:type="dcterms:W3CDTF">2026-06-23T06:38:21Z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2052-12.1.0.26895</vt:lpwstr>
  </property>
  <property fmtid="{D5CDD505-2E9C-101B-9397-08002B2CF9AE}" pid="3" name="KSOTemplateDocerSaveRecord">
    <vt:lpwstr>eyJoZGlkIjoiMjQzMjJjYTEzYzEzMjVjOGIxYWQwMTc0ZTUwZGE2YjIiLCJ1c2VySWQiOiIyOTgyOTgyOTEifQ==</vt:lpwstr>
  </property>
  <property fmtid="{D5CDD505-2E9C-101B-9397-08002B2CF9AE}" pid="4" name="ICV">
    <vt:lpwstr>2BFD31D5F3FB4B709DBC969892577809_12</vt:lpwstr>
  </property>
</Properties>
</file>