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FF" w:rsidRPr="0065521F" w:rsidRDefault="0065521F" w:rsidP="0065521F">
      <w:pPr>
        <w:pStyle w:val="1"/>
        <w:tabs>
          <w:tab w:val="clear" w:pos="1350"/>
        </w:tabs>
        <w:snapToGrid w:val="0"/>
        <w:spacing w:before="120" w:after="120" w:line="360" w:lineRule="auto"/>
        <w:ind w:left="0" w:firstLine="0"/>
        <w:jc w:val="center"/>
        <w:rPr>
          <w:rFonts w:ascii="宋体" w:eastAsia="宋体" w:hAnsi="宋体"/>
          <w:sz w:val="32"/>
          <w:szCs w:val="32"/>
        </w:rPr>
      </w:pPr>
      <w:r w:rsidRPr="0065521F">
        <w:rPr>
          <w:rFonts w:ascii="宋体" w:eastAsia="宋体" w:hAnsi="宋体" w:hint="eastAsia"/>
          <w:sz w:val="32"/>
          <w:szCs w:val="32"/>
        </w:rPr>
        <w:t>消防检测</w:t>
      </w:r>
      <w:r w:rsidR="00CC55C9" w:rsidRPr="0065521F">
        <w:rPr>
          <w:rFonts w:ascii="宋体" w:eastAsia="宋体" w:hAnsi="宋体" w:hint="eastAsia"/>
          <w:sz w:val="32"/>
          <w:szCs w:val="32"/>
        </w:rPr>
        <w:t>服务</w:t>
      </w:r>
      <w:r w:rsidR="00B12550" w:rsidRPr="0065521F">
        <w:rPr>
          <w:rFonts w:ascii="宋体" w:eastAsia="宋体" w:hAnsi="宋体" w:hint="eastAsia"/>
          <w:sz w:val="32"/>
          <w:szCs w:val="32"/>
        </w:rPr>
        <w:t>需求</w:t>
      </w:r>
    </w:p>
    <w:p w:rsidR="00352BFF" w:rsidRPr="0065521F" w:rsidRDefault="00B12550" w:rsidP="0065521F">
      <w:pPr>
        <w:spacing w:line="360" w:lineRule="auto"/>
        <w:rPr>
          <w:rFonts w:ascii="宋体" w:hAnsi="宋体"/>
          <w:b/>
          <w:sz w:val="24"/>
          <w:szCs w:val="24"/>
        </w:rPr>
      </w:pPr>
      <w:bookmarkStart w:id="0" w:name="_Toc20410"/>
      <w:bookmarkStart w:id="1" w:name="_Toc23211"/>
      <w:bookmarkStart w:id="2" w:name="_Toc30140"/>
      <w:bookmarkStart w:id="3" w:name="_Toc7968"/>
      <w:bookmarkStart w:id="4" w:name="_Toc16971"/>
      <w:bookmarkStart w:id="5" w:name="_Toc23965"/>
      <w:bookmarkStart w:id="6" w:name="_Toc29476"/>
      <w:r w:rsidRPr="0065521F">
        <w:rPr>
          <w:rFonts w:ascii="宋体" w:hAnsi="宋体" w:hint="eastAsia"/>
          <w:b/>
          <w:sz w:val="24"/>
          <w:szCs w:val="24"/>
        </w:rPr>
        <w:t>一、项目</w:t>
      </w:r>
      <w:bookmarkEnd w:id="0"/>
      <w:bookmarkEnd w:id="1"/>
      <w:bookmarkEnd w:id="2"/>
      <w:bookmarkEnd w:id="3"/>
      <w:bookmarkEnd w:id="4"/>
      <w:r w:rsidRPr="0065521F">
        <w:rPr>
          <w:rFonts w:ascii="宋体" w:hAnsi="宋体" w:hint="eastAsia"/>
          <w:b/>
          <w:sz w:val="24"/>
          <w:szCs w:val="24"/>
        </w:rPr>
        <w:t>概况</w:t>
      </w:r>
      <w:bookmarkEnd w:id="5"/>
      <w:bookmarkEnd w:id="6"/>
    </w:p>
    <w:p w:rsidR="00352BFF" w:rsidRPr="0065521F" w:rsidRDefault="00B12550" w:rsidP="0065521F">
      <w:pPr>
        <w:spacing w:line="360" w:lineRule="auto"/>
        <w:ind w:firstLine="200"/>
        <w:rPr>
          <w:rFonts w:ascii="宋体" w:hAnsi="宋体"/>
        </w:rPr>
      </w:pPr>
      <w:bookmarkStart w:id="7" w:name="_Toc11224"/>
      <w:bookmarkStart w:id="8" w:name="_Toc25790"/>
      <w:bookmarkStart w:id="9" w:name="_Toc13343"/>
      <w:bookmarkStart w:id="10" w:name="_Toc15556"/>
      <w:bookmarkStart w:id="11" w:name="_Toc12347"/>
      <w:r w:rsidRPr="0065521F">
        <w:rPr>
          <w:rFonts w:ascii="宋体" w:hAnsi="宋体" w:hint="eastAsia"/>
        </w:rPr>
        <w:t>根据</w:t>
      </w:r>
      <w:r w:rsidRPr="0065521F">
        <w:rPr>
          <w:rFonts w:ascii="宋体" w:hAnsi="宋体" w:hint="eastAsia"/>
        </w:rPr>
        <w:t>《中华人民共和国消防法》第十六条之规定，我校现通过公开</w:t>
      </w:r>
      <w:r w:rsidR="0065521F">
        <w:rPr>
          <w:rFonts w:ascii="宋体" w:hAnsi="宋体" w:hint="eastAsia"/>
        </w:rPr>
        <w:t>询价</w:t>
      </w:r>
      <w:r w:rsidRPr="0065521F">
        <w:rPr>
          <w:rFonts w:ascii="宋体" w:hAnsi="宋体" w:hint="eastAsia"/>
        </w:rPr>
        <w:t>形式，对全校所有建筑</w:t>
      </w:r>
      <w:r w:rsidRPr="0065521F">
        <w:rPr>
          <w:rFonts w:ascii="宋体" w:hAnsi="宋体" w:hint="eastAsia"/>
        </w:rPr>
        <w:t>进行一次消防检测，</w:t>
      </w:r>
      <w:r w:rsidRPr="0065521F">
        <w:rPr>
          <w:rFonts w:ascii="宋体" w:hAnsi="宋体" w:hint="eastAsia"/>
        </w:rPr>
        <w:t>以确保我校建筑消防设施全面符合法律要求</w:t>
      </w:r>
      <w:r w:rsidRPr="0065521F">
        <w:rPr>
          <w:rFonts w:ascii="宋体" w:hAnsi="宋体" w:hint="eastAsia"/>
        </w:rPr>
        <w:t>。</w:t>
      </w:r>
    </w:p>
    <w:p w:rsidR="00352BFF" w:rsidRPr="0065521F" w:rsidRDefault="00B12550" w:rsidP="0065521F">
      <w:pPr>
        <w:spacing w:line="360" w:lineRule="auto"/>
        <w:rPr>
          <w:rFonts w:ascii="宋体" w:hAnsi="宋体"/>
          <w:b/>
          <w:sz w:val="24"/>
          <w:szCs w:val="24"/>
        </w:rPr>
      </w:pPr>
      <w:r w:rsidRPr="0065521F">
        <w:rPr>
          <w:rFonts w:ascii="宋体" w:hAnsi="宋体" w:hint="eastAsia"/>
          <w:b/>
          <w:sz w:val="24"/>
          <w:szCs w:val="24"/>
        </w:rPr>
        <w:t>二、检测依据：</w:t>
      </w:r>
    </w:p>
    <w:p w:rsidR="00352BFF" w:rsidRPr="0065521F" w:rsidRDefault="00B12550" w:rsidP="0065521F">
      <w:pPr>
        <w:spacing w:line="360" w:lineRule="auto"/>
        <w:ind w:firstLine="200"/>
        <w:rPr>
          <w:rFonts w:ascii="宋体" w:hAnsi="宋体"/>
        </w:rPr>
      </w:pPr>
      <w:r w:rsidRPr="0065521F">
        <w:rPr>
          <w:rFonts w:ascii="宋体" w:hAnsi="宋体" w:hint="eastAsia"/>
        </w:rPr>
        <w:t>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依据国家相关规范（如：《高层建筑设计防火规范》、《火灾自动报警系统设计规范》、《自动喷水灭火系统设计规范》、《消防应急照明灯具通用技术条件》、《气体灭火系统施工及验收规范》等）进行消防设计检测。</w:t>
      </w:r>
    </w:p>
    <w:p w:rsidR="00352BFF" w:rsidRPr="0065521F" w:rsidRDefault="00B12550" w:rsidP="0065521F">
      <w:pPr>
        <w:spacing w:line="360" w:lineRule="auto"/>
        <w:ind w:firstLine="200"/>
        <w:rPr>
          <w:rFonts w:ascii="宋体" w:hAnsi="宋体"/>
        </w:rPr>
      </w:pPr>
      <w:r w:rsidRPr="0065521F">
        <w:rPr>
          <w:rFonts w:ascii="宋体" w:hAnsi="宋体" w:hint="eastAsia"/>
        </w:rPr>
        <w:t>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主要包括火灾自动报警系统、消火栓系统、自动喷水灭火系统、气体灭火系统、防排烟</w:t>
      </w:r>
      <w:r w:rsidRPr="0065521F">
        <w:rPr>
          <w:rFonts w:ascii="宋体" w:hAnsi="宋体" w:hint="eastAsia"/>
        </w:rPr>
        <w:t>及通风空调系统、防火卷帘、防火门等七个系统。</w:t>
      </w:r>
    </w:p>
    <w:bookmarkEnd w:id="7"/>
    <w:bookmarkEnd w:id="8"/>
    <w:bookmarkEnd w:id="9"/>
    <w:bookmarkEnd w:id="10"/>
    <w:p w:rsidR="00352BFF" w:rsidRPr="0065521F" w:rsidRDefault="00B12550" w:rsidP="0065521F">
      <w:pPr>
        <w:spacing w:line="360" w:lineRule="auto"/>
        <w:rPr>
          <w:rFonts w:ascii="宋体" w:hAnsi="宋体"/>
          <w:b/>
          <w:sz w:val="24"/>
          <w:szCs w:val="24"/>
        </w:rPr>
      </w:pPr>
      <w:r w:rsidRPr="0065521F">
        <w:rPr>
          <w:rFonts w:ascii="宋体" w:hAnsi="宋体" w:hint="eastAsia"/>
          <w:b/>
          <w:sz w:val="24"/>
          <w:szCs w:val="24"/>
        </w:rPr>
        <w:t>三、检测范围</w:t>
      </w:r>
    </w:p>
    <w:tbl>
      <w:tblPr>
        <w:tblW w:w="7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2"/>
        <w:gridCol w:w="2256"/>
        <w:gridCol w:w="1283"/>
        <w:gridCol w:w="1850"/>
        <w:gridCol w:w="1200"/>
      </w:tblGrid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序号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建筑物名称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楼层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建筑面积（</w:t>
            </w:r>
            <w:r w:rsidRPr="0065521F">
              <w:rPr>
                <w:rFonts w:ascii="宋体" w:hAnsi="宋体" w:cs="宋体" w:hint="eastAsia"/>
                <w:lang/>
              </w:rPr>
              <w:t>㎡</w:t>
            </w:r>
            <w:r w:rsidRPr="0065521F">
              <w:rPr>
                <w:rFonts w:ascii="宋体" w:hAnsi="宋体" w:cs="宋体" w:hint="eastAsia"/>
                <w:lang/>
              </w:rPr>
              <w:t>）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高度（</w:t>
            </w:r>
            <w:r w:rsidRPr="0065521F">
              <w:rPr>
                <w:rFonts w:ascii="宋体" w:hAnsi="宋体" w:cs="宋体" w:hint="eastAsia"/>
                <w:lang/>
              </w:rPr>
              <w:t>m</w:t>
            </w:r>
            <w:r w:rsidRPr="0065521F">
              <w:rPr>
                <w:rFonts w:ascii="宋体" w:hAnsi="宋体" w:cs="宋体" w:hint="eastAsia"/>
                <w:lang/>
              </w:rPr>
              <w:t>）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科研楼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12742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23.10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2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行政楼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</w:rPr>
              <w:t>10018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19.05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3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</w:rPr>
              <w:t>图文信息中心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45407.5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39.3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大礼堂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</w:rPr>
              <w:t>5298.1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29.05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学生活动中心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6266.1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18.6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6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水上训练中心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3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</w:rPr>
              <w:t>5877.5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15.15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7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商船学院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44527.8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22.10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8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物流工程学院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21945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22.45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9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外语学院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6960.6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21.05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</w:t>
            </w:r>
            <w:r w:rsidRPr="0065521F">
              <w:rPr>
                <w:rFonts w:ascii="宋体" w:hAnsi="宋体" w:cs="宋体" w:hint="eastAsia"/>
                <w:lang/>
              </w:rPr>
              <w:t>0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法学院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4617.4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16.95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</w:t>
            </w:r>
            <w:r w:rsidRPr="0065521F">
              <w:rPr>
                <w:rFonts w:ascii="宋体" w:hAnsi="宋体" w:cs="宋体" w:hint="eastAsia"/>
                <w:lang/>
              </w:rPr>
              <w:t>1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经济管理学院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10236.6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22.45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</w:t>
            </w:r>
            <w:r w:rsidRPr="0065521F">
              <w:rPr>
                <w:rFonts w:ascii="宋体" w:hAnsi="宋体" w:cs="宋体" w:hint="eastAsia"/>
                <w:lang/>
              </w:rPr>
              <w:t>2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交通运输学院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8901.9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21.05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</w:t>
            </w:r>
            <w:r w:rsidRPr="0065521F">
              <w:rPr>
                <w:rFonts w:ascii="宋体" w:hAnsi="宋体" w:cs="宋体" w:hint="eastAsia"/>
                <w:lang/>
              </w:rPr>
              <w:t>3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海洋环境工程学院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</w:rPr>
              <w:t>9836.3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65521F">
              <w:rPr>
                <w:rFonts w:ascii="宋体" w:hAnsi="宋体" w:cs="宋体" w:hint="eastAsia"/>
                <w:lang/>
              </w:rPr>
              <w:t>18.6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14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信息工程学院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13271.1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20.45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15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体育中心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2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3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26501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26.35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lastRenderedPageBreak/>
              <w:t>16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实训中心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3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16808.5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20.85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17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校医院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2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4877.2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17.35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18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食堂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3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24769.4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16.4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19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文理公共教学楼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3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4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5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58965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22.3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20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南区学生公寓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6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31608.3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20.4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21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北区学生公寓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6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38648.1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19.7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22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三期学生公寓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6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99824.89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20.9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23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五期学生公寓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6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70323.9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20.6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24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教职工集体宿舍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5</w:t>
            </w:r>
            <w:r w:rsidRPr="0065521F">
              <w:rPr>
                <w:rFonts w:ascii="宋体" w:hAnsi="宋体" w:cs="宋体" w:hint="eastAsia"/>
                <w:lang/>
              </w:rPr>
              <w:t>、</w:t>
            </w:r>
            <w:r w:rsidRPr="0065521F">
              <w:rPr>
                <w:rFonts w:ascii="宋体" w:hAnsi="宋体" w:cs="宋体" w:hint="eastAsia"/>
                <w:lang/>
              </w:rPr>
              <w:t>11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10215.6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32.75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25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集装箱供应链技术研究中心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13958.5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17.2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26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海云楼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4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3727.7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16.8</w:t>
            </w:r>
          </w:p>
        </w:tc>
      </w:tr>
      <w:tr w:rsidR="00352BFF" w:rsidRPr="0065521F">
        <w:trPr>
          <w:trHeight w:val="450"/>
        </w:trPr>
        <w:tc>
          <w:tcPr>
            <w:tcW w:w="632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27</w:t>
            </w:r>
          </w:p>
        </w:tc>
        <w:tc>
          <w:tcPr>
            <w:tcW w:w="2256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研究生公寓</w:t>
            </w:r>
          </w:p>
        </w:tc>
        <w:tc>
          <w:tcPr>
            <w:tcW w:w="1283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16</w:t>
            </w: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23590</w:t>
            </w:r>
          </w:p>
        </w:tc>
        <w:tc>
          <w:tcPr>
            <w:tcW w:w="120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48.6</w:t>
            </w:r>
          </w:p>
        </w:tc>
      </w:tr>
      <w:tr w:rsidR="00352BFF" w:rsidRPr="0065521F">
        <w:trPr>
          <w:trHeight w:val="386"/>
        </w:trPr>
        <w:tc>
          <w:tcPr>
            <w:tcW w:w="2888" w:type="dxa"/>
            <w:gridSpan w:val="2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lang/>
              </w:rPr>
              <w:t>总计</w:t>
            </w:r>
          </w:p>
        </w:tc>
        <w:tc>
          <w:tcPr>
            <w:tcW w:w="1283" w:type="dxa"/>
            <w:vAlign w:val="center"/>
          </w:tcPr>
          <w:p w:rsidR="00352BFF" w:rsidRPr="0065521F" w:rsidRDefault="00352BFF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</w:p>
        </w:tc>
        <w:tc>
          <w:tcPr>
            <w:tcW w:w="1850" w:type="dxa"/>
            <w:vAlign w:val="center"/>
          </w:tcPr>
          <w:p w:rsidR="00352BFF" w:rsidRPr="0065521F" w:rsidRDefault="00B12550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  <w:r w:rsidRPr="0065521F"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629723.99</w:t>
            </w:r>
          </w:p>
        </w:tc>
        <w:tc>
          <w:tcPr>
            <w:tcW w:w="1200" w:type="dxa"/>
            <w:vAlign w:val="center"/>
          </w:tcPr>
          <w:p w:rsidR="00352BFF" w:rsidRPr="0065521F" w:rsidRDefault="00352BFF" w:rsidP="0065521F">
            <w:pPr>
              <w:spacing w:line="360" w:lineRule="auto"/>
              <w:jc w:val="center"/>
              <w:rPr>
                <w:rFonts w:ascii="宋体" w:hAnsi="宋体" w:cs="宋体"/>
                <w:lang/>
              </w:rPr>
            </w:pPr>
          </w:p>
        </w:tc>
      </w:tr>
    </w:tbl>
    <w:p w:rsidR="00352BFF" w:rsidRPr="0065521F" w:rsidRDefault="00B12550" w:rsidP="0065521F">
      <w:pPr>
        <w:pStyle w:val="2"/>
        <w:numPr>
          <w:ilvl w:val="0"/>
          <w:numId w:val="2"/>
        </w:numPr>
        <w:spacing w:before="120" w:after="0" w:line="360" w:lineRule="auto"/>
        <w:rPr>
          <w:rFonts w:ascii="宋体" w:eastAsia="宋体" w:hAnsi="宋体"/>
          <w:sz w:val="24"/>
          <w:szCs w:val="24"/>
        </w:rPr>
      </w:pPr>
      <w:bookmarkStart w:id="12" w:name="_Toc25543"/>
      <w:bookmarkStart w:id="13" w:name="_Toc29796"/>
      <w:bookmarkStart w:id="14" w:name="_Toc19131"/>
      <w:bookmarkStart w:id="15" w:name="_Toc29113"/>
      <w:r w:rsidRPr="0065521F">
        <w:rPr>
          <w:rFonts w:ascii="宋体" w:eastAsia="宋体" w:hAnsi="宋体" w:hint="eastAsia"/>
          <w:sz w:val="24"/>
          <w:szCs w:val="24"/>
        </w:rPr>
        <w:t>具体检测内容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火灾自动报警系统：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检测火灾自动报警系统线路的绝缘电阻、接地电阻、系统的接地、管线的安装及其保护状况（每个回路检测）；检测火灾探测器和手动报警按钮的设置状况、安装质量、保护半径及与周围遮挡物的距离等，进行模拟响应测试，并按比例抽检；检测火灾报警控制器的安装质量、柜内配线、保护接地的设置、主备电源的设置及其转换功能，并对控制器的各项功能测试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检测）；检测消防设备控制柜的安装质量、柜内配线、手、自动控制及屏面</w:t>
      </w:r>
      <w:r w:rsidRPr="0065521F">
        <w:rPr>
          <w:rFonts w:ascii="宋体" w:hAnsi="宋体" w:hint="eastAsia"/>
        </w:rPr>
        <w:t>接受消防设备的信号反馈功能（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检测消防控制室、各消防设备间及消火栓按钮处的消防通讯功能；检测消防控制室的设置位置及明显标志、室内防火阀及无关管线的设置、双回路电源的设置和切换功能；检测火灾应急广播的音响功能，手动选层和自动广播、遥控开启和强行切换等功能；检测电梯的迫降功能、消防电梯的使用功能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检测），切断非消防电源功能和着火层的灯光显示功能；检测火灾应急照明和疏散指示标志的设置、照度、转换时间和图形符号。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相关技术要求：火灾自动报警系统（应急广播、消防电梯、事故照明及疏散指示灯</w:t>
      </w:r>
      <w:r w:rsidRPr="0065521F">
        <w:rPr>
          <w:rFonts w:ascii="宋体" w:hAnsi="宋体" w:hint="eastAsia"/>
        </w:rPr>
        <w:t>）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系统组成：电源、火灾报警控制器、火灾报警触发装置、消防联动控制设备、消防通讯设备、火灾应急广播、消防电梯、火灾应急照明及疏散指示装置等。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lastRenderedPageBreak/>
        <w:t>1.3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电源：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1.3.1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交流电源：规范要求火灾报警控制器主电源采用专用消防电源，或采用单独的供电回路，不能与日常用电合用（包括控制室监控电源、空调电源），《高规》还要求双电供电，设置自动转换装置。主电源容量要求：火灾报警控制器在百分之二十的报警部位（</w:t>
      </w:r>
      <w:r w:rsidRPr="0065521F">
        <w:rPr>
          <w:rFonts w:ascii="宋体" w:hAnsi="宋体" w:hint="eastAsia"/>
        </w:rPr>
        <w:t>10</w:t>
      </w:r>
      <w:r w:rsidRPr="0065521F">
        <w:rPr>
          <w:rFonts w:ascii="宋体" w:hAnsi="宋体" w:hint="eastAsia"/>
        </w:rPr>
        <w:t>≤报警点≤</w:t>
      </w:r>
      <w:r w:rsidRPr="0065521F">
        <w:rPr>
          <w:rFonts w:ascii="宋体" w:hAnsi="宋体" w:hint="eastAsia"/>
        </w:rPr>
        <w:t>32</w:t>
      </w:r>
      <w:r w:rsidRPr="0065521F">
        <w:rPr>
          <w:rFonts w:ascii="宋体" w:hAnsi="宋体" w:hint="eastAsia"/>
        </w:rPr>
        <w:t>）处于正常报警状态条件下，连续正常工作</w:t>
      </w:r>
      <w:r w:rsidRPr="0065521F">
        <w:rPr>
          <w:rFonts w:ascii="宋体" w:hAnsi="宋体" w:hint="eastAsia"/>
        </w:rPr>
        <w:t>4</w:t>
      </w:r>
      <w:r w:rsidRPr="0065521F">
        <w:rPr>
          <w:rFonts w:ascii="宋体" w:hAnsi="宋体" w:hint="eastAsia"/>
        </w:rPr>
        <w:t>小时，还有电压稳定度、负载稳定度不大于</w:t>
      </w:r>
      <w:r w:rsidRPr="0065521F">
        <w:rPr>
          <w:rFonts w:ascii="宋体" w:hAnsi="宋体" w:hint="eastAsia"/>
        </w:rPr>
        <w:t>5%</w:t>
      </w:r>
      <w:r w:rsidRPr="0065521F">
        <w:rPr>
          <w:rFonts w:ascii="宋体" w:hAnsi="宋体" w:hint="eastAsia"/>
        </w:rPr>
        <w:t>等要求。主电源不</w:t>
      </w:r>
      <w:r w:rsidRPr="0065521F">
        <w:rPr>
          <w:rFonts w:ascii="宋体" w:hAnsi="宋体" w:hint="eastAsia"/>
        </w:rPr>
        <w:t>应采用漏电保护开关保护；不能采用插头连接。除主电源供电外，还要有直流备用电源。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1.4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消防控制室及火灾报警控制器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1.4.1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消防控制室：规范要求消防控制室的标志应齐全。消防控制室入口处应有明显标志（塑料、金属）；控制器主电源要有明显标志；保护接地要设明显标志；控制器及消防控制设备外接导线端部应有明显标志；不同电压等级、不同电流类别的端子应有明显标志；消防联动控制盘面应有明显标志。火灾报警控制器：控制器柜内导线要求布线美观，绑扎成束，导线编号、端子压接导线小于</w:t>
      </w:r>
      <w:r w:rsidRPr="0065521F">
        <w:rPr>
          <w:rFonts w:ascii="宋体" w:hAnsi="宋体" w:hint="eastAsia"/>
        </w:rPr>
        <w:t>2</w:t>
      </w:r>
      <w:r w:rsidRPr="0065521F">
        <w:rPr>
          <w:rFonts w:ascii="宋体" w:hAnsi="宋体" w:hint="eastAsia"/>
        </w:rPr>
        <w:t>根。火灾自动报警系统应设专用接地干线，应采用</w:t>
      </w:r>
      <w:r w:rsidRPr="0065521F">
        <w:rPr>
          <w:rFonts w:ascii="宋体" w:hAnsi="宋体" w:hint="eastAsia"/>
        </w:rPr>
        <w:t>铜芯绝缘导线，其芯线截面积不小于</w:t>
      </w:r>
      <w:r w:rsidRPr="0065521F">
        <w:rPr>
          <w:rFonts w:ascii="宋体" w:hAnsi="宋体" w:hint="eastAsia"/>
        </w:rPr>
        <w:t>25mm2,</w:t>
      </w:r>
      <w:r w:rsidRPr="0065521F">
        <w:rPr>
          <w:rFonts w:ascii="宋体" w:hAnsi="宋体" w:hint="eastAsia"/>
        </w:rPr>
        <w:t>消防控制室接地板的接地线也应选用铜芯绝缘导线，其芯线截面积不小于</w:t>
      </w:r>
      <w:r w:rsidRPr="0065521F">
        <w:rPr>
          <w:rFonts w:ascii="宋体" w:hAnsi="宋体" w:hint="eastAsia"/>
        </w:rPr>
        <w:t>4mm2</w:t>
      </w:r>
      <w:r w:rsidRPr="0065521F">
        <w:rPr>
          <w:rFonts w:ascii="宋体" w:hAnsi="宋体" w:hint="eastAsia"/>
        </w:rPr>
        <w:t>。控制器主要功能：消音功能，复位功能，故障报警功能，火灾报警功能，二次火警功能，火灾优先功能，自检功能，显示记忆功能，屏蔽功能等。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1.5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消防联动控制设备，消防联动控制设备电源容量试验和控制器试验类似。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1.5.1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火灾探测器和手动报警按钮（火灾触发装置）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1.5.2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消防通讯、应急广播、消防电梯、火灾应急照明及疏散指示装置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1.5.3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消防通讯：消防控制室应设置消防专用电话总机。设备间（泵</w:t>
      </w:r>
      <w:r w:rsidRPr="0065521F">
        <w:rPr>
          <w:rFonts w:ascii="宋体" w:hAnsi="宋体" w:hint="eastAsia"/>
        </w:rPr>
        <w:t>房、风机房、空调机房、配电室、分控室等）应设专用电话分机，手动报警按钮、消火栓按钮等处宜插孔电话。要求语言清晰，通话可靠。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1.5.4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应急广播：控制中心报警系统应设置火灾应急广播，集中报警系统宜设置火灾应急广播，未设置火灾应急广播的火灾自动报警系统应设置火灾警报装置。扬声器功率不小于</w:t>
      </w:r>
      <w:r w:rsidRPr="0065521F">
        <w:rPr>
          <w:rFonts w:ascii="宋体" w:hAnsi="宋体" w:hint="eastAsia"/>
        </w:rPr>
        <w:t>3</w:t>
      </w:r>
      <w:r w:rsidRPr="0065521F">
        <w:rPr>
          <w:rFonts w:ascii="宋体" w:hAnsi="宋体" w:hint="eastAsia"/>
        </w:rPr>
        <w:t>瓦，任何部位距离不大于</w:t>
      </w:r>
      <w:r w:rsidRPr="0065521F">
        <w:rPr>
          <w:rFonts w:ascii="宋体" w:hAnsi="宋体" w:hint="eastAsia"/>
        </w:rPr>
        <w:t>25</w:t>
      </w:r>
      <w:r w:rsidRPr="0065521F">
        <w:rPr>
          <w:rFonts w:ascii="宋体" w:hAnsi="宋体" w:hint="eastAsia"/>
        </w:rPr>
        <w:t>米，声压级高于背景</w:t>
      </w:r>
      <w:r w:rsidRPr="0065521F">
        <w:rPr>
          <w:rFonts w:ascii="宋体" w:hAnsi="宋体" w:hint="eastAsia"/>
        </w:rPr>
        <w:t>15</w:t>
      </w:r>
      <w:r w:rsidRPr="0065521F">
        <w:rPr>
          <w:rFonts w:ascii="宋体" w:hAnsi="宋体" w:hint="eastAsia"/>
        </w:rPr>
        <w:t>分贝。也可与日常公共广播系统合用，平时用于广播、背景音乐等，火警时消防消防控制室应能强制转入应急广播状态，即相</w:t>
      </w:r>
      <w:r w:rsidRPr="0065521F">
        <w:rPr>
          <w:rFonts w:ascii="宋体" w:hAnsi="宋体" w:hint="eastAsia"/>
        </w:rPr>
        <w:t>应楼层或防火分区的扬声器和公共广播扩音机（功放机）强制转入应急广播状态。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1.5.5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消防电梯：普通电梯要求在火警时能强制降于首层，打开轿厢门，不作为疏散用。而消防电梯除要求在控制室和首层都能强制降于首层外，还要求有消防操作功能，即不能外呼，轿厢内可操作，设专用电话，有排水设施等。消防控制室应能控制电梯全部停于首层并接收其反馈信号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1.5.6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应急照明及疏散指示：规范要求，应急照明和疏散指示连续供电工作时间不少于</w:t>
      </w:r>
      <w:r w:rsidRPr="0065521F">
        <w:rPr>
          <w:rFonts w:ascii="宋体" w:hAnsi="宋体" w:hint="eastAsia"/>
        </w:rPr>
        <w:t>20</w:t>
      </w:r>
      <w:r w:rsidRPr="0065521F">
        <w:rPr>
          <w:rFonts w:ascii="宋体" w:hAnsi="宋体" w:hint="eastAsia"/>
        </w:rPr>
        <w:t>分钟。应急照明度不低于</w:t>
      </w:r>
      <w:r w:rsidRPr="0065521F">
        <w:rPr>
          <w:rFonts w:ascii="宋体" w:hAnsi="宋体" w:hint="eastAsia"/>
        </w:rPr>
        <w:t>0.5LX</w:t>
      </w:r>
      <w:r w:rsidRPr="0065521F">
        <w:rPr>
          <w:rFonts w:ascii="宋体" w:hAnsi="宋体" w:hint="eastAsia"/>
        </w:rPr>
        <w:t>，地下室不低于</w:t>
      </w:r>
      <w:r w:rsidRPr="0065521F">
        <w:rPr>
          <w:rFonts w:ascii="宋体" w:hAnsi="宋体" w:hint="eastAsia"/>
        </w:rPr>
        <w:t>5LX</w:t>
      </w:r>
      <w:r w:rsidRPr="0065521F">
        <w:rPr>
          <w:rFonts w:ascii="宋体" w:hAnsi="宋体" w:hint="eastAsia"/>
        </w:rPr>
        <w:t>，疏散指示照度不小于</w:t>
      </w:r>
      <w:r w:rsidRPr="0065521F">
        <w:rPr>
          <w:rFonts w:ascii="宋体" w:hAnsi="宋体" w:hint="eastAsia"/>
        </w:rPr>
        <w:t>0.5LX</w:t>
      </w:r>
      <w:r w:rsidRPr="0065521F">
        <w:rPr>
          <w:rFonts w:ascii="宋体" w:hAnsi="宋体" w:hint="eastAsia"/>
        </w:rPr>
        <w:t>。消防控</w:t>
      </w:r>
      <w:r w:rsidRPr="0065521F">
        <w:rPr>
          <w:rFonts w:ascii="宋体" w:hAnsi="宋体" w:hint="eastAsia"/>
        </w:rPr>
        <w:t>制室应能切断有关部位的非消防电源，并接通火灾应急照明及疏散指示装置。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lastRenderedPageBreak/>
        <w:t>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消防供水及消火栓系统：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2.1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检查消防水源的性质、进水管的条数和直径及消防水池的设置状况（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检测）；检查消防水池的容积、水位指示器和补水设施、保证消防用水和防冻措施等（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检测）；检查消防水箱的设置、容积、防冻措施、补水及单向阀的状况等（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检测）；检测各种消防供水泵的性能、管道、手自动控制、启动时间，主备泵和主备电源转换功能等（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检测）；检测水泵接合器的设置、标志及输送消防水的功能等（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检测）。检查室内消</w:t>
      </w:r>
      <w:r w:rsidRPr="0065521F">
        <w:rPr>
          <w:rFonts w:ascii="宋体" w:hAnsi="宋体" w:hint="eastAsia"/>
        </w:rPr>
        <w:t>火栓的安装、组件、规格及其间距等；检测屋顶消火栓的设置、陈冻措施及其充实水柱长度等（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检查室内消火栓管网的设置、管径、颜色、保证消防用水及其连接形状；检测室内消火栓的首层和最不利点的静压、动压及其充实水柱长度（按每个供水分区最不利点及首层均进行出水测试）；检查手动启泵按钮的设置及其功能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2.2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相关技术要求：室外消火栓系统：较为常见的采用市政供水。地下式室外消火栓井盖及附近应有标志，平时注意维护阀门、接口，保持清洁、干燥，启闭灵活。室内消火栓系统：分为市政供水系统和临时高压给水系统（设消火栓</w:t>
      </w:r>
      <w:r w:rsidRPr="0065521F">
        <w:rPr>
          <w:rFonts w:ascii="宋体" w:hAnsi="宋体" w:hint="eastAsia"/>
        </w:rPr>
        <w:t>泵）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2.2.1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组成：市政供水系统由消火栓箱、管网、水源构成。临时高压给水系统由消火栓箱、消火栓启泵按钮、管网、水泵、水源构成。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2.2.2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消火栓管网进水管不少于两根，应为独立的两根，当有一根需要检修时不影响系统管网的供水。管网应布置呈环状。消火栓启泵按钮要有保护措施；报警要准确，设有报警系统的要显示部位；并能联动消火栓泵，当消火栓泵启动后应有红色指示灯指示。消火栓栓口静水压力：不低于</w:t>
      </w:r>
      <w:r w:rsidRPr="0065521F">
        <w:rPr>
          <w:rFonts w:ascii="宋体" w:hAnsi="宋体" w:hint="eastAsia"/>
        </w:rPr>
        <w:t>0.07MPa</w:t>
      </w:r>
      <w:r w:rsidRPr="0065521F">
        <w:rPr>
          <w:rFonts w:ascii="宋体" w:hAnsi="宋体" w:hint="eastAsia"/>
        </w:rPr>
        <w:t>，不高于</w:t>
      </w:r>
      <w:r w:rsidRPr="0065521F">
        <w:rPr>
          <w:rFonts w:ascii="宋体" w:hAnsi="宋体" w:hint="eastAsia"/>
        </w:rPr>
        <w:t>0.8MPa</w:t>
      </w:r>
      <w:r w:rsidRPr="0065521F">
        <w:rPr>
          <w:rFonts w:ascii="宋体" w:hAnsi="宋体" w:hint="eastAsia"/>
        </w:rPr>
        <w:t>；出水压力：不大于</w:t>
      </w:r>
      <w:r w:rsidRPr="0065521F">
        <w:rPr>
          <w:rFonts w:ascii="宋体" w:hAnsi="宋体" w:hint="eastAsia"/>
        </w:rPr>
        <w:t>0.50MPa</w:t>
      </w:r>
      <w:r w:rsidRPr="0065521F">
        <w:rPr>
          <w:rFonts w:ascii="宋体" w:hAnsi="宋体" w:hint="eastAsia"/>
        </w:rPr>
        <w:t>，最主要是充实水柱长度不小于</w:t>
      </w:r>
      <w:r w:rsidRPr="0065521F">
        <w:rPr>
          <w:rFonts w:ascii="宋体" w:hAnsi="宋体" w:hint="eastAsia"/>
        </w:rPr>
        <w:t>7m</w:t>
      </w:r>
      <w:r w:rsidRPr="0065521F">
        <w:rPr>
          <w:rFonts w:ascii="宋体" w:hAnsi="宋体" w:hint="eastAsia"/>
        </w:rPr>
        <w:t>（高规</w:t>
      </w:r>
      <w:r w:rsidRPr="0065521F">
        <w:rPr>
          <w:rFonts w:ascii="宋体" w:hAnsi="宋体" w:hint="eastAsia"/>
        </w:rPr>
        <w:t>10m</w:t>
      </w:r>
      <w:r w:rsidRPr="0065521F">
        <w:rPr>
          <w:rFonts w:ascii="宋体" w:hAnsi="宋体" w:hint="eastAsia"/>
        </w:rPr>
        <w:t>）。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3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自动喷水灭火系统：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3.1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检查管网的安装、连接、设置喷头数量及末端管径等；检查水流指示器和信号阀的安装及其功能；检测报警阀组的安装、阀门的状态、各组件及其功能（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检测）；检测喷淋头安装、外观、保护间距和保护面积及与邻近障碍物的距离等；对报警阀组进行功能试验（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检测）；对自动喷淋水（雾）系统进行功能试验。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3.2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相关技术要求：组成：喷头、管网、水流指示器、末端试水装置、检修阀、报警阀组、水泵、水源。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3.3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喷头：在装设通透性吊顶的场所，喷头应布置在顶板下，距顶板的距离不小于</w:t>
      </w:r>
      <w:r w:rsidRPr="0065521F">
        <w:rPr>
          <w:rFonts w:ascii="宋体" w:hAnsi="宋体" w:hint="eastAsia"/>
        </w:rPr>
        <w:t>75mm</w:t>
      </w:r>
      <w:r w:rsidRPr="0065521F">
        <w:rPr>
          <w:rFonts w:ascii="宋体" w:hAnsi="宋体" w:hint="eastAsia"/>
        </w:rPr>
        <w:t>，不大于</w:t>
      </w:r>
      <w:r w:rsidRPr="0065521F">
        <w:rPr>
          <w:rFonts w:ascii="宋体" w:hAnsi="宋体" w:hint="eastAsia"/>
        </w:rPr>
        <w:t>150mm</w:t>
      </w:r>
      <w:r w:rsidRPr="0065521F">
        <w:rPr>
          <w:rFonts w:ascii="宋体" w:hAnsi="宋体" w:hint="eastAsia"/>
        </w:rPr>
        <w:t>。喷头距梁、通风管道距离要符合规范要求，高于底边</w:t>
      </w:r>
      <w:r w:rsidRPr="0065521F">
        <w:rPr>
          <w:rFonts w:ascii="宋体" w:hAnsi="宋体" w:hint="eastAsia"/>
        </w:rPr>
        <w:t>0.14m</w:t>
      </w:r>
      <w:r w:rsidRPr="0065521F">
        <w:rPr>
          <w:rFonts w:ascii="宋体" w:hAnsi="宋体" w:hint="eastAsia"/>
        </w:rPr>
        <w:t>，</w:t>
      </w:r>
      <w:r w:rsidRPr="0065521F">
        <w:rPr>
          <w:rFonts w:ascii="宋体" w:hAnsi="宋体" w:hint="eastAsia"/>
        </w:rPr>
        <w:t>0.6</w:t>
      </w:r>
      <w:r w:rsidRPr="0065521F">
        <w:rPr>
          <w:rFonts w:ascii="宋体" w:hAnsi="宋体" w:hint="eastAsia"/>
        </w:rPr>
        <w:t>≤水平距离≤</w:t>
      </w:r>
      <w:r w:rsidRPr="0065521F">
        <w:rPr>
          <w:rFonts w:ascii="宋体" w:hAnsi="宋体" w:hint="eastAsia"/>
        </w:rPr>
        <w:t>0.9</w:t>
      </w:r>
      <w:r w:rsidRPr="0065521F">
        <w:rPr>
          <w:rFonts w:ascii="宋体" w:hAnsi="宋体" w:hint="eastAsia"/>
        </w:rPr>
        <w:t>，高于底边</w:t>
      </w:r>
      <w:r w:rsidRPr="0065521F">
        <w:rPr>
          <w:rFonts w:ascii="宋体" w:hAnsi="宋体" w:hint="eastAsia"/>
        </w:rPr>
        <w:t>0.35m</w:t>
      </w:r>
      <w:r w:rsidRPr="0065521F">
        <w:rPr>
          <w:rFonts w:ascii="宋体" w:hAnsi="宋体" w:hint="eastAsia"/>
        </w:rPr>
        <w:t>，</w:t>
      </w:r>
      <w:r w:rsidRPr="0065521F">
        <w:rPr>
          <w:rFonts w:ascii="宋体" w:hAnsi="宋体" w:hint="eastAsia"/>
        </w:rPr>
        <w:t>1.2</w:t>
      </w:r>
      <w:r w:rsidRPr="0065521F">
        <w:rPr>
          <w:rFonts w:ascii="宋体" w:hAnsi="宋体" w:hint="eastAsia"/>
        </w:rPr>
        <w:t>≤水平距离≤</w:t>
      </w:r>
      <w:r w:rsidRPr="0065521F">
        <w:rPr>
          <w:rFonts w:ascii="宋体" w:hAnsi="宋体" w:hint="eastAsia"/>
        </w:rPr>
        <w:t>1.5m</w:t>
      </w:r>
      <w:r w:rsidRPr="0065521F">
        <w:rPr>
          <w:rFonts w:ascii="宋体" w:hAnsi="宋体" w:hint="eastAsia"/>
        </w:rPr>
        <w:t>，当通风管道宽度大于</w:t>
      </w:r>
      <w:r w:rsidRPr="0065521F">
        <w:rPr>
          <w:rFonts w:ascii="宋体" w:hAnsi="宋体" w:hint="eastAsia"/>
        </w:rPr>
        <w:t>1.2m</w:t>
      </w:r>
      <w:r w:rsidRPr="0065521F">
        <w:rPr>
          <w:rFonts w:ascii="宋体" w:hAnsi="宋体" w:hint="eastAsia"/>
        </w:rPr>
        <w:t>，应增设喷头。如果喷头安装位置较低时也可增加集热挡水板。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3.4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排水设施：湿式报警阀处应设有排水设施。试水管管径应为</w:t>
      </w:r>
      <w:r w:rsidRPr="0065521F">
        <w:rPr>
          <w:rFonts w:ascii="宋体" w:hAnsi="宋体" w:hint="eastAsia"/>
        </w:rPr>
        <w:t>25mm</w:t>
      </w:r>
      <w:r w:rsidRPr="0065521F">
        <w:rPr>
          <w:rFonts w:ascii="宋体" w:hAnsi="宋体" w:hint="eastAsia"/>
        </w:rPr>
        <w:t>，最好将泄水管直接引至水池、地漏，以便随时进行放水试验。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lastRenderedPageBreak/>
        <w:t>3.5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水流指示器：水流指示器一般与检修阀相邻设置，距离不小于</w:t>
      </w:r>
      <w:r w:rsidRPr="0065521F">
        <w:rPr>
          <w:rFonts w:ascii="宋体" w:hAnsi="宋体" w:hint="eastAsia"/>
        </w:rPr>
        <w:t>300mm</w:t>
      </w:r>
      <w:r w:rsidRPr="0065521F">
        <w:rPr>
          <w:rFonts w:ascii="宋体" w:hAnsi="宋体" w:hint="eastAsia"/>
        </w:rPr>
        <w:t>，应设在便于维修的场所（同检修阀）。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3.6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报警阀组（湿式）：水力警</w:t>
      </w:r>
      <w:r w:rsidRPr="0065521F">
        <w:rPr>
          <w:rFonts w:ascii="宋体" w:hAnsi="宋体" w:hint="eastAsia"/>
        </w:rPr>
        <w:t>铃是利用水流的冲击发出声响的报警装置，应设在有人值班或公共场所（或附近），通过水力达到报警目的。压力开关是一种利用水压推动微动开关将水压转换成电信号的装置。稳压系统：喷淋系统的稳压非常重要的，是决定报警阀动作与否的关键所在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4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气体灭火系统：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4.1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检查气体灭火系统的贮瓶间的设备、组件、灭火剂输送管道、喷嘴及防护区的设置和安装状况（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检测）；对气体灭火系统模拟联动试验、查看先发声、后发光的报警程序，查看切断火场电源、自动启动、延时启动量、防火阀和排风机、喷射过程、气体释放指示灯等的动作是否正常。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防排烟系统、防火卷帘门、防火门：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检测排烟系统风机（</w:t>
      </w:r>
      <w:r w:rsidRPr="0065521F">
        <w:rPr>
          <w:rFonts w:ascii="宋体" w:hAnsi="宋体" w:hint="eastAsia"/>
        </w:rPr>
        <w:t>100%</w:t>
      </w:r>
      <w:r w:rsidRPr="0065521F">
        <w:rPr>
          <w:rFonts w:ascii="宋体" w:hAnsi="宋体" w:hint="eastAsia"/>
        </w:rPr>
        <w:t>检测）、风道、防火阀、送风口、主备电源设置状况及其功能；检查通风空调系统的管道和防火阀的设置状况；对各个系统进行手动、自动及联动功能试验；检查正压送风系统的风管、风机、送风口设置状况并测量其风速和正压送风值；检测防火卷帘、防火门外观、安装、传动机构、动作程序及其手动和联动功能进行检测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5.2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相关技术要求：防排烟及通风空调系统，分三部分：正压送风系统、机械排烟系统、通风空调系统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5.2.1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正压送风系统：正压送风系统由送风机、送风管道</w:t>
      </w:r>
      <w:r w:rsidRPr="0065521F">
        <w:rPr>
          <w:rFonts w:ascii="宋体" w:hAnsi="宋体" w:hint="eastAsia"/>
        </w:rPr>
        <w:t>、送风口及相关阀体等组成。《高规》要求，楼梯间正压值：</w:t>
      </w:r>
      <w:r w:rsidRPr="0065521F">
        <w:rPr>
          <w:rFonts w:ascii="宋体" w:hAnsi="宋体" w:hint="eastAsia"/>
        </w:rPr>
        <w:t>40Pa</w:t>
      </w:r>
      <w:r w:rsidRPr="0065521F">
        <w:rPr>
          <w:rFonts w:ascii="宋体" w:hAnsi="宋体" w:hint="eastAsia"/>
        </w:rPr>
        <w:t>≤正压值≤</w:t>
      </w:r>
      <w:r w:rsidRPr="0065521F">
        <w:rPr>
          <w:rFonts w:ascii="宋体" w:hAnsi="宋体" w:hint="eastAsia"/>
        </w:rPr>
        <w:t>50Pa</w:t>
      </w:r>
      <w:r w:rsidRPr="0065521F">
        <w:rPr>
          <w:rFonts w:ascii="宋体" w:hAnsi="宋体" w:hint="eastAsia"/>
        </w:rPr>
        <w:t>，前室正压值：</w:t>
      </w:r>
      <w:r w:rsidRPr="0065521F">
        <w:rPr>
          <w:rFonts w:ascii="宋体" w:hAnsi="宋体" w:hint="eastAsia"/>
        </w:rPr>
        <w:t>25Pa</w:t>
      </w:r>
      <w:r w:rsidRPr="0065521F">
        <w:rPr>
          <w:rFonts w:ascii="宋体" w:hAnsi="宋体" w:hint="eastAsia"/>
        </w:rPr>
        <w:t>≤正压值≤</w:t>
      </w:r>
      <w:r w:rsidRPr="0065521F">
        <w:rPr>
          <w:rFonts w:ascii="宋体" w:hAnsi="宋体" w:hint="eastAsia"/>
        </w:rPr>
        <w:t>30Pa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5.2.2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机械排烟系统：一般设置在走道、中庭、（前室）、地下车库、地下室等。火灾中对人员造成最大伤害的是烟气，历次火灾中因烟气导致人员窒息的比例也是最高的，因此机械排烟系统是不容忽视的。机械排烟系统由排烟机、排烟防火阀、排烟管道、排烟口（排烟阀）等组成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5.2.3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通风空调系统：主要是防火阀（</w:t>
      </w:r>
      <w:r w:rsidRPr="0065521F">
        <w:rPr>
          <w:rFonts w:ascii="宋体" w:hAnsi="宋体" w:hint="eastAsia"/>
        </w:rPr>
        <w:t>70</w:t>
      </w:r>
      <w:r w:rsidRPr="0065521F">
        <w:rPr>
          <w:rFonts w:ascii="宋体" w:hAnsi="宋体" w:hint="eastAsia"/>
        </w:rPr>
        <w:t>℃）。火灾和烟气的横向及纵向蔓延主要是通过防火墙的孔洞蔓延。当有火警时，相应的空调送风系</w:t>
      </w:r>
      <w:r w:rsidRPr="0065521F">
        <w:rPr>
          <w:rFonts w:ascii="宋体" w:hAnsi="宋体" w:hint="eastAsia"/>
        </w:rPr>
        <w:t>统应联动关闭，也就是切断非消防电源功能，并有正确的反馈信号传送到控制室。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5.2.4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防火卷帘、防火门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5.2.4.1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防火卷帘分钢质防火卷帘、双层无机布（基）防火卷帘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5.2.4.2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联动控制功能：分为两种：作为防火分隔的卷帘，可直接降至底位（有的设延时），作为疏散通道上的防火卷帘可分两步降底：感烟探测器动作后，卷帘下降至距地面</w:t>
      </w:r>
      <w:r w:rsidRPr="0065521F">
        <w:rPr>
          <w:rFonts w:ascii="宋体" w:hAnsi="宋体" w:hint="eastAsia"/>
        </w:rPr>
        <w:t>1.8m</w:t>
      </w:r>
      <w:r w:rsidRPr="0065521F">
        <w:rPr>
          <w:rFonts w:ascii="宋体" w:hAnsi="宋体" w:hint="eastAsia"/>
        </w:rPr>
        <w:t>，感温探测器动作后卷帘下降到底，卷帘关闭信号应传送至消防控制室。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5.2.4.3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防火门：电动防火门、普通防火门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lastRenderedPageBreak/>
        <w:t>5.2.4.4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建筑的通道、走廊等处设常开防火门，门任一侧</w:t>
      </w:r>
      <w:r w:rsidRPr="0065521F">
        <w:rPr>
          <w:rFonts w:ascii="宋体" w:hAnsi="宋体" w:hint="eastAsia"/>
        </w:rPr>
        <w:t>探测器报警后，防火门机构释放，防火门自动关闭，其反馈信号应传送到消防控制室。</w:t>
      </w:r>
    </w:p>
    <w:p w:rsidR="00352BFF" w:rsidRPr="0065521F" w:rsidRDefault="00B12550" w:rsidP="0065521F">
      <w:pPr>
        <w:spacing w:line="360" w:lineRule="auto"/>
        <w:rPr>
          <w:rFonts w:ascii="宋体" w:hAnsi="宋体"/>
        </w:rPr>
      </w:pPr>
      <w:r w:rsidRPr="0065521F">
        <w:rPr>
          <w:rFonts w:ascii="宋体" w:hAnsi="宋体" w:hint="eastAsia"/>
        </w:rPr>
        <w:t>6</w:t>
      </w:r>
      <w:r w:rsidRPr="0065521F">
        <w:rPr>
          <w:rFonts w:ascii="宋体" w:hAnsi="宋体" w:hint="eastAsia"/>
        </w:rPr>
        <w:tab/>
      </w:r>
      <w:r w:rsidRPr="0065521F">
        <w:rPr>
          <w:rFonts w:ascii="宋体" w:hAnsi="宋体" w:hint="eastAsia"/>
        </w:rPr>
        <w:t>包括检测方案编制、方案送审（有关行政管理部门）、消防设施检测、编制并提交检测成果报告，协调解决消防验收等工作。所有工作应符合国家、省、市有关规范规程和规定的要求及设计要求。</w:t>
      </w:r>
    </w:p>
    <w:p w:rsidR="00352BFF" w:rsidRPr="0065521F" w:rsidRDefault="00352BFF" w:rsidP="0065521F">
      <w:pPr>
        <w:spacing w:line="360" w:lineRule="auto"/>
        <w:rPr>
          <w:rFonts w:ascii="宋体" w:hAnsi="宋体"/>
        </w:rPr>
      </w:pPr>
    </w:p>
    <w:p w:rsidR="00352BFF" w:rsidRPr="0065521F" w:rsidRDefault="00B12550" w:rsidP="0065521F">
      <w:pPr>
        <w:pStyle w:val="2"/>
        <w:spacing w:before="120" w:after="0" w:line="360" w:lineRule="auto"/>
        <w:rPr>
          <w:rFonts w:ascii="宋体" w:eastAsia="宋体" w:hAnsi="宋体"/>
          <w:sz w:val="24"/>
          <w:szCs w:val="24"/>
        </w:rPr>
      </w:pPr>
      <w:r w:rsidRPr="0065521F">
        <w:rPr>
          <w:rFonts w:ascii="宋体" w:eastAsia="宋体" w:hAnsi="宋体" w:hint="eastAsia"/>
          <w:sz w:val="24"/>
          <w:szCs w:val="24"/>
        </w:rPr>
        <w:t>五、</w:t>
      </w:r>
      <w:r w:rsidRPr="0065521F">
        <w:rPr>
          <w:rFonts w:ascii="宋体" w:eastAsia="宋体" w:hAnsi="宋体" w:hint="eastAsia"/>
          <w:sz w:val="24"/>
          <w:szCs w:val="24"/>
        </w:rPr>
        <w:t>服务要求</w:t>
      </w:r>
      <w:bookmarkStart w:id="16" w:name="_Toc26459"/>
      <w:bookmarkStart w:id="17" w:name="_Toc2190"/>
      <w:bookmarkStart w:id="18" w:name="_Toc3735"/>
      <w:bookmarkEnd w:id="11"/>
      <w:bookmarkEnd w:id="12"/>
      <w:bookmarkEnd w:id="13"/>
      <w:bookmarkEnd w:id="14"/>
      <w:bookmarkEnd w:id="15"/>
    </w:p>
    <w:p w:rsidR="00352BFF" w:rsidRPr="0065521F" w:rsidRDefault="00B12550" w:rsidP="0065521F">
      <w:pPr>
        <w:spacing w:line="360" w:lineRule="auto"/>
        <w:jc w:val="left"/>
        <w:rPr>
          <w:rFonts w:ascii="宋体" w:hAnsi="宋体" w:cs="宋体"/>
        </w:rPr>
      </w:pPr>
      <w:r w:rsidRPr="0065521F">
        <w:rPr>
          <w:rFonts w:ascii="宋体" w:hAnsi="宋体" w:cs="宋体" w:hint="eastAsia"/>
        </w:rPr>
        <w:t>以出具以下两个文本，并达到</w:t>
      </w:r>
      <w:r w:rsidR="0065521F">
        <w:rPr>
          <w:rFonts w:ascii="宋体" w:hAnsi="宋体" w:cs="宋体" w:hint="eastAsia"/>
        </w:rPr>
        <w:t>校方</w:t>
      </w:r>
      <w:r w:rsidRPr="0065521F">
        <w:rPr>
          <w:rFonts w:ascii="宋体" w:hAnsi="宋体" w:cs="宋体" w:hint="eastAsia"/>
        </w:rPr>
        <w:t>认可，作为完成履约和付款条件：</w:t>
      </w:r>
    </w:p>
    <w:p w:rsidR="00352BFF" w:rsidRPr="0065521F" w:rsidRDefault="00B12550" w:rsidP="0065521F">
      <w:pPr>
        <w:numPr>
          <w:ilvl w:val="0"/>
          <w:numId w:val="3"/>
        </w:numPr>
        <w:spacing w:line="360" w:lineRule="auto"/>
        <w:jc w:val="left"/>
        <w:rPr>
          <w:rFonts w:ascii="宋体" w:hAnsi="宋体" w:cs="宋体"/>
        </w:rPr>
      </w:pPr>
      <w:r w:rsidRPr="0065521F">
        <w:rPr>
          <w:rFonts w:ascii="宋体" w:hAnsi="宋体" w:cs="宋体" w:hint="eastAsia"/>
        </w:rPr>
        <w:t>《上海市建筑消防设施检测报告》</w:t>
      </w:r>
    </w:p>
    <w:p w:rsidR="00352BFF" w:rsidRPr="0065521F" w:rsidRDefault="00B12550" w:rsidP="0065521F">
      <w:pPr>
        <w:numPr>
          <w:ilvl w:val="0"/>
          <w:numId w:val="3"/>
        </w:numPr>
        <w:spacing w:line="360" w:lineRule="auto"/>
        <w:jc w:val="left"/>
        <w:rPr>
          <w:rFonts w:ascii="宋体" w:hAnsi="宋体" w:cs="宋体"/>
        </w:rPr>
      </w:pPr>
      <w:r w:rsidRPr="0065521F">
        <w:rPr>
          <w:rFonts w:ascii="宋体" w:hAnsi="宋体" w:cs="宋体" w:hint="eastAsia"/>
        </w:rPr>
        <w:t>《上海海事大学消防安全诊断报告》（该报告需客观体现</w:t>
      </w:r>
      <w:r w:rsidR="0065521F">
        <w:rPr>
          <w:rFonts w:ascii="宋体" w:hAnsi="宋体" w:cs="宋体" w:hint="eastAsia"/>
        </w:rPr>
        <w:t>校方</w:t>
      </w:r>
      <w:r w:rsidRPr="0065521F">
        <w:rPr>
          <w:rFonts w:ascii="宋体" w:hAnsi="宋体" w:cs="宋体" w:hint="eastAsia"/>
        </w:rPr>
        <w:t>各消防系统的现状、问题及完善措施）；</w:t>
      </w:r>
    </w:p>
    <w:p w:rsidR="00352BFF" w:rsidRPr="0065521F" w:rsidRDefault="00B12550" w:rsidP="0065521F">
      <w:pPr>
        <w:spacing w:line="360" w:lineRule="auto"/>
        <w:jc w:val="left"/>
        <w:rPr>
          <w:rFonts w:ascii="宋体" w:hAnsi="宋体" w:cs="宋体"/>
        </w:rPr>
      </w:pPr>
      <w:r w:rsidRPr="0065521F">
        <w:rPr>
          <w:rFonts w:ascii="宋体" w:hAnsi="宋体" w:cs="宋体" w:hint="eastAsia"/>
          <w:b/>
        </w:rPr>
        <w:t>注：</w:t>
      </w:r>
      <w:r w:rsidRPr="0065521F">
        <w:rPr>
          <w:rFonts w:ascii="宋体" w:hAnsi="宋体" w:cs="宋体" w:hint="eastAsia"/>
          <w:b/>
        </w:rPr>
        <w:t>以上</w:t>
      </w:r>
      <w:r w:rsidRPr="0065521F">
        <w:rPr>
          <w:rFonts w:ascii="宋体" w:hAnsi="宋体" w:hint="eastAsia"/>
          <w:b/>
        </w:rPr>
        <w:t>检测工作必须符合国家相关行业法律法规的标准和要求。</w:t>
      </w:r>
    </w:p>
    <w:p w:rsidR="00352BFF" w:rsidRPr="0065521F" w:rsidRDefault="00B12550" w:rsidP="0065521F">
      <w:pPr>
        <w:pStyle w:val="2"/>
        <w:spacing w:before="120" w:after="0" w:line="360" w:lineRule="auto"/>
        <w:rPr>
          <w:rFonts w:ascii="宋体" w:eastAsia="宋体" w:hAnsi="宋体"/>
          <w:sz w:val="24"/>
          <w:szCs w:val="24"/>
        </w:rPr>
      </w:pPr>
      <w:bookmarkStart w:id="19" w:name="_Toc27373"/>
      <w:bookmarkStart w:id="20" w:name="_Toc14845"/>
      <w:r w:rsidRPr="0065521F">
        <w:rPr>
          <w:rFonts w:ascii="宋体" w:eastAsia="宋体" w:hAnsi="宋体" w:hint="eastAsia"/>
          <w:sz w:val="24"/>
          <w:szCs w:val="24"/>
        </w:rPr>
        <w:t>六、</w:t>
      </w:r>
      <w:r w:rsidRPr="0065521F">
        <w:rPr>
          <w:rFonts w:ascii="宋体" w:eastAsia="宋体" w:hAnsi="宋体" w:hint="eastAsia"/>
          <w:sz w:val="24"/>
          <w:szCs w:val="24"/>
        </w:rPr>
        <w:t>其它要求</w:t>
      </w:r>
      <w:bookmarkEnd w:id="19"/>
      <w:bookmarkEnd w:id="20"/>
    </w:p>
    <w:p w:rsidR="00352BFF" w:rsidRPr="0065521F" w:rsidRDefault="00B12550" w:rsidP="0065521F">
      <w:pPr>
        <w:pStyle w:val="a3"/>
        <w:spacing w:line="360" w:lineRule="auto"/>
        <w:rPr>
          <w:rFonts w:ascii="宋体" w:hAnsi="宋体" w:cs="宋体"/>
        </w:rPr>
      </w:pPr>
      <w:r w:rsidRPr="0065521F">
        <w:rPr>
          <w:rFonts w:ascii="宋体" w:hAnsi="宋体" w:cs="宋体" w:hint="eastAsia"/>
        </w:rPr>
        <w:t>1.</w:t>
      </w:r>
      <w:r w:rsidRPr="0065521F">
        <w:rPr>
          <w:rFonts w:ascii="宋体" w:hAnsi="宋体" w:cs="宋体" w:hint="eastAsia"/>
        </w:rPr>
        <w:t>投标单位须具有建筑消防检测资质。</w:t>
      </w:r>
    </w:p>
    <w:p w:rsidR="00352BFF" w:rsidRPr="0065521F" w:rsidRDefault="00B12550" w:rsidP="0065521F">
      <w:pPr>
        <w:spacing w:line="360" w:lineRule="auto"/>
        <w:jc w:val="left"/>
        <w:rPr>
          <w:rFonts w:ascii="宋体" w:hAnsi="宋体" w:cs="宋体"/>
        </w:rPr>
      </w:pPr>
      <w:r w:rsidRPr="0065521F">
        <w:rPr>
          <w:rFonts w:ascii="宋体" w:hAnsi="宋体" w:cs="宋体" w:hint="eastAsia"/>
        </w:rPr>
        <w:t>2.</w:t>
      </w:r>
      <w:r w:rsidRPr="0065521F">
        <w:rPr>
          <w:rFonts w:ascii="宋体" w:hAnsi="宋体" w:cs="宋体" w:hint="eastAsia"/>
        </w:rPr>
        <w:t>投标单位须具有良好的售后服务体系，在本市有固定的服务网点和专业人员，且能提供良好的技术支持和售后服务保障能力。</w:t>
      </w:r>
    </w:p>
    <w:p w:rsidR="00352BFF" w:rsidRPr="0065521F" w:rsidRDefault="00B12550" w:rsidP="0065521F">
      <w:pPr>
        <w:spacing w:line="360" w:lineRule="auto"/>
        <w:jc w:val="left"/>
        <w:rPr>
          <w:rFonts w:ascii="宋体" w:hAnsi="宋体" w:cs="宋体"/>
        </w:rPr>
      </w:pPr>
      <w:r w:rsidRPr="0065521F">
        <w:rPr>
          <w:rFonts w:ascii="宋体" w:hAnsi="宋体" w:cs="宋体" w:hint="eastAsia"/>
        </w:rPr>
        <w:t>3.</w:t>
      </w:r>
      <w:r w:rsidRPr="0065521F">
        <w:rPr>
          <w:rFonts w:ascii="宋体" w:hAnsi="宋体" w:cs="宋体" w:hint="eastAsia"/>
        </w:rPr>
        <w:t>该项目限于</w:t>
      </w:r>
      <w:r w:rsidRPr="0065521F">
        <w:rPr>
          <w:rFonts w:ascii="宋体" w:hAnsi="宋体" w:cs="宋体" w:hint="eastAsia"/>
        </w:rPr>
        <w:t>2020</w:t>
      </w:r>
      <w:r w:rsidRPr="0065521F">
        <w:rPr>
          <w:rFonts w:ascii="宋体" w:hAnsi="宋体" w:cs="宋体" w:hint="eastAsia"/>
        </w:rPr>
        <w:t>年</w:t>
      </w:r>
      <w:r w:rsidRPr="0065521F">
        <w:rPr>
          <w:rFonts w:ascii="宋体" w:hAnsi="宋体" w:cs="宋体" w:hint="eastAsia"/>
        </w:rPr>
        <w:t>11</w:t>
      </w:r>
      <w:r w:rsidRPr="0065521F">
        <w:rPr>
          <w:rFonts w:ascii="宋体" w:hAnsi="宋体" w:cs="宋体" w:hint="eastAsia"/>
        </w:rPr>
        <w:t>月</w:t>
      </w:r>
      <w:r w:rsidRPr="0065521F">
        <w:rPr>
          <w:rFonts w:ascii="宋体" w:hAnsi="宋体" w:cs="宋体" w:hint="eastAsia"/>
        </w:rPr>
        <w:t>20</w:t>
      </w:r>
      <w:r w:rsidRPr="0065521F">
        <w:rPr>
          <w:rFonts w:ascii="宋体" w:hAnsi="宋体" w:cs="宋体" w:hint="eastAsia"/>
        </w:rPr>
        <w:t>日前完成。</w:t>
      </w:r>
    </w:p>
    <w:p w:rsidR="00352BFF" w:rsidRPr="0065521F" w:rsidRDefault="00B12550" w:rsidP="0065521F">
      <w:pPr>
        <w:spacing w:line="360" w:lineRule="auto"/>
        <w:jc w:val="left"/>
        <w:rPr>
          <w:rFonts w:ascii="宋体" w:hAnsi="宋体" w:cs="宋体"/>
        </w:rPr>
      </w:pPr>
      <w:r w:rsidRPr="0065521F">
        <w:rPr>
          <w:rFonts w:ascii="宋体" w:hAnsi="宋体" w:cs="宋体" w:hint="eastAsia"/>
        </w:rPr>
        <w:t>4.</w:t>
      </w:r>
      <w:r w:rsidRPr="0065521F">
        <w:rPr>
          <w:rFonts w:ascii="宋体" w:hAnsi="宋体" w:cs="宋体" w:hint="eastAsia"/>
        </w:rPr>
        <w:t>投标人近</w:t>
      </w:r>
      <w:r w:rsidRPr="0065521F">
        <w:rPr>
          <w:rFonts w:ascii="宋体" w:hAnsi="宋体" w:cs="宋体" w:hint="eastAsia"/>
        </w:rPr>
        <w:t>3</w:t>
      </w:r>
      <w:r w:rsidRPr="0065521F">
        <w:rPr>
          <w:rFonts w:ascii="宋体" w:hAnsi="宋体" w:cs="宋体" w:hint="eastAsia"/>
        </w:rPr>
        <w:t>年须有本市高校检测案例。</w:t>
      </w:r>
    </w:p>
    <w:p w:rsidR="00352BFF" w:rsidRPr="0065521F" w:rsidRDefault="00B12550" w:rsidP="0065521F">
      <w:pPr>
        <w:spacing w:line="360" w:lineRule="auto"/>
        <w:jc w:val="left"/>
        <w:rPr>
          <w:rFonts w:ascii="宋体" w:hAnsi="宋体"/>
        </w:rPr>
      </w:pPr>
      <w:r w:rsidRPr="0065521F">
        <w:rPr>
          <w:rFonts w:ascii="宋体" w:hAnsi="宋体" w:cs="宋体" w:hint="eastAsia"/>
        </w:rPr>
        <w:t>5.</w:t>
      </w:r>
      <w:r w:rsidRPr="0065521F">
        <w:rPr>
          <w:rFonts w:ascii="宋体" w:hAnsi="宋体" w:cs="宋体" w:hint="eastAsia"/>
        </w:rPr>
        <w:t>本次招标限定价格为</w:t>
      </w:r>
      <w:r w:rsidRPr="0065521F">
        <w:rPr>
          <w:rFonts w:ascii="宋体" w:hAnsi="宋体" w:cs="宋体" w:hint="eastAsia"/>
        </w:rPr>
        <w:t>19.5</w:t>
      </w:r>
      <w:r w:rsidRPr="0065521F">
        <w:rPr>
          <w:rFonts w:ascii="宋体" w:hAnsi="宋体" w:cs="宋体" w:hint="eastAsia"/>
        </w:rPr>
        <w:t>万元。</w:t>
      </w:r>
      <w:bookmarkEnd w:id="16"/>
      <w:bookmarkEnd w:id="17"/>
      <w:bookmarkEnd w:id="18"/>
    </w:p>
    <w:sectPr w:rsidR="00352BFF" w:rsidRPr="0065521F" w:rsidSect="00CC55C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550" w:rsidRDefault="00B12550" w:rsidP="00CC55C9">
      <w:r>
        <w:separator/>
      </w:r>
    </w:p>
  </w:endnote>
  <w:endnote w:type="continuationSeparator" w:id="1">
    <w:p w:rsidR="00B12550" w:rsidRDefault="00B12550" w:rsidP="00CC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34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550" w:rsidRDefault="00B12550" w:rsidP="00CC55C9">
      <w:r>
        <w:separator/>
      </w:r>
    </w:p>
  </w:footnote>
  <w:footnote w:type="continuationSeparator" w:id="1">
    <w:p w:rsidR="00B12550" w:rsidRDefault="00B12550" w:rsidP="00CC5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48461FEC"/>
    <w:lvl w:ilvl="0" w:tplc="E93EA8DC">
      <w:start w:val="4"/>
      <w:numFmt w:val="chineseCounting"/>
      <w:suff w:val="nothing"/>
      <w:lvlText w:val="%1、"/>
      <w:lvlJc w:val="left"/>
      <w:rPr>
        <w:rFonts w:hint="eastAsia"/>
      </w:rPr>
    </w:lvl>
    <w:lvl w:ilvl="1" w:tplc="9348AA16">
      <w:numFmt w:val="none"/>
      <w:lvlText w:val=""/>
      <w:lvlJc w:val="left"/>
      <w:pPr>
        <w:tabs>
          <w:tab w:val="num" w:pos="360"/>
        </w:tabs>
      </w:pPr>
    </w:lvl>
    <w:lvl w:ilvl="2" w:tplc="AFC0E73A">
      <w:numFmt w:val="none"/>
      <w:lvlText w:val=""/>
      <w:lvlJc w:val="left"/>
      <w:pPr>
        <w:tabs>
          <w:tab w:val="num" w:pos="360"/>
        </w:tabs>
      </w:pPr>
    </w:lvl>
    <w:lvl w:ilvl="3" w:tplc="5176AB5E">
      <w:numFmt w:val="none"/>
      <w:lvlText w:val=""/>
      <w:lvlJc w:val="left"/>
      <w:pPr>
        <w:tabs>
          <w:tab w:val="num" w:pos="360"/>
        </w:tabs>
      </w:pPr>
    </w:lvl>
    <w:lvl w:ilvl="4" w:tplc="B4EC3C32">
      <w:numFmt w:val="none"/>
      <w:lvlText w:val=""/>
      <w:lvlJc w:val="left"/>
      <w:pPr>
        <w:tabs>
          <w:tab w:val="num" w:pos="360"/>
        </w:tabs>
      </w:pPr>
    </w:lvl>
    <w:lvl w:ilvl="5" w:tplc="D1E612E6">
      <w:numFmt w:val="none"/>
      <w:lvlText w:val=""/>
      <w:lvlJc w:val="left"/>
      <w:pPr>
        <w:tabs>
          <w:tab w:val="num" w:pos="360"/>
        </w:tabs>
      </w:pPr>
    </w:lvl>
    <w:lvl w:ilvl="6" w:tplc="797640A8">
      <w:numFmt w:val="none"/>
      <w:lvlText w:val=""/>
      <w:lvlJc w:val="left"/>
      <w:pPr>
        <w:tabs>
          <w:tab w:val="num" w:pos="360"/>
        </w:tabs>
      </w:pPr>
    </w:lvl>
    <w:lvl w:ilvl="7" w:tplc="E5D0FC8E">
      <w:numFmt w:val="none"/>
      <w:lvlText w:val=""/>
      <w:lvlJc w:val="left"/>
      <w:pPr>
        <w:tabs>
          <w:tab w:val="num" w:pos="360"/>
        </w:tabs>
      </w:pPr>
    </w:lvl>
    <w:lvl w:ilvl="8" w:tplc="687CD3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00001"/>
    <w:multiLevelType w:val="hybridMultilevel"/>
    <w:tmpl w:val="EC22919E"/>
    <w:lvl w:ilvl="0" w:tplc="F7EEEF4A">
      <w:start w:val="1"/>
      <w:numFmt w:val="decimal"/>
      <w:lvlText w:val="%1."/>
      <w:lvlJc w:val="left"/>
      <w:pPr>
        <w:tabs>
          <w:tab w:val="left" w:pos="312"/>
        </w:tabs>
      </w:pPr>
    </w:lvl>
    <w:lvl w:ilvl="1" w:tplc="6ECCF5AE">
      <w:numFmt w:val="none"/>
      <w:lvlText w:val=""/>
      <w:lvlJc w:val="left"/>
      <w:pPr>
        <w:tabs>
          <w:tab w:val="num" w:pos="360"/>
        </w:tabs>
      </w:pPr>
    </w:lvl>
    <w:lvl w:ilvl="2" w:tplc="98E8946C">
      <w:numFmt w:val="none"/>
      <w:lvlText w:val=""/>
      <w:lvlJc w:val="left"/>
      <w:pPr>
        <w:tabs>
          <w:tab w:val="num" w:pos="360"/>
        </w:tabs>
      </w:pPr>
    </w:lvl>
    <w:lvl w:ilvl="3" w:tplc="9DF2CDC4">
      <w:numFmt w:val="none"/>
      <w:lvlText w:val=""/>
      <w:lvlJc w:val="left"/>
      <w:pPr>
        <w:tabs>
          <w:tab w:val="num" w:pos="360"/>
        </w:tabs>
      </w:pPr>
    </w:lvl>
    <w:lvl w:ilvl="4" w:tplc="4F86500E">
      <w:numFmt w:val="none"/>
      <w:lvlText w:val=""/>
      <w:lvlJc w:val="left"/>
      <w:pPr>
        <w:tabs>
          <w:tab w:val="num" w:pos="360"/>
        </w:tabs>
      </w:pPr>
    </w:lvl>
    <w:lvl w:ilvl="5" w:tplc="AE0EEF32">
      <w:numFmt w:val="none"/>
      <w:lvlText w:val=""/>
      <w:lvlJc w:val="left"/>
      <w:pPr>
        <w:tabs>
          <w:tab w:val="num" w:pos="360"/>
        </w:tabs>
      </w:pPr>
    </w:lvl>
    <w:lvl w:ilvl="6" w:tplc="1B5ACE98">
      <w:numFmt w:val="none"/>
      <w:lvlText w:val=""/>
      <w:lvlJc w:val="left"/>
      <w:pPr>
        <w:tabs>
          <w:tab w:val="num" w:pos="360"/>
        </w:tabs>
      </w:pPr>
    </w:lvl>
    <w:lvl w:ilvl="7" w:tplc="217E53CE">
      <w:numFmt w:val="none"/>
      <w:lvlText w:val=""/>
      <w:lvlJc w:val="left"/>
      <w:pPr>
        <w:tabs>
          <w:tab w:val="num" w:pos="360"/>
        </w:tabs>
      </w:pPr>
    </w:lvl>
    <w:lvl w:ilvl="8" w:tplc="89A6392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000002"/>
    <w:multiLevelType w:val="hybridMultilevel"/>
    <w:tmpl w:val="15141DEE"/>
    <w:lvl w:ilvl="0" w:tplc="B2B45444">
      <w:start w:val="2"/>
      <w:numFmt w:val="upperLetter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1" w:tplc="0DEEB10E">
      <w:numFmt w:val="none"/>
      <w:lvlText w:val=""/>
      <w:lvlJc w:val="left"/>
      <w:pPr>
        <w:tabs>
          <w:tab w:val="num" w:pos="360"/>
        </w:tabs>
      </w:pPr>
    </w:lvl>
    <w:lvl w:ilvl="2" w:tplc="F334D4F2">
      <w:numFmt w:val="none"/>
      <w:lvlText w:val=""/>
      <w:lvlJc w:val="left"/>
      <w:pPr>
        <w:tabs>
          <w:tab w:val="num" w:pos="360"/>
        </w:tabs>
      </w:pPr>
    </w:lvl>
    <w:lvl w:ilvl="3" w:tplc="D8A001C6">
      <w:numFmt w:val="none"/>
      <w:lvlText w:val=""/>
      <w:lvlJc w:val="left"/>
      <w:pPr>
        <w:tabs>
          <w:tab w:val="num" w:pos="360"/>
        </w:tabs>
      </w:pPr>
    </w:lvl>
    <w:lvl w:ilvl="4" w:tplc="8C1C75D8">
      <w:numFmt w:val="none"/>
      <w:lvlText w:val=""/>
      <w:lvlJc w:val="left"/>
      <w:pPr>
        <w:tabs>
          <w:tab w:val="num" w:pos="360"/>
        </w:tabs>
      </w:pPr>
    </w:lvl>
    <w:lvl w:ilvl="5" w:tplc="551682D0">
      <w:numFmt w:val="none"/>
      <w:lvlText w:val=""/>
      <w:lvlJc w:val="left"/>
      <w:pPr>
        <w:tabs>
          <w:tab w:val="num" w:pos="360"/>
        </w:tabs>
      </w:pPr>
    </w:lvl>
    <w:lvl w:ilvl="6" w:tplc="F65CE630">
      <w:numFmt w:val="none"/>
      <w:lvlText w:val=""/>
      <w:lvlJc w:val="left"/>
      <w:pPr>
        <w:tabs>
          <w:tab w:val="num" w:pos="360"/>
        </w:tabs>
      </w:pPr>
    </w:lvl>
    <w:lvl w:ilvl="7" w:tplc="823829C8">
      <w:numFmt w:val="none"/>
      <w:lvlText w:val=""/>
      <w:lvlJc w:val="left"/>
      <w:pPr>
        <w:tabs>
          <w:tab w:val="num" w:pos="360"/>
        </w:tabs>
      </w:pPr>
    </w:lvl>
    <w:lvl w:ilvl="8" w:tplc="492215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352BFF"/>
    <w:rsid w:val="00352BFF"/>
    <w:rsid w:val="0065521F"/>
    <w:rsid w:val="00B12550"/>
    <w:rsid w:val="00CC55C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BFF"/>
    <w:pPr>
      <w:jc w:val="both"/>
    </w:pPr>
    <w:rPr>
      <w:sz w:val="21"/>
      <w:szCs w:val="21"/>
    </w:rPr>
  </w:style>
  <w:style w:type="paragraph" w:styleId="1">
    <w:name w:val="heading 1"/>
    <w:basedOn w:val="a"/>
    <w:next w:val="a"/>
    <w:uiPriority w:val="7"/>
    <w:qFormat/>
    <w:rsid w:val="00352BFF"/>
    <w:pPr>
      <w:tabs>
        <w:tab w:val="left" w:pos="1350"/>
      </w:tabs>
      <w:ind w:left="1350" w:hanging="720"/>
      <w:jc w:val="left"/>
      <w:outlineLvl w:val="0"/>
    </w:pPr>
    <w:rPr>
      <w:rFonts w:ascii="仿宋_GB2312" w:eastAsia="仿宋_GB2312"/>
      <w:sz w:val="24"/>
      <w:szCs w:val="24"/>
    </w:rPr>
  </w:style>
  <w:style w:type="paragraph" w:styleId="2">
    <w:name w:val="heading 2"/>
    <w:basedOn w:val="a"/>
    <w:next w:val="a"/>
    <w:uiPriority w:val="8"/>
    <w:qFormat/>
    <w:rsid w:val="00352BFF"/>
    <w:pPr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52BFF"/>
    <w:pPr>
      <w:jc w:val="left"/>
    </w:pPr>
  </w:style>
  <w:style w:type="paragraph" w:styleId="a4">
    <w:name w:val="header"/>
    <w:basedOn w:val="a"/>
    <w:link w:val="Char"/>
    <w:uiPriority w:val="99"/>
    <w:semiHidden/>
    <w:unhideWhenUsed/>
    <w:rsid w:val="00CC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55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55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4617</Characters>
  <Application>Microsoft Office Word</Application>
  <DocSecurity>0</DocSecurity>
  <Lines>38</Lines>
  <Paragraphs>10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仲杰</cp:lastModifiedBy>
  <cp:revision>5</cp:revision>
  <dcterms:created xsi:type="dcterms:W3CDTF">2020-10-13T04:52:00Z</dcterms:created>
  <dcterms:modified xsi:type="dcterms:W3CDTF">2020-10-13T05:11:00Z</dcterms:modified>
</cp:coreProperties>
</file>