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2D282B">
      <w:pPr>
        <w:jc w:val="center"/>
        <w:rPr>
          <w:rFonts w:hint="eastAsia" w:ascii="方正兰亭黑简体" w:hAnsi="方正兰亭黑简体" w:eastAsia="方正兰亭黑简体" w:cs="方正兰亭黑简体"/>
          <w:b/>
          <w:bCs/>
          <w:color w:val="auto"/>
          <w:sz w:val="28"/>
          <w:szCs w:val="36"/>
          <w:highlight w:val="none"/>
        </w:rPr>
      </w:pPr>
    </w:p>
    <w:p w14:paraId="006AC946">
      <w:pPr>
        <w:jc w:val="center"/>
        <w:rPr>
          <w:rFonts w:hint="eastAsia" w:ascii="方正兰亭黑简体" w:hAnsi="方正兰亭黑简体" w:eastAsia="方正兰亭黑简体" w:cs="方正兰亭黑简体"/>
          <w:b/>
          <w:bCs/>
          <w:color w:val="auto"/>
          <w:sz w:val="28"/>
          <w:szCs w:val="36"/>
          <w:highlight w:val="none"/>
        </w:rPr>
      </w:pPr>
    </w:p>
    <w:p w14:paraId="1BB83921">
      <w:pPr>
        <w:jc w:val="center"/>
        <w:rPr>
          <w:rFonts w:hint="eastAsia" w:ascii="方正兰亭黑简体" w:hAnsi="方正兰亭黑简体" w:eastAsia="方正兰亭黑简体" w:cs="方正兰亭黑简体"/>
          <w:b/>
          <w:bCs/>
          <w:color w:val="auto"/>
          <w:sz w:val="28"/>
          <w:szCs w:val="36"/>
          <w:highlight w:val="none"/>
        </w:rPr>
      </w:pPr>
    </w:p>
    <w:p w14:paraId="05747166">
      <w:pPr>
        <w:jc w:val="center"/>
        <w:rPr>
          <w:rFonts w:hint="eastAsia" w:ascii="方正兰亭黑简体" w:hAnsi="方正兰亭黑简体" w:eastAsia="方正兰亭黑简体" w:cs="方正兰亭黑简体"/>
          <w:b/>
          <w:bCs/>
          <w:color w:val="auto"/>
          <w:sz w:val="28"/>
          <w:szCs w:val="28"/>
          <w:highlight w:val="none"/>
          <w:lang w:eastAsia="zh-CN"/>
        </w:rPr>
      </w:pPr>
      <w:r>
        <w:rPr>
          <w:rFonts w:hint="eastAsia" w:ascii="方正兰亭黑简体" w:hAnsi="方正兰亭黑简体" w:eastAsia="方正兰亭黑简体" w:cs="方正兰亭黑简体"/>
          <w:b/>
          <w:bCs/>
          <w:color w:val="auto"/>
          <w:sz w:val="28"/>
          <w:szCs w:val="28"/>
          <w:highlight w:val="none"/>
          <w:lang w:eastAsia="zh-CN"/>
        </w:rPr>
        <w:t>氨柴双燃料中速机运行参数测试</w:t>
      </w:r>
    </w:p>
    <w:p w14:paraId="5F2EFCD4">
      <w:pPr>
        <w:jc w:val="center"/>
        <w:rPr>
          <w:rFonts w:hint="eastAsia" w:ascii="方正兰亭黑简体" w:hAnsi="方正兰亭黑简体" w:eastAsia="方正兰亭黑简体" w:cs="方正兰亭黑简体"/>
          <w:b/>
          <w:bCs/>
          <w:color w:val="auto"/>
          <w:sz w:val="28"/>
          <w:szCs w:val="28"/>
          <w:highlight w:val="none"/>
        </w:rPr>
      </w:pPr>
      <w:r>
        <w:rPr>
          <w:rFonts w:hint="eastAsia" w:ascii="方正兰亭黑简体" w:hAnsi="方正兰亭黑简体" w:eastAsia="方正兰亭黑简体" w:cs="方正兰亭黑简体"/>
          <w:b/>
          <w:bCs/>
          <w:color w:val="auto"/>
          <w:sz w:val="28"/>
          <w:szCs w:val="28"/>
          <w:highlight w:val="none"/>
        </w:rPr>
        <w:t>比选文件</w:t>
      </w:r>
    </w:p>
    <w:p w14:paraId="28A63E00">
      <w:pPr>
        <w:jc w:val="center"/>
        <w:rPr>
          <w:rFonts w:hint="eastAsia" w:ascii="方正兰亭黑简体" w:hAnsi="方正兰亭黑简体" w:eastAsia="方正兰亭黑简体" w:cs="方正兰亭黑简体"/>
          <w:b/>
          <w:bCs/>
          <w:color w:val="auto"/>
          <w:sz w:val="28"/>
          <w:szCs w:val="28"/>
          <w:highlight w:val="none"/>
        </w:rPr>
      </w:pPr>
    </w:p>
    <w:p w14:paraId="0CA5543B">
      <w:pPr>
        <w:jc w:val="center"/>
        <w:rPr>
          <w:rFonts w:hint="eastAsia" w:ascii="方正兰亭黑简体" w:hAnsi="方正兰亭黑简体" w:eastAsia="方正兰亭黑简体" w:cs="方正兰亭黑简体"/>
          <w:b/>
          <w:bCs/>
          <w:color w:val="auto"/>
          <w:sz w:val="28"/>
          <w:szCs w:val="28"/>
          <w:highlight w:val="none"/>
        </w:rPr>
      </w:pPr>
    </w:p>
    <w:p w14:paraId="3D9D00D3">
      <w:pPr>
        <w:jc w:val="center"/>
        <w:rPr>
          <w:rFonts w:hint="default" w:ascii="方正兰亭黑简体" w:hAnsi="方正兰亭黑简体" w:eastAsia="方正兰亭黑简体" w:cs="方正兰亭黑简体"/>
          <w:b/>
          <w:bCs/>
          <w:color w:val="auto"/>
          <w:sz w:val="28"/>
          <w:szCs w:val="28"/>
          <w:highlight w:val="none"/>
          <w:lang w:val="en-US" w:eastAsia="zh-CN"/>
        </w:rPr>
      </w:pPr>
      <w:r>
        <w:rPr>
          <w:rFonts w:hint="eastAsia" w:ascii="方正兰亭黑简体" w:hAnsi="方正兰亭黑简体" w:eastAsia="方正兰亭黑简体" w:cs="方正兰亭黑简体"/>
          <w:b/>
          <w:bCs/>
          <w:color w:val="auto"/>
          <w:sz w:val="28"/>
          <w:szCs w:val="28"/>
          <w:highlight w:val="none"/>
        </w:rPr>
        <w:t>项目编号：</w:t>
      </w:r>
      <w:r>
        <w:rPr>
          <w:rFonts w:hint="eastAsia" w:ascii="方正兰亭黑简体" w:hAnsi="方正兰亭黑简体" w:eastAsia="方正兰亭黑简体" w:cs="方正兰亭黑简体"/>
          <w:color w:val="auto"/>
          <w:sz w:val="28"/>
          <w:szCs w:val="28"/>
          <w:highlight w:val="none"/>
          <w:lang w:eastAsia="zh-CN"/>
        </w:rPr>
        <w:t>HFBX2026085</w:t>
      </w:r>
    </w:p>
    <w:p w14:paraId="4B356AA1">
      <w:pPr>
        <w:jc w:val="center"/>
        <w:rPr>
          <w:rFonts w:hint="eastAsia" w:ascii="方正兰亭黑简体" w:hAnsi="方正兰亭黑简体" w:eastAsia="方正兰亭黑简体" w:cs="方正兰亭黑简体"/>
          <w:b/>
          <w:bCs/>
          <w:color w:val="auto"/>
          <w:sz w:val="24"/>
          <w:szCs w:val="32"/>
          <w:highlight w:val="none"/>
        </w:rPr>
      </w:pPr>
    </w:p>
    <w:p w14:paraId="5B48835F">
      <w:pPr>
        <w:jc w:val="center"/>
        <w:rPr>
          <w:rFonts w:hint="eastAsia" w:ascii="方正兰亭黑简体" w:hAnsi="方正兰亭黑简体" w:eastAsia="方正兰亭黑简体" w:cs="方正兰亭黑简体"/>
          <w:b/>
          <w:bCs/>
          <w:color w:val="auto"/>
          <w:sz w:val="24"/>
          <w:szCs w:val="32"/>
          <w:highlight w:val="none"/>
        </w:rPr>
      </w:pPr>
    </w:p>
    <w:p w14:paraId="07E4A809">
      <w:pPr>
        <w:jc w:val="center"/>
        <w:rPr>
          <w:rFonts w:hint="eastAsia" w:ascii="方正兰亭黑简体" w:hAnsi="方正兰亭黑简体" w:eastAsia="方正兰亭黑简体" w:cs="方正兰亭黑简体"/>
          <w:b/>
          <w:bCs/>
          <w:color w:val="auto"/>
          <w:sz w:val="24"/>
          <w:szCs w:val="32"/>
          <w:highlight w:val="none"/>
        </w:rPr>
      </w:pPr>
    </w:p>
    <w:p w14:paraId="6A0F108C">
      <w:pPr>
        <w:jc w:val="center"/>
        <w:rPr>
          <w:rFonts w:hint="eastAsia" w:ascii="方正兰亭黑简体" w:hAnsi="方正兰亭黑简体" w:eastAsia="方正兰亭黑简体" w:cs="方正兰亭黑简体"/>
          <w:b/>
          <w:bCs/>
          <w:color w:val="auto"/>
          <w:sz w:val="24"/>
          <w:szCs w:val="32"/>
          <w:highlight w:val="none"/>
        </w:rPr>
      </w:pPr>
    </w:p>
    <w:p w14:paraId="5EFABC4D">
      <w:pPr>
        <w:jc w:val="center"/>
        <w:rPr>
          <w:rFonts w:hint="eastAsia" w:ascii="方正兰亭黑简体" w:hAnsi="方正兰亭黑简体" w:eastAsia="方正兰亭黑简体" w:cs="方正兰亭黑简体"/>
          <w:b/>
          <w:bCs/>
          <w:color w:val="auto"/>
          <w:sz w:val="24"/>
          <w:szCs w:val="32"/>
          <w:highlight w:val="none"/>
        </w:rPr>
      </w:pPr>
    </w:p>
    <w:p w14:paraId="5416AFF6">
      <w:pPr>
        <w:jc w:val="center"/>
        <w:rPr>
          <w:rFonts w:hint="eastAsia" w:ascii="方正兰亭黑简体" w:hAnsi="方正兰亭黑简体" w:eastAsia="方正兰亭黑简体" w:cs="方正兰亭黑简体"/>
          <w:b/>
          <w:bCs/>
          <w:color w:val="auto"/>
          <w:sz w:val="24"/>
          <w:szCs w:val="32"/>
          <w:highlight w:val="none"/>
        </w:rPr>
      </w:pPr>
    </w:p>
    <w:p w14:paraId="05694FFB">
      <w:pPr>
        <w:jc w:val="center"/>
        <w:rPr>
          <w:rFonts w:hint="eastAsia" w:ascii="方正兰亭黑简体" w:hAnsi="方正兰亭黑简体" w:eastAsia="方正兰亭黑简体" w:cs="方正兰亭黑简体"/>
          <w:b/>
          <w:bCs/>
          <w:color w:val="auto"/>
          <w:sz w:val="24"/>
          <w:szCs w:val="32"/>
          <w:highlight w:val="none"/>
        </w:rPr>
      </w:pPr>
    </w:p>
    <w:p w14:paraId="342DFAF8">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采购人：上海海事大学</w:t>
      </w:r>
    </w:p>
    <w:p w14:paraId="6301CB11">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二〇二六年</w:t>
      </w:r>
      <w:r>
        <w:rPr>
          <w:rFonts w:hint="eastAsia" w:ascii="方正兰亭黑简体" w:hAnsi="方正兰亭黑简体" w:eastAsia="方正兰亭黑简体" w:cs="方正兰亭黑简体"/>
          <w:b/>
          <w:bCs/>
          <w:color w:val="auto"/>
          <w:sz w:val="24"/>
          <w:szCs w:val="32"/>
          <w:highlight w:val="none"/>
          <w:lang w:val="en-US" w:eastAsia="zh-CN"/>
        </w:rPr>
        <w:t>九</w:t>
      </w:r>
      <w:r>
        <w:rPr>
          <w:rFonts w:hint="eastAsia" w:ascii="方正兰亭黑简体" w:hAnsi="方正兰亭黑简体" w:eastAsia="方正兰亭黑简体" w:cs="方正兰亭黑简体"/>
          <w:b/>
          <w:bCs/>
          <w:color w:val="auto"/>
          <w:sz w:val="24"/>
          <w:szCs w:val="32"/>
          <w:highlight w:val="none"/>
        </w:rPr>
        <w:t>月</w:t>
      </w:r>
    </w:p>
    <w:p w14:paraId="56D8363F">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3FA5FE61">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第一章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比选公告</w:t>
      </w:r>
    </w:p>
    <w:p w14:paraId="5E1CB3DE">
      <w:pPr>
        <w:ind w:firstLine="440" w:firstLineChars="200"/>
        <w:jc w:val="left"/>
        <w:rPr>
          <w:rFonts w:hint="eastAsia" w:ascii="方正兰亭黑简体" w:hAnsi="方正兰亭黑简体" w:eastAsia="方正兰亭黑简体" w:cs="方正兰亭黑简体"/>
          <w:color w:val="auto"/>
          <w:sz w:val="22"/>
          <w:szCs w:val="28"/>
          <w:highlight w:val="none"/>
        </w:rPr>
      </w:pPr>
      <w:bookmarkStart w:id="6" w:name="_GoBack"/>
      <w:r>
        <w:rPr>
          <w:rFonts w:hint="eastAsia" w:ascii="方正兰亭黑简体" w:hAnsi="方正兰亭黑简体" w:eastAsia="方正兰亭黑简体" w:cs="方正兰亭黑简体"/>
          <w:color w:val="auto"/>
          <w:sz w:val="22"/>
          <w:szCs w:val="28"/>
          <w:highlight w:val="none"/>
        </w:rPr>
        <w:t>为公开、公正、公平地做好各项货物与服务的采购工作，进一步提高采购过程的透明度，有利于我校选择性价比更高的产品及更优质的服务，欢迎各供应单位本着务实友好的工作态度，积极参与，并做好成本核算，进行一次性报价。我校将本着公开、公正、公平的工作原则，对各供应单位所提供的资料，进行综合评议，择优选购。为确保本次比选采购项目采购工作的顺利开展，请各报价单位按照下述要求提供报价单等相关资料。具体要求及相关注意事项如下：</w:t>
      </w:r>
    </w:p>
    <w:p w14:paraId="0E2D2351">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一、项目基本情况</w:t>
      </w:r>
    </w:p>
    <w:p w14:paraId="74B0A1D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项目编号：</w:t>
      </w:r>
      <w:r>
        <w:rPr>
          <w:rFonts w:hint="eastAsia" w:ascii="方正兰亭黑简体" w:hAnsi="方正兰亭黑简体" w:eastAsia="方正兰亭黑简体" w:cs="方正兰亭黑简体"/>
          <w:color w:val="auto"/>
          <w:sz w:val="22"/>
          <w:szCs w:val="28"/>
          <w:highlight w:val="none"/>
          <w:lang w:eastAsia="zh-CN"/>
        </w:rPr>
        <w:t>HFBX2026085</w:t>
      </w:r>
      <w:r>
        <w:rPr>
          <w:rFonts w:hint="eastAsia" w:ascii="方正兰亭黑简体" w:hAnsi="方正兰亭黑简体" w:eastAsia="方正兰亭黑简体" w:cs="方正兰亭黑简体"/>
          <w:color w:val="auto"/>
          <w:sz w:val="22"/>
          <w:szCs w:val="28"/>
          <w:highlight w:val="none"/>
        </w:rPr>
        <w:t>；</w:t>
      </w:r>
    </w:p>
    <w:p w14:paraId="373D4631">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项目名称：</w:t>
      </w:r>
      <w:r>
        <w:rPr>
          <w:rFonts w:hint="eastAsia" w:ascii="方正兰亭黑简体" w:hAnsi="方正兰亭黑简体" w:eastAsia="方正兰亭黑简体" w:cs="方正兰亭黑简体"/>
          <w:color w:val="auto"/>
          <w:sz w:val="22"/>
          <w:szCs w:val="28"/>
          <w:highlight w:val="none"/>
          <w:lang w:eastAsia="zh-CN"/>
        </w:rPr>
        <w:t>氨柴双燃料中速机运行参数测试</w:t>
      </w:r>
      <w:r>
        <w:rPr>
          <w:rFonts w:hint="eastAsia" w:ascii="方正兰亭黑简体" w:hAnsi="方正兰亭黑简体" w:eastAsia="方正兰亭黑简体" w:cs="方正兰亭黑简体"/>
          <w:color w:val="auto"/>
          <w:sz w:val="22"/>
          <w:szCs w:val="28"/>
          <w:highlight w:val="none"/>
        </w:rPr>
        <w:t>；</w:t>
      </w:r>
    </w:p>
    <w:p w14:paraId="44BA8929">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采购方式：</w:t>
      </w:r>
      <w:r>
        <w:rPr>
          <w:rFonts w:hint="eastAsia" w:ascii="方正兰亭黑简体" w:hAnsi="方正兰亭黑简体" w:eastAsia="方正兰亭黑简体" w:cs="方正兰亭黑简体"/>
          <w:color w:val="auto"/>
          <w:sz w:val="22"/>
          <w:szCs w:val="28"/>
          <w:highlight w:val="none"/>
        </w:rPr>
        <w:t>学校比选</w:t>
      </w:r>
      <w:r>
        <w:rPr>
          <w:rFonts w:hint="eastAsia" w:ascii="方正兰亭黑简体" w:hAnsi="方正兰亭黑简体" w:eastAsia="方正兰亭黑简体" w:cs="方正兰亭黑简体"/>
          <w:color w:val="auto"/>
          <w:sz w:val="22"/>
          <w:szCs w:val="28"/>
          <w:highlight w:val="none"/>
        </w:rPr>
        <w:t>；</w:t>
      </w:r>
    </w:p>
    <w:p w14:paraId="432CCF0C">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预算金额（亦是最高限价）：</w:t>
      </w:r>
      <w:r>
        <w:rPr>
          <w:rFonts w:hint="eastAsia" w:ascii="方正兰亭黑简体" w:hAnsi="方正兰亭黑简体" w:eastAsia="方正兰亭黑简体" w:cs="方正兰亭黑简体"/>
          <w:color w:val="auto"/>
          <w:sz w:val="22"/>
          <w:szCs w:val="28"/>
          <w:highlight w:val="none"/>
        </w:rPr>
        <w:t>人民币</w:t>
      </w:r>
      <w:r>
        <w:rPr>
          <w:rFonts w:hint="eastAsia" w:ascii="方正兰亭黑简体" w:hAnsi="方正兰亭黑简体" w:eastAsia="方正兰亭黑简体" w:cs="方正兰亭黑简体"/>
          <w:color w:val="auto"/>
          <w:sz w:val="22"/>
          <w:szCs w:val="28"/>
          <w:highlight w:val="none"/>
          <w:lang w:val="en-US" w:eastAsia="zh-CN"/>
        </w:rPr>
        <w:t>28.5</w:t>
      </w:r>
      <w:r>
        <w:rPr>
          <w:rFonts w:hint="eastAsia" w:ascii="方正兰亭黑简体" w:hAnsi="方正兰亭黑简体" w:eastAsia="方正兰亭黑简体" w:cs="方正兰亭黑简体"/>
          <w:color w:val="auto"/>
          <w:sz w:val="22"/>
          <w:szCs w:val="28"/>
          <w:highlight w:val="none"/>
        </w:rPr>
        <w:t>万元；</w:t>
      </w:r>
    </w:p>
    <w:p w14:paraId="290FE171">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采购需求：</w:t>
      </w:r>
      <w:r>
        <w:rPr>
          <w:rFonts w:hint="eastAsia" w:ascii="方正兰亭黑简体" w:hAnsi="方正兰亭黑简体" w:eastAsia="方正兰亭黑简体" w:cs="方正兰亭黑简体"/>
          <w:color w:val="auto"/>
          <w:sz w:val="22"/>
          <w:szCs w:val="28"/>
          <w:highlight w:val="none"/>
          <w:lang w:val="en-US" w:eastAsia="zh-CN"/>
        </w:rPr>
        <w:t>本项目拟委托一家合格供应商完成12V240HZC型氨柴双燃料中速机纯柴油模式和氨柴双燃料模式下热工参数测试和模式切换试验，并提交测试报告。</w:t>
      </w:r>
      <w:r>
        <w:rPr>
          <w:rFonts w:hint="eastAsia" w:ascii="方正兰亭黑简体" w:hAnsi="方正兰亭黑简体" w:eastAsia="方正兰亭黑简体" w:cs="方正兰亭黑简体"/>
          <w:color w:val="auto"/>
          <w:sz w:val="22"/>
          <w:szCs w:val="28"/>
          <w:highlight w:val="none"/>
        </w:rPr>
        <w:t>拟采取比选方式实施采购。（具体要求详见比选文件—第二章节采购需求）。</w:t>
      </w:r>
    </w:p>
    <w:p w14:paraId="6F22B905">
      <w:pPr>
        <w:pStyle w:val="19"/>
        <w:tabs>
          <w:tab w:val="left" w:pos="0"/>
        </w:tabs>
        <w:spacing w:line="360" w:lineRule="auto"/>
        <w:ind w:firstLine="0" w:firstLineChars="0"/>
        <w:rPr>
          <w:rFonts w:hint="eastAsia" w:ascii="方正兰亭黑简体" w:hAnsi="方正兰亭黑简体" w:eastAsia="方正兰亭黑简体" w:cs="方正兰亭黑简体"/>
          <w:color w:val="auto"/>
          <w:kern w:val="2"/>
          <w:sz w:val="22"/>
          <w:szCs w:val="28"/>
          <w:highlight w:val="none"/>
          <w:lang w:val="en-US" w:eastAsia="zh-CN" w:bidi="ar-SA"/>
        </w:rPr>
      </w:pPr>
      <w:r>
        <w:rPr>
          <w:rFonts w:hint="eastAsia" w:ascii="方正兰亭黑简体" w:hAnsi="方正兰亭黑简体" w:eastAsia="方正兰亭黑简体" w:cs="方正兰亭黑简体"/>
          <w:color w:val="auto"/>
          <w:sz w:val="22"/>
          <w:szCs w:val="28"/>
          <w:highlight w:val="none"/>
          <w:lang w:val="en-US" w:eastAsia="zh-CN"/>
        </w:rPr>
        <w:t>服务期限：</w:t>
      </w:r>
      <w:r>
        <w:rPr>
          <w:rFonts w:hint="eastAsia" w:ascii="方正兰亭黑简体" w:hAnsi="方正兰亭黑简体" w:eastAsia="方正兰亭黑简体" w:cs="方正兰亭黑简体"/>
          <w:color w:val="auto"/>
          <w:kern w:val="2"/>
          <w:sz w:val="22"/>
          <w:szCs w:val="28"/>
          <w:highlight w:val="none"/>
          <w:lang w:val="zh-CN" w:eastAsia="zh-CN" w:bidi="ar-SA"/>
        </w:rPr>
        <w:t>应在合同签订后10个工作日内完成全部测试任务，并提交报告</w:t>
      </w:r>
      <w:r>
        <w:rPr>
          <w:rFonts w:hint="eastAsia" w:ascii="方正兰亭黑简体" w:hAnsi="方正兰亭黑简体" w:eastAsia="方正兰亭黑简体" w:cs="方正兰亭黑简体"/>
          <w:color w:val="auto"/>
          <w:kern w:val="2"/>
          <w:sz w:val="22"/>
          <w:szCs w:val="28"/>
          <w:highlight w:val="none"/>
          <w:lang w:val="en-US" w:eastAsia="zh-CN" w:bidi="ar-SA"/>
        </w:rPr>
        <w:t>；</w:t>
      </w:r>
    </w:p>
    <w:p w14:paraId="627DD869">
      <w:pPr>
        <w:pStyle w:val="19"/>
        <w:numPr>
          <w:ilvl w:val="0"/>
          <w:numId w:val="0"/>
        </w:numPr>
        <w:tabs>
          <w:tab w:val="left" w:pos="0"/>
        </w:tabs>
        <w:spacing w:line="360" w:lineRule="auto"/>
        <w:ind w:firstLine="0" w:firstLineChars="0"/>
        <w:rPr>
          <w:rFonts w:hint="default" w:ascii="方正兰亭黑简体" w:hAnsi="方正兰亭黑简体" w:eastAsia="方正兰亭黑简体" w:cs="方正兰亭黑简体"/>
          <w:color w:val="auto"/>
          <w:kern w:val="2"/>
          <w:sz w:val="22"/>
          <w:szCs w:val="28"/>
          <w:highlight w:val="none"/>
          <w:lang w:val="en-US" w:eastAsia="zh-CN" w:bidi="ar-SA"/>
        </w:rPr>
      </w:pPr>
      <w:r>
        <w:rPr>
          <w:rFonts w:hint="eastAsia" w:ascii="方正兰亭黑简体" w:hAnsi="方正兰亭黑简体" w:eastAsia="方正兰亭黑简体" w:cs="方正兰亭黑简体"/>
          <w:color w:val="auto"/>
          <w:kern w:val="2"/>
          <w:sz w:val="22"/>
          <w:szCs w:val="28"/>
          <w:highlight w:val="none"/>
          <w:lang w:val="en-US" w:eastAsia="zh-CN" w:bidi="ar-SA"/>
        </w:rPr>
        <w:t>付款方式：</w:t>
      </w:r>
      <w:r>
        <w:rPr>
          <w:rFonts w:hint="eastAsia" w:ascii="方正兰亭黑简体" w:hAnsi="方正兰亭黑简体" w:eastAsia="方正兰亭黑简体" w:cs="方正兰亭黑简体"/>
          <w:color w:val="auto"/>
          <w:kern w:val="2"/>
          <w:sz w:val="22"/>
          <w:szCs w:val="28"/>
          <w:highlight w:val="none"/>
          <w:lang w:val="en-US" w:eastAsia="zh-CN" w:bidi="ar-SA"/>
        </w:rPr>
        <w:t>项目完成后经甲方对服务验收通过后的10个工作日内，甲方一次性支付合同全款。</w:t>
      </w:r>
    </w:p>
    <w:p w14:paraId="34EF3CE4">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二、报价人的资格要求</w:t>
      </w:r>
    </w:p>
    <w:p w14:paraId="58FFC7E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1、符合《中华人民共和国政府采购法》第二十二条之供应商资格规定。</w:t>
      </w:r>
    </w:p>
    <w:p w14:paraId="67A4B0EC">
      <w:pPr>
        <w:spacing w:line="360" w:lineRule="auto"/>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2、供应商未被列入“信用中国”网站（www.creditchina.gov.cn）失信执行人名单、重大税收违法案件当事人名单，和中国政府采购网（www.ccgp.gov.cn）政府</w:t>
      </w:r>
      <w:r>
        <w:rPr>
          <w:rFonts w:hint="eastAsia" w:ascii="方正兰亭黑简体" w:hAnsi="方正兰亭黑简体" w:eastAsia="方正兰亭黑简体" w:cs="方正兰亭黑简体"/>
          <w:color w:val="auto"/>
          <w:sz w:val="22"/>
          <w:szCs w:val="28"/>
          <w:highlight w:val="none"/>
          <w:lang w:val="en-US" w:eastAsia="zh-CN"/>
        </w:rPr>
        <w:t>采购</w:t>
      </w:r>
      <w:r>
        <w:rPr>
          <w:rFonts w:hint="eastAsia" w:ascii="方正兰亭黑简体" w:hAnsi="方正兰亭黑简体" w:eastAsia="方正兰亭黑简体" w:cs="方正兰亭黑简体"/>
          <w:color w:val="auto"/>
          <w:sz w:val="22"/>
          <w:szCs w:val="28"/>
          <w:highlight w:val="none"/>
        </w:rPr>
        <w:t>严重违法失信行为记录名单的供应商。</w:t>
      </w:r>
    </w:p>
    <w:p w14:paraId="34243CEE">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3、经营范围及拟投标货物（服务）符合本次比选要求，具有与本次投标货物（服务）相应的经营、代理（经销）资质，能全程参与并完成本项目，且具有较强的服务能力，以及畅通的问题响应机制和渠道等。</w:t>
      </w:r>
    </w:p>
    <w:p w14:paraId="6D423F37">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三、报名要求</w:t>
      </w:r>
    </w:p>
    <w:p w14:paraId="2180092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报名邮箱、时间：不单独组织报名，意向单位可在截止日期前递交响应文件。</w:t>
      </w:r>
    </w:p>
    <w:p w14:paraId="47EB2369">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四、获取采购文件</w:t>
      </w:r>
    </w:p>
    <w:p w14:paraId="22BA469E">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获取方式：公告页面下方自行下载</w:t>
      </w:r>
    </w:p>
    <w:p w14:paraId="5F33DC36">
      <w:pPr>
        <w:jc w:val="left"/>
        <w:rPr>
          <w:rFonts w:hint="eastAsia" w:ascii="方正兰亭黑简体" w:hAnsi="方正兰亭黑简体" w:eastAsia="方正兰亭黑简体" w:cs="方正兰亭黑简体"/>
          <w:b/>
          <w:bCs/>
          <w:color w:val="auto"/>
          <w:sz w:val="22"/>
          <w:szCs w:val="28"/>
          <w:highlight w:val="none"/>
        </w:rPr>
      </w:pPr>
      <w:bookmarkStart w:id="0" w:name="_Toc28359005"/>
      <w:r>
        <w:rPr>
          <w:rFonts w:hint="eastAsia" w:ascii="方正兰亭黑简体" w:hAnsi="方正兰亭黑简体" w:eastAsia="方正兰亭黑简体" w:cs="方正兰亭黑简体"/>
          <w:b/>
          <w:bCs/>
          <w:color w:val="auto"/>
          <w:sz w:val="22"/>
          <w:szCs w:val="28"/>
          <w:highlight w:val="none"/>
        </w:rPr>
        <w:t>五、现场踏勘</w:t>
      </w:r>
      <w:bookmarkEnd w:id="0"/>
    </w:p>
    <w:p w14:paraId="6393E20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不组织</w:t>
      </w:r>
    </w:p>
    <w:p w14:paraId="3B52FB4A">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六、响应文件提交</w:t>
      </w:r>
    </w:p>
    <w:p w14:paraId="797F0A10">
      <w:pPr>
        <w:jc w:val="left"/>
        <w:rPr>
          <w:rFonts w:hint="eastAsia" w:ascii="方正兰亭黑简体" w:hAnsi="方正兰亭黑简体" w:eastAsia="方正兰亭黑简体" w:cs="方正兰亭黑简体"/>
          <w:color w:val="auto"/>
          <w:sz w:val="22"/>
          <w:szCs w:val="28"/>
          <w:highlight w:val="none"/>
        </w:rPr>
      </w:pPr>
      <w:bookmarkStart w:id="1" w:name="_Toc35393795"/>
      <w:bookmarkEnd w:id="1"/>
      <w:bookmarkStart w:id="2" w:name="_Toc35393626"/>
      <w:bookmarkStart w:id="3" w:name="OLE_LINK1"/>
      <w:bookmarkStart w:id="4" w:name="OLE_LINK2"/>
      <w:r>
        <w:rPr>
          <w:rFonts w:hint="eastAsia" w:ascii="方正兰亭黑简体" w:hAnsi="方正兰亭黑简体" w:eastAsia="方正兰亭黑简体" w:cs="方正兰亭黑简体"/>
          <w:color w:val="auto"/>
          <w:sz w:val="22"/>
          <w:szCs w:val="28"/>
          <w:highlight w:val="none"/>
        </w:rPr>
        <w:t>截止</w:t>
      </w:r>
      <w:bookmarkEnd w:id="2"/>
      <w:r>
        <w:rPr>
          <w:rFonts w:hint="eastAsia" w:ascii="方正兰亭黑简体" w:hAnsi="方正兰亭黑简体" w:eastAsia="方正兰亭黑简体" w:cs="方正兰亭黑简体"/>
          <w:color w:val="auto"/>
          <w:sz w:val="22"/>
          <w:szCs w:val="28"/>
          <w:highlight w:val="none"/>
        </w:rPr>
        <w:t>时间：2026年</w:t>
      </w:r>
      <w:r>
        <w:rPr>
          <w:rFonts w:hint="eastAsia" w:ascii="方正兰亭黑简体" w:hAnsi="方正兰亭黑简体" w:eastAsia="方正兰亭黑简体" w:cs="方正兰亭黑简体"/>
          <w:color w:val="auto"/>
          <w:sz w:val="22"/>
          <w:szCs w:val="28"/>
          <w:highlight w:val="none"/>
          <w:lang w:val="en-US" w:eastAsia="zh-CN"/>
        </w:rPr>
        <w:t>10</w:t>
      </w:r>
      <w:r>
        <w:rPr>
          <w:rFonts w:hint="eastAsia" w:ascii="方正兰亭黑简体" w:hAnsi="方正兰亭黑简体" w:eastAsia="方正兰亭黑简体" w:cs="方正兰亭黑简体"/>
          <w:color w:val="auto"/>
          <w:sz w:val="22"/>
          <w:szCs w:val="28"/>
          <w:highlight w:val="none"/>
        </w:rPr>
        <w:t>月</w:t>
      </w:r>
      <w:r>
        <w:rPr>
          <w:rFonts w:hint="eastAsia" w:ascii="方正兰亭黑简体" w:hAnsi="方正兰亭黑简体" w:eastAsia="方正兰亭黑简体" w:cs="方正兰亭黑简体"/>
          <w:color w:val="auto"/>
          <w:sz w:val="22"/>
          <w:szCs w:val="28"/>
          <w:highlight w:val="none"/>
          <w:lang w:val="en-US" w:eastAsia="zh-CN"/>
        </w:rPr>
        <w:t>8</w:t>
      </w:r>
      <w:r>
        <w:rPr>
          <w:rFonts w:hint="eastAsia" w:ascii="方正兰亭黑简体" w:hAnsi="方正兰亭黑简体" w:eastAsia="方正兰亭黑简体" w:cs="方正兰亭黑简体"/>
          <w:color w:val="auto"/>
          <w:sz w:val="22"/>
          <w:szCs w:val="28"/>
          <w:highlight w:val="none"/>
        </w:rPr>
        <w:t>日（周</w:t>
      </w:r>
      <w:r>
        <w:rPr>
          <w:rFonts w:hint="eastAsia" w:ascii="方正兰亭黑简体" w:hAnsi="方正兰亭黑简体" w:eastAsia="方正兰亭黑简体" w:cs="方正兰亭黑简体"/>
          <w:color w:val="auto"/>
          <w:sz w:val="22"/>
          <w:szCs w:val="28"/>
          <w:highlight w:val="none"/>
          <w:lang w:val="en-US" w:eastAsia="zh-CN"/>
        </w:rPr>
        <w:t>四</w:t>
      </w:r>
      <w:r>
        <w:rPr>
          <w:rFonts w:hint="eastAsia" w:ascii="方正兰亭黑简体" w:hAnsi="方正兰亭黑简体" w:eastAsia="方正兰亭黑简体" w:cs="方正兰亭黑简体"/>
          <w:color w:val="auto"/>
          <w:sz w:val="22"/>
          <w:szCs w:val="28"/>
          <w:highlight w:val="none"/>
        </w:rPr>
        <w:t>）</w:t>
      </w:r>
      <w:bookmarkEnd w:id="3"/>
      <w:bookmarkEnd w:id="4"/>
      <w:r>
        <w:rPr>
          <w:rFonts w:hint="eastAsia" w:ascii="方正兰亭黑简体" w:hAnsi="方正兰亭黑简体" w:eastAsia="方正兰亭黑简体" w:cs="方正兰亭黑简体"/>
          <w:color w:val="auto"/>
          <w:sz w:val="22"/>
          <w:szCs w:val="28"/>
          <w:highlight w:val="none"/>
        </w:rPr>
        <w:t>上午11时00分</w:t>
      </w:r>
    </w:p>
    <w:p w14:paraId="19B2134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提交方式：发送盖章扫描版PDF到指定邮箱，邮件名称：</w:t>
      </w:r>
      <w:r>
        <w:rPr>
          <w:rFonts w:hint="eastAsia" w:ascii="方正兰亭黑简体" w:hAnsi="方正兰亭黑简体" w:eastAsia="方正兰亭黑简体" w:cs="方正兰亭黑简体"/>
          <w:color w:val="auto"/>
          <w:sz w:val="22"/>
          <w:szCs w:val="28"/>
          <w:highlight w:val="none"/>
        </w:rPr>
        <w:t>项目编号+公司名称</w:t>
      </w:r>
    </w:p>
    <w:p w14:paraId="5F997FC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邮箱地址：quotation@shmtu.edu.cn</w:t>
      </w:r>
    </w:p>
    <w:p w14:paraId="1EC8B77D">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七、其他补充事宜</w:t>
      </w:r>
    </w:p>
    <w:p w14:paraId="1533EBF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1.中标结果将通过发布比选公告的媒介进行公示，公示期为1个工作日，公示期内如对中标结果有异议可向校方提出书面质疑。</w:t>
      </w:r>
      <w:bookmarkStart w:id="5" w:name="_Toc35393627"/>
    </w:p>
    <w:p w14:paraId="03F0F785">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w:t>
      </w:r>
      <w:bookmarkEnd w:id="5"/>
      <w:r>
        <w:rPr>
          <w:rFonts w:hint="eastAsia" w:ascii="方正兰亭黑简体" w:hAnsi="方正兰亭黑简体" w:eastAsia="方正兰亭黑简体" w:cs="方正兰亭黑简体"/>
          <w:color w:val="auto"/>
          <w:sz w:val="22"/>
          <w:szCs w:val="28"/>
          <w:highlight w:val="none"/>
        </w:rPr>
        <w:t>凡对本次采购提出询问，请按以下方式联系：</w:t>
      </w:r>
    </w:p>
    <w:p w14:paraId="4E545C0B">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商务信息：仲老师021-38284707</w:t>
      </w:r>
    </w:p>
    <w:p w14:paraId="155BEAB7">
      <w:pPr>
        <w:jc w:val="left"/>
        <w:rPr>
          <w:rFonts w:hint="default"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技术信息：</w:t>
      </w:r>
      <w:r>
        <w:rPr>
          <w:rFonts w:hint="eastAsia" w:ascii="方正兰亭黑简体" w:hAnsi="方正兰亭黑简体" w:eastAsia="方正兰亭黑简体" w:cs="方正兰亭黑简体"/>
          <w:color w:val="auto"/>
          <w:sz w:val="22"/>
          <w:szCs w:val="28"/>
          <w:highlight w:val="none"/>
          <w:lang w:val="en-US" w:eastAsia="zh-CN"/>
        </w:rPr>
        <w:t>王老师021-38282974</w:t>
      </w:r>
    </w:p>
    <w:bookmarkEnd w:id="6"/>
    <w:p w14:paraId="0248245C">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24A7818A">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第二章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采购需求</w:t>
      </w:r>
    </w:p>
    <w:p w14:paraId="39E2A589">
      <w:pPr>
        <w:spacing w:line="360" w:lineRule="auto"/>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一</w:t>
      </w:r>
      <w:r>
        <w:rPr>
          <w:rFonts w:ascii="Times New Roman" w:hAnsi="Times New Roman" w:eastAsia="方正兰亭黑简体" w:cs="Times New Roman"/>
          <w:b/>
          <w:bCs/>
          <w:color w:val="auto"/>
          <w:sz w:val="22"/>
          <w:szCs w:val="22"/>
          <w:highlight w:val="none"/>
        </w:rPr>
        <w:t>、</w:t>
      </w:r>
      <w:r>
        <w:rPr>
          <w:rFonts w:hint="eastAsia" w:ascii="Times New Roman" w:hAnsi="Times New Roman" w:eastAsia="方正兰亭黑简体" w:cs="Times New Roman"/>
          <w:b/>
          <w:bCs/>
          <w:color w:val="auto"/>
          <w:sz w:val="22"/>
          <w:szCs w:val="22"/>
          <w:highlight w:val="none"/>
          <w:lang w:val="en-US" w:eastAsia="zh-CN"/>
        </w:rPr>
        <w:t>项目概况</w:t>
      </w:r>
    </w:p>
    <w:tbl>
      <w:tblPr>
        <w:tblStyle w:val="14"/>
        <w:tblW w:w="499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9"/>
        <w:gridCol w:w="1834"/>
        <w:gridCol w:w="1933"/>
        <w:gridCol w:w="5224"/>
      </w:tblGrid>
      <w:tr w14:paraId="02050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375" w:type="pct"/>
            <w:vAlign w:val="center"/>
          </w:tcPr>
          <w:p w14:paraId="39EA8A6E">
            <w:pPr>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序号</w:t>
            </w:r>
          </w:p>
        </w:tc>
        <w:tc>
          <w:tcPr>
            <w:tcW w:w="943" w:type="pct"/>
            <w:vAlign w:val="center"/>
          </w:tcPr>
          <w:p w14:paraId="2BA91EF8">
            <w:pPr>
              <w:widowControl/>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名称</w:t>
            </w:r>
          </w:p>
        </w:tc>
        <w:tc>
          <w:tcPr>
            <w:tcW w:w="994" w:type="pct"/>
            <w:vAlign w:val="center"/>
          </w:tcPr>
          <w:p w14:paraId="30BAEA60">
            <w:pPr>
              <w:widowControl/>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服务期限</w:t>
            </w:r>
          </w:p>
        </w:tc>
        <w:tc>
          <w:tcPr>
            <w:tcW w:w="2686" w:type="pct"/>
            <w:vAlign w:val="center"/>
          </w:tcPr>
          <w:p w14:paraId="45D70725">
            <w:pPr>
              <w:widowControl/>
              <w:spacing w:line="360" w:lineRule="auto"/>
              <w:jc w:val="center"/>
              <w:rPr>
                <w:rFonts w:hint="default" w:ascii="Times New Roman" w:hAnsi="Times New Roman" w:eastAsia="方正兰亭黑简体" w:cs="Times New Roman"/>
                <w:b/>
                <w:bCs/>
                <w:color w:val="auto"/>
                <w:sz w:val="21"/>
                <w:szCs w:val="21"/>
                <w:highlight w:val="none"/>
              </w:rPr>
            </w:pPr>
            <w:r>
              <w:rPr>
                <w:rFonts w:hint="default" w:ascii="Times New Roman" w:hAnsi="Times New Roman" w:eastAsia="方正兰亭黑简体" w:cs="Times New Roman"/>
                <w:b/>
                <w:bCs/>
                <w:color w:val="auto"/>
                <w:sz w:val="21"/>
                <w:szCs w:val="21"/>
                <w:highlight w:val="none"/>
              </w:rPr>
              <w:t>服务说明</w:t>
            </w:r>
          </w:p>
        </w:tc>
      </w:tr>
      <w:tr w14:paraId="608BF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 w:hRule="atLeast"/>
        </w:trPr>
        <w:tc>
          <w:tcPr>
            <w:tcW w:w="375" w:type="pct"/>
            <w:vAlign w:val="center"/>
          </w:tcPr>
          <w:p w14:paraId="33EA5E26">
            <w:pPr>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1</w:t>
            </w:r>
          </w:p>
        </w:tc>
        <w:tc>
          <w:tcPr>
            <w:tcW w:w="943" w:type="pct"/>
            <w:vAlign w:val="center"/>
          </w:tcPr>
          <w:p w14:paraId="1715EE83">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氨柴双燃料中速机运行参数测试</w:t>
            </w:r>
          </w:p>
        </w:tc>
        <w:tc>
          <w:tcPr>
            <w:tcW w:w="994" w:type="pct"/>
            <w:vAlign w:val="center"/>
          </w:tcPr>
          <w:p w14:paraId="338FAAD7">
            <w:pPr>
              <w:widowControl/>
              <w:spacing w:line="360" w:lineRule="auto"/>
              <w:jc w:val="center"/>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合同签订后10个工作日</w:t>
            </w:r>
          </w:p>
        </w:tc>
        <w:tc>
          <w:tcPr>
            <w:tcW w:w="2686" w:type="pct"/>
            <w:vAlign w:val="center"/>
          </w:tcPr>
          <w:p w14:paraId="0CA8C67A">
            <w:pPr>
              <w:widowControl/>
              <w:spacing w:line="360" w:lineRule="auto"/>
              <w:jc w:val="left"/>
              <w:rPr>
                <w:rFonts w:hint="default" w:ascii="Times New Roman" w:hAnsi="Times New Roman" w:eastAsia="方正兰亭黑简体" w:cs="Times New Roman"/>
                <w:color w:val="auto"/>
                <w:sz w:val="21"/>
                <w:szCs w:val="21"/>
                <w:highlight w:val="none"/>
              </w:rPr>
            </w:pPr>
            <w:r>
              <w:rPr>
                <w:rFonts w:hint="default" w:ascii="Times New Roman" w:hAnsi="Times New Roman" w:eastAsia="方正兰亭黑简体" w:cs="Times New Roman"/>
                <w:color w:val="auto"/>
                <w:sz w:val="21"/>
                <w:szCs w:val="21"/>
                <w:highlight w:val="none"/>
              </w:rPr>
              <w:t>完成12V240HZC型氨柴双燃料中速机纯柴油和氨柴双燃料模式下的热工参数测试和模式切换试验，提交测试报告。</w:t>
            </w:r>
          </w:p>
        </w:tc>
      </w:tr>
    </w:tbl>
    <w:p w14:paraId="7CFFD12F">
      <w:pPr>
        <w:widowControl/>
        <w:numPr>
          <w:ilvl w:val="0"/>
          <w:numId w:val="0"/>
        </w:numPr>
        <w:shd w:val="clear" w:color="auto" w:fill="FFFFFF"/>
        <w:spacing w:line="360" w:lineRule="auto"/>
        <w:ind w:left="0" w:leftChars="0" w:firstLine="0" w:firstLineChars="0"/>
        <w:jc w:val="left"/>
        <w:rPr>
          <w:rFonts w:hint="eastAsia" w:ascii="Times New Roman" w:hAnsi="Times New Roman" w:eastAsia="方正兰亭黑简体" w:cs="Times New Roman"/>
          <w:b/>
          <w:bCs/>
          <w:color w:val="auto"/>
          <w:kern w:val="2"/>
          <w:sz w:val="22"/>
          <w:szCs w:val="22"/>
          <w:highlight w:val="none"/>
          <w:lang w:val="en-US" w:eastAsia="zh-CN" w:bidi="ar-SA"/>
        </w:rPr>
      </w:pPr>
    </w:p>
    <w:p w14:paraId="2564B485">
      <w:pPr>
        <w:widowControl/>
        <w:numPr>
          <w:ilvl w:val="0"/>
          <w:numId w:val="0"/>
        </w:numPr>
        <w:shd w:val="clear" w:color="auto" w:fill="FFFFFF"/>
        <w:spacing w:line="360" w:lineRule="auto"/>
        <w:ind w:left="0" w:leftChars="0" w:firstLine="0" w:firstLineChars="0"/>
        <w:jc w:val="left"/>
        <w:rPr>
          <w:rFonts w:hint="default" w:ascii="Times New Roman" w:hAnsi="Times New Roman" w:eastAsia="方正兰亭黑简体" w:cs="Times New Roman"/>
          <w:b/>
          <w:bCs/>
          <w:color w:val="auto"/>
          <w:sz w:val="22"/>
          <w:szCs w:val="22"/>
          <w:highlight w:val="none"/>
          <w:lang w:val="en-US" w:eastAsia="zh-CN"/>
        </w:rPr>
      </w:pPr>
      <w:r>
        <w:rPr>
          <w:rFonts w:hint="eastAsia" w:ascii="Times New Roman" w:hAnsi="Times New Roman" w:eastAsia="方正兰亭黑简体" w:cs="Times New Roman"/>
          <w:b/>
          <w:bCs/>
          <w:color w:val="auto"/>
          <w:kern w:val="2"/>
          <w:sz w:val="22"/>
          <w:szCs w:val="22"/>
          <w:highlight w:val="none"/>
          <w:lang w:val="en-US" w:eastAsia="zh-CN" w:bidi="ar-SA"/>
        </w:rPr>
        <w:t>二、服务摘要</w:t>
      </w:r>
    </w:p>
    <w:p w14:paraId="0DD01E0A">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1.功能要求</w:t>
      </w:r>
    </w:p>
    <w:p w14:paraId="75E0E3D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完成12V240HZC型氨柴双燃料中速机采用氨和柴油双燃料两种模式下，在按照推进特性运行时的热工参数测试并记录：热工参数根据实际情况设定，但至少应包括：环境温度、压力，发动机转速、负荷率、功率、柴油消耗率、氨消耗率、替代率，中冷后空气温度、压力，增压器转速、滑油压力、涡轮进口温度、涡轮出口温度，柴油机各缸排温、各缸爆发压力、各缸爆发压力。</w:t>
      </w:r>
    </w:p>
    <w:p w14:paraId="4339844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（2）进行纯柴油和氨柴双燃料模式下的最低工作稳定转速试验；</w:t>
      </w:r>
    </w:p>
    <w:p w14:paraId="16A7E55B">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（3）进行发动机运行模式转换试验，包括：纯柴油模式至双燃料模式试验和双燃料模式转换至纯柴油机模式试验；</w:t>
      </w:r>
    </w:p>
    <w:p w14:paraId="7D01C664">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（4）中标单位负责联系相应氨柴双燃料机试验台并承担所有相关费用。待测试设备目前放置于大连市，如测试过程中涉及设备转移、台架安装、调试、测试仪器、仪表的使用等全部相关费用由中标单位承担。</w:t>
      </w:r>
    </w:p>
    <w:p w14:paraId="5B3C6AA6">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（5）中标单位承担试验中所需的燃料、润料、电能及其他各种材料的全部费用。</w:t>
      </w:r>
    </w:p>
    <w:p w14:paraId="0D301D5F">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（6）中标单位保证试验过程中的设备及人员安全，所需全部费用由中标单位承担。</w:t>
      </w:r>
    </w:p>
    <w:p w14:paraId="47D79F3C">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（7）中标单位按期出具试验数据交校方验收。</w:t>
      </w:r>
    </w:p>
    <w:p w14:paraId="79FDE64D">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2.应遵循的相关国家标准、行业标准、地方标准等标准、规范</w:t>
      </w:r>
    </w:p>
    <w:p w14:paraId="6E06AEE6">
      <w:pPr>
        <w:jc w:val="left"/>
        <w:rPr>
          <w:rFonts w:hint="eastAsia" w:ascii="方正兰亭黑简体" w:hAnsi="方正兰亭黑简体" w:eastAsia="方正兰亭黑简体" w:cs="方正兰亭黑简体"/>
          <w:color w:val="auto"/>
          <w:sz w:val="22"/>
          <w:szCs w:val="28"/>
          <w:highlight w:val="none"/>
          <w:lang w:eastAsia="zh-CN"/>
        </w:rPr>
      </w:pPr>
      <w:r>
        <w:rPr>
          <w:rFonts w:hint="eastAsia" w:ascii="方正兰亭黑简体" w:hAnsi="方正兰亭黑简体" w:eastAsia="方正兰亭黑简体" w:cs="方正兰亭黑简体"/>
          <w:color w:val="auto"/>
          <w:sz w:val="22"/>
          <w:szCs w:val="28"/>
          <w:highlight w:val="none"/>
        </w:rPr>
        <w:t>CB/T3254.1-2013船用柴油机台架试验第1部分</w:t>
      </w:r>
      <w:r>
        <w:rPr>
          <w:rFonts w:hint="eastAsia" w:ascii="方正兰亭黑简体" w:hAnsi="方正兰亭黑简体" w:eastAsia="方正兰亭黑简体" w:cs="方正兰亭黑简体"/>
          <w:color w:val="auto"/>
          <w:sz w:val="22"/>
          <w:szCs w:val="28"/>
          <w:highlight w:val="none"/>
          <w:lang w:eastAsia="zh-CN"/>
        </w:rPr>
        <w:t>：</w:t>
      </w:r>
      <w:r>
        <w:rPr>
          <w:rFonts w:hint="eastAsia" w:ascii="方正兰亭黑简体" w:hAnsi="方正兰亭黑简体" w:eastAsia="方正兰亭黑简体" w:cs="方正兰亭黑简体"/>
          <w:color w:val="auto"/>
          <w:sz w:val="22"/>
          <w:szCs w:val="28"/>
          <w:highlight w:val="none"/>
        </w:rPr>
        <w:t>标准基准状况及功率燃油消耗和机油消耗的标定</w:t>
      </w:r>
    </w:p>
    <w:p w14:paraId="1E996F52">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3.后续运营维护、升级更新、备品备件等要求</w:t>
      </w:r>
    </w:p>
    <w:p w14:paraId="162CEC33">
      <w:pPr>
        <w:jc w:val="left"/>
        <w:rPr>
          <w:rFonts w:hint="eastAsia" w:ascii="方正兰亭黑简体" w:hAnsi="方正兰亭黑简体" w:eastAsia="方正兰亭黑简体" w:cs="方正兰亭黑简体"/>
          <w:color w:val="auto"/>
          <w:sz w:val="22"/>
          <w:szCs w:val="28"/>
          <w:highlight w:val="none"/>
          <w:lang w:val="en-US" w:eastAsia="zh-CN"/>
        </w:rPr>
      </w:pPr>
      <w:r>
        <w:rPr>
          <w:rFonts w:hint="eastAsia" w:ascii="方正兰亭黑简体" w:hAnsi="方正兰亭黑简体" w:eastAsia="方正兰亭黑简体" w:cs="方正兰亭黑简体"/>
          <w:color w:val="auto"/>
          <w:sz w:val="22"/>
          <w:szCs w:val="28"/>
          <w:highlight w:val="none"/>
        </w:rPr>
        <w:t>测试完成后一年内，采购方对数据有异议，响应方负责解释并完善。</w:t>
      </w:r>
    </w:p>
    <w:p w14:paraId="6ED13731">
      <w:pPr>
        <w:spacing w:line="480" w:lineRule="auto"/>
        <w:rPr>
          <w:rFonts w:hint="default" w:ascii="Times New Roman" w:hAnsi="Times New Roman" w:eastAsia="方正兰亭黑简体" w:cs="Times New Roman"/>
          <w:b/>
          <w:bCs/>
          <w:color w:val="auto"/>
          <w:kern w:val="0"/>
          <w:sz w:val="22"/>
          <w:szCs w:val="22"/>
          <w:highlight w:val="none"/>
          <w:lang w:val="en-US" w:eastAsia="zh-CN"/>
        </w:rPr>
      </w:pPr>
      <w:r>
        <w:rPr>
          <w:rFonts w:hint="eastAsia" w:ascii="Times New Roman" w:hAnsi="Times New Roman" w:eastAsia="方正兰亭黑简体" w:cs="Times New Roman"/>
          <w:b/>
          <w:bCs/>
          <w:color w:val="auto"/>
          <w:sz w:val="22"/>
          <w:szCs w:val="22"/>
          <w:highlight w:val="none"/>
          <w:lang w:val="en-US" w:eastAsia="zh-CN"/>
        </w:rPr>
        <w:t>三、</w:t>
      </w:r>
      <w:r>
        <w:rPr>
          <w:rFonts w:hint="eastAsia" w:ascii="Times New Roman" w:hAnsi="Times New Roman" w:eastAsia="方正兰亭黑简体" w:cs="Times New Roman"/>
          <w:b/>
          <w:bCs/>
          <w:color w:val="auto"/>
          <w:kern w:val="0"/>
          <w:sz w:val="22"/>
          <w:szCs w:val="22"/>
          <w:highlight w:val="none"/>
          <w:lang w:val="en-US" w:eastAsia="zh-CN"/>
        </w:rPr>
        <w:t>其他要求</w:t>
      </w:r>
    </w:p>
    <w:p w14:paraId="57F673ED">
      <w:pPr>
        <w:spacing w:line="480" w:lineRule="auto"/>
        <w:ind w:left="0" w:leftChars="0" w:firstLine="0" w:firstLineChars="0"/>
        <w:rPr>
          <w:rFonts w:hint="default" w:ascii="Times New Roman" w:hAnsi="Times New Roman" w:eastAsia="方正兰亭黑简体" w:cs="Times New Roman"/>
          <w:b w:val="0"/>
          <w:bCs w:val="0"/>
          <w:color w:val="auto"/>
          <w:sz w:val="22"/>
          <w:szCs w:val="22"/>
          <w:highlight w:val="none"/>
          <w:lang w:val="en-US" w:eastAsia="zh-CN"/>
        </w:rPr>
      </w:pPr>
      <w:r>
        <w:rPr>
          <w:rFonts w:hint="default" w:ascii="Times New Roman" w:hAnsi="Times New Roman" w:eastAsia="方正兰亭黑简体" w:cs="Times New Roman"/>
          <w:b w:val="0"/>
          <w:bCs w:val="0"/>
          <w:color w:val="auto"/>
          <w:sz w:val="22"/>
          <w:szCs w:val="22"/>
          <w:highlight w:val="none"/>
          <w:lang w:val="en-US" w:eastAsia="zh-CN"/>
        </w:rPr>
        <w:t>1.履约验收：</w:t>
      </w:r>
      <w:r>
        <w:rPr>
          <w:rFonts w:hint="default" w:ascii="Times New Roman" w:hAnsi="Times New Roman" w:eastAsia="方正兰亭黑简体" w:cs="Times New Roman"/>
          <w:b w:val="0"/>
          <w:bCs w:val="0"/>
          <w:color w:val="auto"/>
          <w:sz w:val="22"/>
          <w:szCs w:val="22"/>
          <w:highlight w:val="none"/>
          <w:lang w:val="zh-CN" w:eastAsia="zh-CN"/>
        </w:rPr>
        <w:t>自收到验收报告后7个工作日内启动验收。验收方式为采购人组织专业小组核查报告内容。验收标准需符合合同约定及采购文件要求</w:t>
      </w:r>
      <w:r>
        <w:rPr>
          <w:rFonts w:hint="eastAsia" w:ascii="Times New Roman" w:hAnsi="Times New Roman" w:eastAsia="方正兰亭黑简体" w:cs="Times New Roman"/>
          <w:b w:val="0"/>
          <w:bCs w:val="0"/>
          <w:color w:val="auto"/>
          <w:sz w:val="22"/>
          <w:szCs w:val="22"/>
          <w:highlight w:val="none"/>
          <w:lang w:val="zh-CN" w:eastAsia="zh-CN"/>
        </w:rPr>
        <w:t>。</w:t>
      </w:r>
    </w:p>
    <w:p w14:paraId="4967BD9C">
      <w:pPr>
        <w:spacing w:line="480" w:lineRule="auto"/>
        <w:ind w:left="0" w:leftChars="0" w:firstLine="0" w:firstLineChars="0"/>
        <w:rPr>
          <w:rFonts w:hint="default" w:ascii="Times New Roman" w:hAnsi="Times New Roman" w:eastAsia="方正兰亭黑简体" w:cs="Times New Roman"/>
          <w:b w:val="0"/>
          <w:bCs w:val="0"/>
          <w:color w:val="auto"/>
          <w:sz w:val="22"/>
          <w:szCs w:val="22"/>
          <w:highlight w:val="none"/>
          <w:lang w:val="en-US" w:eastAsia="zh-CN"/>
        </w:rPr>
      </w:pPr>
      <w:r>
        <w:rPr>
          <w:rFonts w:hint="eastAsia" w:ascii="Times New Roman" w:hAnsi="Times New Roman" w:eastAsia="方正兰亭黑简体" w:cs="Times New Roman"/>
          <w:b w:val="0"/>
          <w:bCs w:val="0"/>
          <w:color w:val="auto"/>
          <w:sz w:val="22"/>
          <w:szCs w:val="22"/>
          <w:highlight w:val="none"/>
          <w:lang w:val="en-US" w:eastAsia="zh-CN"/>
        </w:rPr>
        <w:t>2.</w:t>
      </w:r>
      <w:r>
        <w:rPr>
          <w:rFonts w:hint="eastAsia" w:ascii="Times New Roman" w:hAnsi="Times New Roman" w:eastAsia="方正兰亭黑简体" w:cs="Times New Roman"/>
          <w:b w:val="0"/>
          <w:bCs w:val="0"/>
          <w:color w:val="auto"/>
          <w:sz w:val="22"/>
          <w:szCs w:val="22"/>
          <w:highlight w:val="none"/>
          <w:lang w:val="zh-CN" w:eastAsia="zh-CN"/>
        </w:rPr>
        <w:t>测试完成后一年内，采购方对数据有异议，响应方负责解释并完善。</w:t>
      </w:r>
    </w:p>
    <w:p w14:paraId="2848B93A">
      <w:pPr>
        <w:spacing w:line="480" w:lineRule="auto"/>
        <w:ind w:left="0" w:leftChars="0" w:firstLine="0" w:firstLineChars="0"/>
        <w:rPr>
          <w:rFonts w:hint="default" w:ascii="Times New Roman" w:hAnsi="Times New Roman" w:eastAsia="方正兰亭黑简体" w:cs="Times New Roman"/>
          <w:color w:val="auto"/>
          <w:sz w:val="22"/>
          <w:szCs w:val="22"/>
          <w:highlight w:val="none"/>
          <w:lang w:val="en-US" w:eastAsia="zh-CN"/>
        </w:rPr>
      </w:pPr>
    </w:p>
    <w:p w14:paraId="6966AFDC">
      <w:pP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br w:type="page"/>
      </w:r>
    </w:p>
    <w:p w14:paraId="242B56B3">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第三章</w:t>
      </w:r>
      <w:r>
        <w:rPr>
          <w:rFonts w:hint="eastAsia" w:ascii="方正兰亭黑简体" w:hAnsi="方正兰亭黑简体" w:eastAsia="方正兰亭黑简体" w:cs="方正兰亭黑简体"/>
          <w:b/>
          <w:bCs/>
          <w:color w:val="auto"/>
          <w:sz w:val="24"/>
          <w:szCs w:val="32"/>
          <w:highlight w:val="none"/>
          <w:lang w:val="en-US" w:eastAsia="zh-CN"/>
        </w:rPr>
        <w:t xml:space="preserve"> </w:t>
      </w:r>
      <w:r>
        <w:rPr>
          <w:rFonts w:hint="eastAsia" w:ascii="方正兰亭黑简体" w:hAnsi="方正兰亭黑简体" w:eastAsia="方正兰亭黑简体" w:cs="方正兰亭黑简体"/>
          <w:b/>
          <w:bCs/>
          <w:color w:val="auto"/>
          <w:sz w:val="24"/>
          <w:szCs w:val="32"/>
          <w:highlight w:val="none"/>
        </w:rPr>
        <w:t>评审办法</w:t>
      </w:r>
    </w:p>
    <w:p w14:paraId="2DA9D43D">
      <w:pPr>
        <w:ind w:firstLine="440" w:firstLineChars="200"/>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综合本项目的特点，根据相关法律法规的规定，本着保护竞争，维护采购工作公开、公平、公正原则，特制定本评审办法，作为选定本次采购中标人的依据。</w:t>
      </w:r>
    </w:p>
    <w:p w14:paraId="673FFF60">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1、成立比选评审小组</w:t>
      </w:r>
    </w:p>
    <w:p w14:paraId="1D34F033">
      <w:p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采购人将根据货物与服务的特点，依规组建比选小组，比选小组由3人或以上的单数组成。</w:t>
      </w:r>
    </w:p>
    <w:p w14:paraId="12EFA4B4">
      <w:pPr>
        <w:numPr>
          <w:ilvl w:val="0"/>
          <w:numId w:val="1"/>
        </w:numPr>
        <w:jc w:val="left"/>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具体评分细则如下：</w:t>
      </w:r>
    </w:p>
    <w:tbl>
      <w:tblPr>
        <w:tblStyle w:val="14"/>
        <w:tblW w:w="498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641"/>
        <w:gridCol w:w="1300"/>
        <w:gridCol w:w="707"/>
        <w:gridCol w:w="7065"/>
      </w:tblGrid>
      <w:tr w14:paraId="4FA9B33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0" w:hRule="atLeast"/>
          <w:jc w:val="center"/>
        </w:trPr>
        <w:tc>
          <w:tcPr>
            <w:tcW w:w="330" w:type="pct"/>
            <w:vAlign w:val="center"/>
          </w:tcPr>
          <w:p w14:paraId="0E8E4E82">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序号</w:t>
            </w:r>
          </w:p>
        </w:tc>
        <w:tc>
          <w:tcPr>
            <w:tcW w:w="669" w:type="pct"/>
            <w:vAlign w:val="center"/>
          </w:tcPr>
          <w:p w14:paraId="04667EC9">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评审因素</w:t>
            </w:r>
          </w:p>
        </w:tc>
        <w:tc>
          <w:tcPr>
            <w:tcW w:w="364" w:type="pct"/>
            <w:vAlign w:val="center"/>
          </w:tcPr>
          <w:p w14:paraId="6B1AA947">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分值</w:t>
            </w:r>
          </w:p>
        </w:tc>
        <w:tc>
          <w:tcPr>
            <w:tcW w:w="3635" w:type="pct"/>
            <w:vAlign w:val="center"/>
          </w:tcPr>
          <w:p w14:paraId="78DCF4D6">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评分说明</w:t>
            </w:r>
          </w:p>
        </w:tc>
      </w:tr>
      <w:tr w14:paraId="25120DB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5000" w:type="pct"/>
            <w:gridSpan w:val="4"/>
            <w:vAlign w:val="center"/>
          </w:tcPr>
          <w:p w14:paraId="3C4E5B51">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一、价格部分</w:t>
            </w:r>
          </w:p>
        </w:tc>
      </w:tr>
      <w:tr w14:paraId="14B227B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330" w:type="pct"/>
            <w:vAlign w:val="center"/>
          </w:tcPr>
          <w:p w14:paraId="40A3FBEB">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w:t>
            </w:r>
          </w:p>
        </w:tc>
        <w:tc>
          <w:tcPr>
            <w:tcW w:w="669" w:type="pct"/>
            <w:vAlign w:val="center"/>
          </w:tcPr>
          <w:p w14:paraId="6E043E2F">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价格得分</w:t>
            </w:r>
          </w:p>
          <w:p w14:paraId="33D28CC8">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64" w:type="pct"/>
            <w:vAlign w:val="center"/>
          </w:tcPr>
          <w:p w14:paraId="2F6FAA4D">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20</w:t>
            </w:r>
          </w:p>
        </w:tc>
        <w:tc>
          <w:tcPr>
            <w:tcW w:w="3635" w:type="pct"/>
            <w:vAlign w:val="center"/>
          </w:tcPr>
          <w:p w14:paraId="69E5170C">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采用低价优先法计算，即满足比选文件要求且最低的报价为基准价，其价格分为满分20分。其他报价单位的报价得分计算公式如下：报价得分＝20×（评标基准价/投标报价）。</w:t>
            </w:r>
          </w:p>
        </w:tc>
      </w:tr>
      <w:tr w14:paraId="4DE7C0B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35" w:hRule="atLeast"/>
          <w:jc w:val="center"/>
        </w:trPr>
        <w:tc>
          <w:tcPr>
            <w:tcW w:w="5000" w:type="pct"/>
            <w:gridSpan w:val="4"/>
            <w:vAlign w:val="center"/>
          </w:tcPr>
          <w:p w14:paraId="11AA50BB">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二、商务、技术部分</w:t>
            </w:r>
          </w:p>
        </w:tc>
      </w:tr>
      <w:tr w14:paraId="2540F19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7" w:hRule="atLeast"/>
          <w:jc w:val="center"/>
        </w:trPr>
        <w:tc>
          <w:tcPr>
            <w:tcW w:w="330" w:type="pct"/>
            <w:vAlign w:val="center"/>
          </w:tcPr>
          <w:p w14:paraId="4ED921D1">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w:t>
            </w:r>
          </w:p>
        </w:tc>
        <w:tc>
          <w:tcPr>
            <w:tcW w:w="669" w:type="pct"/>
            <w:vAlign w:val="center"/>
          </w:tcPr>
          <w:p w14:paraId="7AF339FF">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经验业绩</w:t>
            </w:r>
          </w:p>
          <w:p w14:paraId="6004DB21">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64" w:type="pct"/>
            <w:vAlign w:val="center"/>
          </w:tcPr>
          <w:p w14:paraId="3557659E">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15</w:t>
            </w:r>
          </w:p>
        </w:tc>
        <w:tc>
          <w:tcPr>
            <w:tcW w:w="3635" w:type="pct"/>
            <w:vAlign w:val="center"/>
          </w:tcPr>
          <w:p w14:paraId="74E23610">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提供近3年（合同签订日期自2023年</w:t>
            </w:r>
            <w:r>
              <w:rPr>
                <w:rFonts w:hint="eastAsia" w:ascii="方正兰亭黑简体" w:hAnsi="方正兰亭黑简体" w:eastAsia="方正兰亭黑简体" w:cs="方正兰亭黑简体"/>
                <w:color w:val="auto"/>
                <w:sz w:val="20"/>
                <w:szCs w:val="20"/>
                <w:highlight w:val="none"/>
                <w:lang w:val="en-US" w:eastAsia="zh-CN"/>
              </w:rPr>
              <w:t>9</w:t>
            </w:r>
            <w:r>
              <w:rPr>
                <w:rFonts w:hint="eastAsia" w:ascii="方正兰亭黑简体" w:hAnsi="方正兰亭黑简体" w:eastAsia="方正兰亭黑简体" w:cs="方正兰亭黑简体"/>
                <w:color w:val="auto"/>
                <w:sz w:val="20"/>
                <w:szCs w:val="20"/>
                <w:highlight w:val="none"/>
              </w:rPr>
              <w:t>月1日起至今）业绩案例。（每提供1个得5分；最高得15分）注：需提供相关业绩的合同复印件，否则将不予认可。</w:t>
            </w:r>
          </w:p>
        </w:tc>
      </w:tr>
      <w:tr w14:paraId="6AF9498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330" w:type="pct"/>
            <w:vAlign w:val="center"/>
          </w:tcPr>
          <w:p w14:paraId="4780BF04">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3</w:t>
            </w:r>
          </w:p>
        </w:tc>
        <w:tc>
          <w:tcPr>
            <w:tcW w:w="669" w:type="pct"/>
            <w:vAlign w:val="center"/>
          </w:tcPr>
          <w:p w14:paraId="312CC6C9">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服务响应程度</w:t>
            </w:r>
          </w:p>
          <w:p w14:paraId="1DD2C7B1">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（客观分）</w:t>
            </w:r>
          </w:p>
        </w:tc>
        <w:tc>
          <w:tcPr>
            <w:tcW w:w="364" w:type="pct"/>
            <w:vAlign w:val="center"/>
          </w:tcPr>
          <w:p w14:paraId="3A438D65">
            <w:pPr>
              <w:spacing w:line="240" w:lineRule="auto"/>
              <w:jc w:val="center"/>
              <w:rPr>
                <w:rFonts w:hint="default" w:ascii="方正兰亭黑简体" w:hAnsi="方正兰亭黑简体" w:eastAsia="方正兰亭黑简体" w:cs="方正兰亭黑简体"/>
                <w:color w:val="auto"/>
                <w:sz w:val="20"/>
                <w:szCs w:val="20"/>
                <w:highlight w:val="none"/>
                <w:lang w:val="en-US" w:eastAsia="zh-CN"/>
              </w:rPr>
            </w:pPr>
            <w:r>
              <w:rPr>
                <w:rFonts w:hint="eastAsia" w:ascii="方正兰亭黑简体" w:hAnsi="方正兰亭黑简体" w:eastAsia="方正兰亭黑简体" w:cs="方正兰亭黑简体"/>
                <w:color w:val="auto"/>
                <w:sz w:val="20"/>
                <w:szCs w:val="20"/>
                <w:highlight w:val="none"/>
                <w:lang w:val="en-US" w:eastAsia="zh-CN"/>
              </w:rPr>
              <w:t>25</w:t>
            </w:r>
          </w:p>
        </w:tc>
        <w:tc>
          <w:tcPr>
            <w:tcW w:w="3635" w:type="pct"/>
            <w:vAlign w:val="center"/>
          </w:tcPr>
          <w:p w14:paraId="4C942918">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针对第二章中的采购需求：不满足</w:t>
            </w:r>
            <w:r>
              <w:rPr>
                <w:rFonts w:hint="eastAsia" w:ascii="方正兰亭黑简体" w:hAnsi="方正兰亭黑简体" w:eastAsia="方正兰亭黑简体" w:cs="方正兰亭黑简体"/>
                <w:color w:val="auto"/>
                <w:sz w:val="20"/>
                <w:szCs w:val="20"/>
                <w:highlight w:val="none"/>
                <w:lang w:val="en-US" w:eastAsia="zh-CN"/>
              </w:rPr>
              <w:t>技术要求</w:t>
            </w:r>
            <w:r>
              <w:rPr>
                <w:rFonts w:hint="eastAsia" w:ascii="方正兰亭黑简体" w:hAnsi="方正兰亭黑简体" w:eastAsia="方正兰亭黑简体" w:cs="方正兰亭黑简体"/>
                <w:color w:val="auto"/>
                <w:sz w:val="20"/>
                <w:szCs w:val="20"/>
                <w:highlight w:val="none"/>
              </w:rPr>
              <w:t>的，每项扣</w:t>
            </w:r>
            <w:r>
              <w:rPr>
                <w:rFonts w:hint="eastAsia" w:ascii="方正兰亭黑简体" w:hAnsi="方正兰亭黑简体" w:eastAsia="方正兰亭黑简体" w:cs="方正兰亭黑简体"/>
                <w:color w:val="auto"/>
                <w:sz w:val="20"/>
                <w:szCs w:val="20"/>
                <w:highlight w:val="none"/>
                <w:lang w:val="en-US" w:eastAsia="zh-CN"/>
              </w:rPr>
              <w:t>5</w:t>
            </w:r>
            <w:r>
              <w:rPr>
                <w:rFonts w:hint="eastAsia" w:ascii="方正兰亭黑简体" w:hAnsi="方正兰亭黑简体" w:eastAsia="方正兰亭黑简体" w:cs="方正兰亭黑简体"/>
                <w:color w:val="auto"/>
                <w:sz w:val="20"/>
                <w:szCs w:val="20"/>
                <w:highlight w:val="none"/>
              </w:rPr>
              <w:t>分；扣完为止。</w:t>
            </w:r>
          </w:p>
        </w:tc>
      </w:tr>
      <w:tr w14:paraId="4D0BBB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881" w:hRule="atLeast"/>
          <w:jc w:val="center"/>
        </w:trPr>
        <w:tc>
          <w:tcPr>
            <w:tcW w:w="330" w:type="pct"/>
            <w:vAlign w:val="center"/>
          </w:tcPr>
          <w:p w14:paraId="788752CD">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4</w:t>
            </w:r>
          </w:p>
        </w:tc>
        <w:tc>
          <w:tcPr>
            <w:tcW w:w="669" w:type="pct"/>
            <w:tcBorders>
              <w:top w:val="single" w:color="auto" w:sz="6" w:space="0"/>
              <w:left w:val="single" w:color="auto" w:sz="6" w:space="0"/>
              <w:bottom w:val="single" w:color="auto" w:sz="6" w:space="0"/>
              <w:right w:val="single" w:color="auto" w:sz="6" w:space="0"/>
            </w:tcBorders>
            <w:vAlign w:val="center"/>
          </w:tcPr>
          <w:p w14:paraId="7A8085AB">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zh-CN"/>
              </w:rPr>
              <w:t>服务方案</w:t>
            </w:r>
            <w:r>
              <w:rPr>
                <w:rFonts w:hint="eastAsia" w:ascii="方正兰亭黑简体" w:hAnsi="方正兰亭黑简体" w:eastAsia="方正兰亭黑简体" w:cs="方正兰亭黑简体"/>
                <w:color w:val="auto"/>
                <w:sz w:val="20"/>
                <w:szCs w:val="20"/>
                <w:highlight w:val="none"/>
              </w:rPr>
              <w:t>整体质量</w:t>
            </w:r>
          </w:p>
          <w:p w14:paraId="2F94F36C">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（主观分）</w:t>
            </w:r>
          </w:p>
        </w:tc>
        <w:tc>
          <w:tcPr>
            <w:tcW w:w="364" w:type="pct"/>
            <w:vAlign w:val="center"/>
          </w:tcPr>
          <w:p w14:paraId="004B4B48">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lang w:val="en-US" w:eastAsia="zh-CN"/>
              </w:rPr>
              <w:t>2</w:t>
            </w:r>
            <w:r>
              <w:rPr>
                <w:rFonts w:hint="eastAsia" w:ascii="方正兰亭黑简体" w:hAnsi="方正兰亭黑简体" w:eastAsia="方正兰亭黑简体" w:cs="方正兰亭黑简体"/>
                <w:color w:val="auto"/>
                <w:sz w:val="20"/>
                <w:szCs w:val="20"/>
                <w:highlight w:val="none"/>
              </w:rPr>
              <w:t>0</w:t>
            </w:r>
          </w:p>
        </w:tc>
        <w:tc>
          <w:tcPr>
            <w:tcW w:w="3635" w:type="pct"/>
            <w:vAlign w:val="center"/>
          </w:tcPr>
          <w:p w14:paraId="6393C2D9">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优秀（16～20分）：方案整体质量高，方案合理可行性强，响应措施及时高效，项目进度安排紧凑合理。</w:t>
            </w:r>
          </w:p>
          <w:p w14:paraId="36A6F9CB">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良好（11～15分）：方案整体质量较好，响应措施尚可，方案个别细节有待进一步完善。</w:t>
            </w:r>
          </w:p>
          <w:p w14:paraId="3EC9A561">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一般（6～10分）：方案整体质量一般，合理性与可行性一般，存在风险但总体可控的。</w:t>
            </w:r>
          </w:p>
          <w:p w14:paraId="58DA62C3">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较差（0～5分）：方案整体质量较差，与项目实际契合度低的。</w:t>
            </w:r>
          </w:p>
        </w:tc>
      </w:tr>
      <w:tr w14:paraId="3BB3167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4" w:hRule="atLeast"/>
          <w:jc w:val="center"/>
        </w:trPr>
        <w:tc>
          <w:tcPr>
            <w:tcW w:w="330" w:type="pct"/>
            <w:vAlign w:val="center"/>
          </w:tcPr>
          <w:p w14:paraId="56286725">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5</w:t>
            </w:r>
          </w:p>
        </w:tc>
        <w:tc>
          <w:tcPr>
            <w:tcW w:w="669" w:type="pct"/>
            <w:vAlign w:val="center"/>
          </w:tcPr>
          <w:p w14:paraId="6709E7BB">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服务承诺</w:t>
            </w:r>
          </w:p>
          <w:p w14:paraId="020BE35A">
            <w:pPr>
              <w:pStyle w:val="13"/>
              <w:spacing w:line="240" w:lineRule="auto"/>
              <w:ind w:firstLine="200"/>
              <w:rPr>
                <w:color w:val="auto"/>
                <w:highlight w:val="none"/>
              </w:rPr>
            </w:pPr>
            <w:r>
              <w:rPr>
                <w:rFonts w:hint="eastAsia" w:ascii="方正兰亭黑简体" w:hAnsi="方正兰亭黑简体" w:eastAsia="方正兰亭黑简体" w:cs="方正兰亭黑简体"/>
                <w:color w:val="auto"/>
                <w:sz w:val="20"/>
                <w:szCs w:val="20"/>
                <w:highlight w:val="none"/>
              </w:rPr>
              <w:t>（主观分）</w:t>
            </w:r>
          </w:p>
        </w:tc>
        <w:tc>
          <w:tcPr>
            <w:tcW w:w="364" w:type="pct"/>
            <w:vAlign w:val="center"/>
          </w:tcPr>
          <w:p w14:paraId="1D1DB52F">
            <w:pPr>
              <w:spacing w:line="240" w:lineRule="auto"/>
              <w:jc w:val="center"/>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20</w:t>
            </w:r>
          </w:p>
        </w:tc>
        <w:tc>
          <w:tcPr>
            <w:tcW w:w="3635" w:type="pct"/>
          </w:tcPr>
          <w:p w14:paraId="17BC9C7A">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优秀（16～20分）：服务承诺等合理可行。</w:t>
            </w:r>
          </w:p>
          <w:p w14:paraId="39CBBAFA">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良好（11～15分）：服务承诺等比较合理。</w:t>
            </w:r>
          </w:p>
          <w:p w14:paraId="57D0EDAC">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一般（6～10分）：服务承诺等合理性与可行性一般。</w:t>
            </w:r>
          </w:p>
          <w:p w14:paraId="053ACC0F">
            <w:pPr>
              <w:spacing w:line="240" w:lineRule="auto"/>
              <w:jc w:val="left"/>
              <w:rPr>
                <w:rFonts w:hint="eastAsia" w:ascii="方正兰亭黑简体" w:hAnsi="方正兰亭黑简体" w:eastAsia="方正兰亭黑简体" w:cs="方正兰亭黑简体"/>
                <w:color w:val="auto"/>
                <w:sz w:val="20"/>
                <w:szCs w:val="20"/>
                <w:highlight w:val="none"/>
              </w:rPr>
            </w:pPr>
            <w:r>
              <w:rPr>
                <w:rFonts w:hint="eastAsia" w:ascii="方正兰亭黑简体" w:hAnsi="方正兰亭黑简体" w:eastAsia="方正兰亭黑简体" w:cs="方正兰亭黑简体"/>
                <w:color w:val="auto"/>
                <w:sz w:val="20"/>
                <w:szCs w:val="20"/>
                <w:highlight w:val="none"/>
              </w:rPr>
              <w:t>较差（0～5分）：服务承诺等合理性与可行性较差。</w:t>
            </w:r>
          </w:p>
        </w:tc>
      </w:tr>
    </w:tbl>
    <w:p w14:paraId="6072BEB5">
      <w:pPr>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br w:type="page"/>
      </w:r>
    </w:p>
    <w:p w14:paraId="2D0B04EA">
      <w:pPr>
        <w:jc w:val="center"/>
        <w:rPr>
          <w:rFonts w:hint="eastAsia" w:ascii="方正兰亭黑简体" w:hAnsi="方正兰亭黑简体" w:eastAsia="方正兰亭黑简体" w:cs="方正兰亭黑简体"/>
          <w:b/>
          <w:bCs/>
          <w:color w:val="auto"/>
          <w:sz w:val="24"/>
          <w:szCs w:val="32"/>
          <w:highlight w:val="none"/>
        </w:rPr>
        <w:sectPr>
          <w:footerReference r:id="rId3" w:type="default"/>
          <w:pgSz w:w="11906" w:h="16838"/>
          <w:pgMar w:top="1440" w:right="1080" w:bottom="1440" w:left="1080" w:header="851" w:footer="992" w:gutter="0"/>
          <w:cols w:space="425" w:num="1"/>
          <w:docGrid w:type="lines" w:linePitch="312" w:charSpace="0"/>
        </w:sectPr>
      </w:pPr>
    </w:p>
    <w:p w14:paraId="1AC852B6">
      <w:pPr>
        <w:jc w:val="center"/>
        <w:rPr>
          <w:rFonts w:hint="eastAsia" w:ascii="方正兰亭黑简体" w:hAnsi="方正兰亭黑简体" w:eastAsia="方正兰亭黑简体" w:cs="方正兰亭黑简体"/>
          <w:b/>
          <w:bCs/>
          <w:color w:val="auto"/>
          <w:sz w:val="24"/>
          <w:szCs w:val="32"/>
          <w:highlight w:val="none"/>
        </w:rPr>
      </w:pPr>
      <w:r>
        <w:rPr>
          <w:rFonts w:hint="eastAsia" w:ascii="方正兰亭黑简体" w:hAnsi="方正兰亭黑简体" w:eastAsia="方正兰亭黑简体" w:cs="方正兰亭黑简体"/>
          <w:b/>
          <w:bCs/>
          <w:color w:val="auto"/>
          <w:sz w:val="24"/>
          <w:szCs w:val="32"/>
          <w:highlight w:val="none"/>
        </w:rPr>
        <w:t>第四章格式附件</w:t>
      </w:r>
    </w:p>
    <w:p w14:paraId="1219D175">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附件1：报价单</w:t>
      </w:r>
    </w:p>
    <w:p w14:paraId="038537F8">
      <w:pPr>
        <w:spacing w:line="440" w:lineRule="exact"/>
        <w:jc w:val="center"/>
        <w:rPr>
          <w:rFonts w:hint="eastAsia" w:ascii="宋体" w:hAnsi="宋体" w:eastAsia="宋体"/>
          <w:color w:val="auto"/>
          <w:sz w:val="24"/>
          <w:highlight w:val="none"/>
        </w:rPr>
      </w:pPr>
      <w:r>
        <w:rPr>
          <w:rFonts w:hint="eastAsia" w:ascii="黑体" w:hAnsi="华文楷体" w:eastAsia="黑体"/>
          <w:b/>
          <w:color w:val="auto"/>
          <w:sz w:val="36"/>
          <w:szCs w:val="36"/>
          <w:highlight w:val="none"/>
        </w:rPr>
        <w:t>报价单</w:t>
      </w:r>
    </w:p>
    <w:p w14:paraId="28C0DCFE">
      <w:pPr>
        <w:spacing w:line="440" w:lineRule="exact"/>
        <w:jc w:val="left"/>
        <w:rPr>
          <w:rFonts w:hint="eastAsia" w:ascii="黑体" w:hAnsi="华文楷体" w:eastAsia="黑体"/>
          <w:color w:val="auto"/>
          <w:sz w:val="24"/>
          <w:highlight w:val="none"/>
          <w:lang w:eastAsia="zh-CN"/>
        </w:rPr>
      </w:pPr>
      <w:r>
        <w:rPr>
          <w:rFonts w:hint="eastAsia" w:ascii="黑体" w:hAnsi="华文楷体" w:eastAsia="黑体"/>
          <w:b/>
          <w:color w:val="auto"/>
          <w:sz w:val="24"/>
          <w:highlight w:val="none"/>
        </w:rPr>
        <w:t>TO</w:t>
      </w:r>
      <w:r>
        <w:rPr>
          <w:rFonts w:hint="eastAsia" w:ascii="黑体" w:hAnsi="华文楷体" w:eastAsia="黑体"/>
          <w:b/>
          <w:color w:val="auto"/>
          <w:sz w:val="24"/>
          <w:highlight w:val="none"/>
          <w:lang w:eastAsia="zh-CN"/>
        </w:rPr>
        <w:t>：</w:t>
      </w:r>
      <w:r>
        <w:rPr>
          <w:rFonts w:hint="eastAsia" w:ascii="黑体" w:hAnsi="华文楷体" w:eastAsia="黑体"/>
          <w:color w:val="auto"/>
          <w:sz w:val="24"/>
          <w:highlight w:val="none"/>
        </w:rPr>
        <w:t>上海海事大学采购与招投标管理中心</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项目编号：</w:t>
      </w:r>
      <w:r>
        <w:rPr>
          <w:rFonts w:hint="eastAsia" w:ascii="黑体" w:hAnsi="华文楷体" w:eastAsia="黑体"/>
          <w:color w:val="auto"/>
          <w:sz w:val="24"/>
          <w:highlight w:val="none"/>
          <w:lang w:eastAsia="zh-CN"/>
        </w:rPr>
        <w:t>HFBX2026085</w:t>
      </w:r>
    </w:p>
    <w:p w14:paraId="09EAC316">
      <w:pPr>
        <w:spacing w:line="440" w:lineRule="exact"/>
        <w:rPr>
          <w:rFonts w:hint="eastAsia" w:ascii="方正仿宋_GB2312" w:hAnsi="方正仿宋_GB2312" w:eastAsia="方正仿宋_GB2312" w:cs="方正仿宋_GB2312"/>
          <w:b/>
          <w:color w:val="auto"/>
          <w:sz w:val="24"/>
          <w:highlight w:val="none"/>
        </w:rPr>
      </w:pPr>
      <w:r>
        <w:rPr>
          <w:rFonts w:hint="eastAsia" w:ascii="黑体" w:hAnsi="华文楷体" w:eastAsia="黑体"/>
          <w:b/>
          <w:color w:val="auto"/>
          <w:sz w:val="24"/>
          <w:highlight w:val="none"/>
        </w:rPr>
        <w:t>电子邮箱：</w:t>
      </w:r>
      <w:r>
        <w:rPr>
          <w:color w:val="auto"/>
          <w:highlight w:val="none"/>
        </w:rPr>
        <w:fldChar w:fldCharType="begin"/>
      </w:r>
      <w:r>
        <w:rPr>
          <w:color w:val="auto"/>
          <w:highlight w:val="none"/>
        </w:rPr>
        <w:instrText xml:space="preserve"> HYPERLINK "mailto:quotation@shmtu.edu.cn" </w:instrText>
      </w:r>
      <w:r>
        <w:rPr>
          <w:color w:val="auto"/>
          <w:highlight w:val="none"/>
        </w:rPr>
        <w:fldChar w:fldCharType="separate"/>
      </w:r>
      <w:r>
        <w:rPr>
          <w:rStyle w:val="18"/>
          <w:rFonts w:ascii="黑体" w:hAnsi="华文楷体" w:eastAsia="黑体"/>
          <w:b/>
          <w:color w:val="auto"/>
          <w:sz w:val="24"/>
          <w:highlight w:val="none"/>
        </w:rPr>
        <w:t>quotation@shmtu.edu.cn</w:t>
      </w:r>
      <w:r>
        <w:rPr>
          <w:rStyle w:val="18"/>
          <w:rFonts w:ascii="黑体" w:hAnsi="华文楷体" w:eastAsia="黑体"/>
          <w:b/>
          <w:color w:val="auto"/>
          <w:sz w:val="24"/>
          <w:highlight w:val="none"/>
        </w:rPr>
        <w:fldChar w:fldCharType="end"/>
      </w:r>
    </w:p>
    <w:p w14:paraId="0E4AC90F">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公司名称：联系人：</w:t>
      </w:r>
    </w:p>
    <w:p w14:paraId="6610026A">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电子邮箱：公司地址：</w:t>
      </w:r>
    </w:p>
    <w:p w14:paraId="0F397EAB">
      <w:pPr>
        <w:spacing w:line="440" w:lineRule="exact"/>
        <w:rPr>
          <w:rFonts w:hint="eastAsia" w:ascii="黑体" w:hAnsi="华文楷体" w:eastAsia="黑体"/>
          <w:b/>
          <w:color w:val="auto"/>
          <w:sz w:val="24"/>
          <w:highlight w:val="none"/>
        </w:rPr>
      </w:pPr>
      <w:r>
        <w:rPr>
          <w:rFonts w:hint="eastAsia" w:ascii="黑体" w:hAnsi="华文楷体" w:eastAsia="黑体"/>
          <w:b/>
          <w:color w:val="auto"/>
          <w:sz w:val="24"/>
          <w:highlight w:val="none"/>
        </w:rPr>
        <w:t>电话：联系人手机：</w:t>
      </w:r>
    </w:p>
    <w:p w14:paraId="184D96DB">
      <w:pPr>
        <w:spacing w:line="440" w:lineRule="exact"/>
        <w:rPr>
          <w:rFonts w:hint="eastAsia" w:ascii="黑体" w:hAnsi="华文楷体" w:eastAsia="黑体"/>
          <w:b/>
          <w:color w:val="auto"/>
          <w:sz w:val="24"/>
          <w:highlight w:val="none"/>
        </w:rPr>
      </w:pPr>
    </w:p>
    <w:tbl>
      <w:tblPr>
        <w:tblStyle w:val="14"/>
        <w:tblW w:w="4987"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28" w:type="dxa"/>
          <w:bottom w:w="0" w:type="dxa"/>
          <w:right w:w="28" w:type="dxa"/>
        </w:tblCellMar>
      </w:tblPr>
      <w:tblGrid>
        <w:gridCol w:w="605"/>
        <w:gridCol w:w="3844"/>
        <w:gridCol w:w="2932"/>
        <w:gridCol w:w="2320"/>
      </w:tblGrid>
      <w:tr w14:paraId="164CE4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50" w:hRule="exact"/>
        </w:trPr>
        <w:tc>
          <w:tcPr>
            <w:tcW w:w="312" w:type="pct"/>
            <w:tcBorders>
              <w:top w:val="single" w:color="auto" w:sz="12" w:space="0"/>
              <w:left w:val="single" w:color="auto" w:sz="12" w:space="0"/>
              <w:bottom w:val="double" w:color="auto" w:sz="4" w:space="0"/>
            </w:tcBorders>
            <w:vAlign w:val="center"/>
          </w:tcPr>
          <w:p w14:paraId="2BBD17A6">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序号</w:t>
            </w:r>
          </w:p>
        </w:tc>
        <w:tc>
          <w:tcPr>
            <w:tcW w:w="1980" w:type="pct"/>
            <w:tcBorders>
              <w:top w:val="single" w:color="auto" w:sz="12" w:space="0"/>
              <w:bottom w:val="double" w:color="auto" w:sz="4" w:space="0"/>
            </w:tcBorders>
            <w:vAlign w:val="center"/>
          </w:tcPr>
          <w:p w14:paraId="1041179F">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项目名称</w:t>
            </w:r>
          </w:p>
        </w:tc>
        <w:tc>
          <w:tcPr>
            <w:tcW w:w="1511" w:type="pct"/>
            <w:tcBorders>
              <w:top w:val="single" w:color="auto" w:sz="12" w:space="0"/>
              <w:left w:val="single" w:color="auto" w:sz="4" w:space="0"/>
              <w:bottom w:val="double" w:color="auto" w:sz="4" w:space="0"/>
              <w:right w:val="single" w:color="auto" w:sz="4" w:space="0"/>
            </w:tcBorders>
            <w:vAlign w:val="center"/>
          </w:tcPr>
          <w:p w14:paraId="697F2EE7">
            <w:pPr>
              <w:tabs>
                <w:tab w:val="left" w:pos="7020"/>
              </w:tabs>
              <w:jc w:val="center"/>
              <w:rPr>
                <w:rFonts w:hint="eastAsia" w:ascii="黑体" w:hAnsi="黑体" w:eastAsia="黑体"/>
                <w:b/>
                <w:color w:val="auto"/>
                <w:sz w:val="24"/>
                <w:highlight w:val="none"/>
                <w:lang w:val="en-US" w:eastAsia="zh-CN"/>
              </w:rPr>
            </w:pPr>
            <w:r>
              <w:rPr>
                <w:rFonts w:hint="eastAsia" w:ascii="黑体" w:hAnsi="黑体" w:eastAsia="黑体"/>
                <w:b/>
                <w:color w:val="auto"/>
                <w:sz w:val="24"/>
                <w:highlight w:val="none"/>
              </w:rPr>
              <w:t>项目</w:t>
            </w:r>
            <w:r>
              <w:rPr>
                <w:rFonts w:hint="eastAsia" w:ascii="黑体" w:hAnsi="黑体" w:eastAsia="黑体"/>
                <w:b/>
                <w:color w:val="auto"/>
                <w:sz w:val="24"/>
                <w:highlight w:val="none"/>
                <w:lang w:val="en-US" w:eastAsia="zh-CN"/>
              </w:rPr>
              <w:t>总价</w:t>
            </w:r>
            <w:r>
              <w:rPr>
                <w:rFonts w:hint="eastAsia" w:ascii="黑体" w:hAnsi="黑体" w:eastAsia="黑体"/>
                <w:b/>
                <w:color w:val="auto"/>
                <w:sz w:val="24"/>
                <w:highlight w:val="none"/>
              </w:rPr>
              <w:t>（元）</w:t>
            </w:r>
          </w:p>
        </w:tc>
        <w:tc>
          <w:tcPr>
            <w:tcW w:w="1195" w:type="pct"/>
            <w:tcBorders>
              <w:top w:val="single" w:color="auto" w:sz="12" w:space="0"/>
              <w:left w:val="single" w:color="auto" w:sz="4" w:space="0"/>
              <w:bottom w:val="double" w:color="auto" w:sz="4" w:space="0"/>
              <w:right w:val="single" w:color="auto" w:sz="12" w:space="0"/>
            </w:tcBorders>
            <w:vAlign w:val="center"/>
          </w:tcPr>
          <w:p w14:paraId="5C391E51">
            <w:pPr>
              <w:tabs>
                <w:tab w:val="left" w:pos="7020"/>
              </w:tabs>
              <w:jc w:val="center"/>
              <w:rPr>
                <w:rFonts w:hint="default" w:ascii="黑体" w:hAnsi="黑体" w:eastAsia="黑体"/>
                <w:b/>
                <w:color w:val="auto"/>
                <w:sz w:val="24"/>
                <w:highlight w:val="none"/>
                <w:lang w:val="en-US" w:eastAsia="zh-CN"/>
              </w:rPr>
            </w:pPr>
            <w:r>
              <w:rPr>
                <w:rFonts w:hint="eastAsia" w:ascii="黑体" w:hAnsi="黑体" w:eastAsia="黑体"/>
                <w:b/>
                <w:color w:val="auto"/>
                <w:sz w:val="24"/>
                <w:highlight w:val="none"/>
                <w:lang w:val="en-US" w:eastAsia="zh-CN"/>
              </w:rPr>
              <w:t>完成期限</w:t>
            </w:r>
          </w:p>
        </w:tc>
      </w:tr>
      <w:tr w14:paraId="09A6E8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1705" w:hRule="exact"/>
        </w:trPr>
        <w:tc>
          <w:tcPr>
            <w:tcW w:w="312" w:type="pct"/>
            <w:tcBorders>
              <w:top w:val="double" w:color="auto" w:sz="4" w:space="0"/>
              <w:left w:val="single" w:color="auto" w:sz="12" w:space="0"/>
              <w:bottom w:val="double" w:color="auto" w:sz="4" w:space="0"/>
            </w:tcBorders>
            <w:vAlign w:val="center"/>
          </w:tcPr>
          <w:p w14:paraId="1ED43816">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1</w:t>
            </w:r>
          </w:p>
        </w:tc>
        <w:tc>
          <w:tcPr>
            <w:tcW w:w="1980" w:type="pct"/>
            <w:tcBorders>
              <w:top w:val="double" w:color="auto" w:sz="4" w:space="0"/>
              <w:bottom w:val="double" w:color="auto" w:sz="4" w:space="0"/>
            </w:tcBorders>
            <w:vAlign w:val="center"/>
          </w:tcPr>
          <w:p w14:paraId="4E78542C">
            <w:pPr>
              <w:tabs>
                <w:tab w:val="left" w:pos="7020"/>
              </w:tabs>
              <w:jc w:val="center"/>
              <w:rPr>
                <w:rFonts w:hint="eastAsia" w:ascii="黑体" w:hAnsi="黑体" w:eastAsia="黑体" w:cs="Times New Roman"/>
                <w:b/>
                <w:color w:val="auto"/>
                <w:sz w:val="24"/>
                <w:highlight w:val="none"/>
                <w:lang w:eastAsia="zh-CN"/>
              </w:rPr>
            </w:pPr>
            <w:r>
              <w:rPr>
                <w:rFonts w:hint="eastAsia" w:ascii="黑体" w:hAnsi="黑体" w:eastAsia="黑体"/>
                <w:b/>
                <w:color w:val="auto"/>
                <w:sz w:val="24"/>
                <w:highlight w:val="none"/>
                <w:lang w:eastAsia="zh-CN"/>
              </w:rPr>
              <w:t>氨柴双燃料中速机运行参数测试</w:t>
            </w:r>
          </w:p>
        </w:tc>
        <w:tc>
          <w:tcPr>
            <w:tcW w:w="1511" w:type="pct"/>
            <w:tcBorders>
              <w:top w:val="double" w:color="auto" w:sz="4" w:space="0"/>
              <w:left w:val="single" w:color="auto" w:sz="4" w:space="0"/>
              <w:bottom w:val="double" w:color="auto" w:sz="4" w:space="0"/>
              <w:right w:val="single" w:color="auto" w:sz="4" w:space="0"/>
            </w:tcBorders>
            <w:vAlign w:val="center"/>
          </w:tcPr>
          <w:p w14:paraId="58FFF829">
            <w:pPr>
              <w:tabs>
                <w:tab w:val="left" w:pos="7020"/>
              </w:tabs>
              <w:jc w:val="center"/>
              <w:rPr>
                <w:rFonts w:hint="eastAsia" w:ascii="黑体" w:hAnsi="黑体" w:eastAsia="黑体"/>
                <w:b/>
                <w:color w:val="auto"/>
                <w:sz w:val="24"/>
                <w:highlight w:val="none"/>
                <w:lang w:eastAsia="zh-CN"/>
              </w:rPr>
            </w:pPr>
          </w:p>
        </w:tc>
        <w:tc>
          <w:tcPr>
            <w:tcW w:w="1195" w:type="pct"/>
            <w:tcBorders>
              <w:top w:val="double" w:color="auto" w:sz="4" w:space="0"/>
              <w:left w:val="single" w:color="auto" w:sz="4" w:space="0"/>
              <w:bottom w:val="double" w:color="auto" w:sz="4" w:space="0"/>
              <w:right w:val="single" w:color="auto" w:sz="12" w:space="0"/>
            </w:tcBorders>
            <w:vAlign w:val="center"/>
          </w:tcPr>
          <w:p w14:paraId="3E1EF44A">
            <w:pPr>
              <w:tabs>
                <w:tab w:val="left" w:pos="7020"/>
              </w:tabs>
              <w:jc w:val="center"/>
              <w:rPr>
                <w:rFonts w:hint="default" w:eastAsiaTheme="minorEastAsia"/>
                <w:color w:val="auto"/>
                <w:highlight w:val="none"/>
                <w:lang w:val="en-US" w:eastAsia="zh-CN"/>
              </w:rPr>
            </w:pPr>
          </w:p>
        </w:tc>
      </w:tr>
      <w:tr w14:paraId="77FEC6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28" w:type="dxa"/>
            <w:bottom w:w="0" w:type="dxa"/>
            <w:right w:w="28" w:type="dxa"/>
          </w:tblCellMar>
        </w:tblPrEx>
        <w:trPr>
          <w:trHeight w:val="850" w:hRule="exact"/>
        </w:trPr>
        <w:tc>
          <w:tcPr>
            <w:tcW w:w="2293" w:type="pct"/>
            <w:gridSpan w:val="2"/>
            <w:tcBorders>
              <w:top w:val="double" w:color="auto" w:sz="4" w:space="0"/>
              <w:left w:val="single" w:color="auto" w:sz="12" w:space="0"/>
              <w:bottom w:val="single" w:color="auto" w:sz="12" w:space="0"/>
              <w:right w:val="single" w:color="auto" w:sz="4" w:space="0"/>
            </w:tcBorders>
            <w:vAlign w:val="center"/>
          </w:tcPr>
          <w:p w14:paraId="6322DB60">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合计金额（人民币）</w:t>
            </w:r>
          </w:p>
        </w:tc>
        <w:tc>
          <w:tcPr>
            <w:tcW w:w="2706" w:type="pct"/>
            <w:gridSpan w:val="2"/>
            <w:tcBorders>
              <w:top w:val="double" w:color="auto" w:sz="4" w:space="0"/>
              <w:left w:val="single" w:color="auto" w:sz="4" w:space="0"/>
              <w:bottom w:val="single" w:color="auto" w:sz="12" w:space="0"/>
              <w:right w:val="single" w:color="auto" w:sz="12" w:space="0"/>
            </w:tcBorders>
            <w:vAlign w:val="center"/>
          </w:tcPr>
          <w:p w14:paraId="4B46D8FA">
            <w:pPr>
              <w:tabs>
                <w:tab w:val="left" w:pos="7020"/>
              </w:tabs>
              <w:jc w:val="center"/>
              <w:rPr>
                <w:rFonts w:hint="eastAsia" w:ascii="黑体" w:hAnsi="黑体" w:eastAsia="黑体"/>
                <w:b/>
                <w:color w:val="auto"/>
                <w:sz w:val="24"/>
                <w:highlight w:val="none"/>
              </w:rPr>
            </w:pPr>
            <w:r>
              <w:rPr>
                <w:rFonts w:hint="eastAsia" w:ascii="黑体" w:hAnsi="黑体" w:eastAsia="黑体"/>
                <w:b/>
                <w:color w:val="auto"/>
                <w:sz w:val="24"/>
                <w:highlight w:val="none"/>
              </w:rPr>
              <w:t>￥（大写）：</w:t>
            </w:r>
          </w:p>
        </w:tc>
      </w:tr>
    </w:tbl>
    <w:p w14:paraId="0408D135">
      <w:pPr>
        <w:spacing w:line="440" w:lineRule="exact"/>
        <w:rPr>
          <w:rFonts w:hint="eastAsia" w:ascii="黑体" w:hAnsi="华文楷体" w:eastAsia="黑体"/>
          <w:color w:val="auto"/>
          <w:sz w:val="24"/>
          <w:highlight w:val="none"/>
        </w:rPr>
      </w:pPr>
    </w:p>
    <w:p w14:paraId="614EA236">
      <w:pPr>
        <w:spacing w:line="440" w:lineRule="exact"/>
        <w:rPr>
          <w:rFonts w:hint="eastAsia" w:ascii="黑体" w:hAnsi="华文楷体" w:eastAsia="黑体"/>
          <w:color w:val="auto"/>
          <w:sz w:val="24"/>
          <w:highlight w:val="none"/>
        </w:rPr>
      </w:pPr>
      <w:r>
        <w:rPr>
          <w:rFonts w:hint="eastAsia" w:ascii="黑体" w:hAnsi="华文楷体" w:eastAsia="黑体"/>
          <w:color w:val="auto"/>
          <w:sz w:val="24"/>
          <w:highlight w:val="none"/>
        </w:rPr>
        <w:t>公司名称（盖章）：</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委托代理人（签字）：</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报价日期：</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年</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月</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日</w:t>
      </w:r>
    </w:p>
    <w:p w14:paraId="20B1E828">
      <w:pPr>
        <w:spacing w:line="440" w:lineRule="exact"/>
        <w:rPr>
          <w:rFonts w:hint="eastAsia" w:ascii="黑体" w:hAnsi="华文楷体" w:eastAsia="黑体"/>
          <w:color w:val="auto"/>
          <w:sz w:val="24"/>
          <w:highlight w:val="none"/>
        </w:rPr>
      </w:pPr>
    </w:p>
    <w:p w14:paraId="642407A4">
      <w:pPr>
        <w:rPr>
          <w:rFonts w:hint="eastAsia" w:ascii="黑体" w:hAnsi="华文楷体" w:eastAsia="黑体"/>
          <w:color w:val="auto"/>
          <w:szCs w:val="21"/>
          <w:highlight w:val="none"/>
        </w:rPr>
      </w:pPr>
      <w:r>
        <w:rPr>
          <w:rFonts w:hint="eastAsia" w:ascii="黑体" w:hAnsi="华文楷体" w:eastAsia="黑体"/>
          <w:color w:val="auto"/>
          <w:szCs w:val="21"/>
          <w:highlight w:val="none"/>
        </w:rPr>
        <w:t>报价说明：1、报价公司提供的上述产品，应完全满足或者优于我校提出的需求。</w:t>
      </w:r>
    </w:p>
    <w:p w14:paraId="554618DC">
      <w:pPr>
        <w:rPr>
          <w:rFonts w:hint="eastAsia" w:ascii="黑体" w:hAnsi="华文楷体" w:eastAsia="黑体"/>
          <w:color w:val="auto"/>
          <w:szCs w:val="21"/>
          <w:highlight w:val="none"/>
        </w:rPr>
      </w:pPr>
      <w:r>
        <w:rPr>
          <w:rFonts w:hint="eastAsia" w:ascii="黑体" w:hAnsi="华文楷体" w:eastAsia="黑体"/>
          <w:color w:val="auto"/>
          <w:szCs w:val="21"/>
          <w:highlight w:val="none"/>
        </w:rPr>
        <w:t>2、如属非标配产品，其技术指标（特别是优于我校需求的部分）请另行附页说明。</w:t>
      </w:r>
    </w:p>
    <w:p w14:paraId="7D349A8B">
      <w:pPr>
        <w:rPr>
          <w:rFonts w:hint="eastAsia" w:ascii="黑体" w:hAnsi="华文楷体" w:eastAsia="黑体"/>
          <w:color w:val="auto"/>
          <w:szCs w:val="21"/>
          <w:highlight w:val="none"/>
        </w:rPr>
      </w:pPr>
      <w:r>
        <w:rPr>
          <w:rFonts w:hint="eastAsia" w:ascii="黑体" w:hAnsi="华文楷体" w:eastAsia="黑体"/>
          <w:color w:val="auto"/>
          <w:szCs w:val="21"/>
          <w:highlight w:val="none"/>
        </w:rPr>
        <w:t>3、特殊的售后服务措施、代理证明情况等需要说明的，请另行附页说明。</w:t>
      </w:r>
    </w:p>
    <w:p w14:paraId="6619B28A">
      <w:pPr>
        <w:rPr>
          <w:rFonts w:hint="eastAsia" w:ascii="黑体" w:hAnsi="华文楷体" w:eastAsia="黑体"/>
          <w:color w:val="auto"/>
          <w:szCs w:val="21"/>
          <w:highlight w:val="none"/>
        </w:rPr>
      </w:pPr>
      <w:r>
        <w:rPr>
          <w:rFonts w:hint="eastAsia" w:ascii="黑体" w:hAnsi="华文楷体" w:eastAsia="黑体"/>
          <w:color w:val="auto"/>
          <w:szCs w:val="21"/>
          <w:highlight w:val="none"/>
        </w:rPr>
        <w:t>4、报价单附页（如有）共页。</w:t>
      </w:r>
    </w:p>
    <w:p w14:paraId="02E355A4">
      <w:pP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br w:type="page"/>
      </w:r>
    </w:p>
    <w:p w14:paraId="66593191">
      <w:pPr>
        <w:spacing w:after="157" w:afterLines="50"/>
        <w:jc w:val="center"/>
        <w:rPr>
          <w:rFonts w:hint="eastAsia" w:ascii="仿宋" w:hAnsi="仿宋" w:eastAsia="仿宋"/>
          <w:b/>
          <w:bCs/>
          <w:color w:val="auto"/>
          <w:kern w:val="0"/>
          <w:sz w:val="36"/>
          <w:szCs w:val="36"/>
          <w:highlight w:val="none"/>
        </w:rPr>
      </w:pPr>
      <w:r>
        <w:rPr>
          <w:rFonts w:hint="eastAsia" w:ascii="仿宋" w:hAnsi="仿宋" w:eastAsia="仿宋"/>
          <w:b/>
          <w:bCs/>
          <w:color w:val="auto"/>
          <w:kern w:val="0"/>
          <w:sz w:val="36"/>
          <w:szCs w:val="36"/>
          <w:highlight w:val="none"/>
        </w:rPr>
        <w:t>报价承诺函</w:t>
      </w:r>
    </w:p>
    <w:p w14:paraId="06CF8257">
      <w:pPr>
        <w:spacing w:after="157" w:afterLines="5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致：</w:t>
      </w:r>
      <w:r>
        <w:rPr>
          <w:rFonts w:hint="eastAsia" w:ascii="仿宋" w:hAnsi="仿宋" w:eastAsia="仿宋" w:cs="宋体"/>
          <w:color w:val="auto"/>
          <w:sz w:val="24"/>
          <w:highlight w:val="none"/>
        </w:rPr>
        <w:t>上海海事大学</w:t>
      </w:r>
    </w:p>
    <w:p w14:paraId="61C7F4FB">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lang w:val="zh-CN"/>
        </w:rPr>
        <w:t>我</w:t>
      </w:r>
      <w:r>
        <w:rPr>
          <w:rFonts w:ascii="仿宋" w:hAnsi="仿宋" w:eastAsia="仿宋" w:cs="宋体"/>
          <w:color w:val="auto"/>
          <w:sz w:val="24"/>
          <w:highlight w:val="none"/>
          <w:lang w:val="zh-CN"/>
        </w:rPr>
        <w:t>公司在参加本次</w:t>
      </w:r>
      <w:r>
        <w:rPr>
          <w:rFonts w:hint="eastAsia" w:ascii="仿宋" w:hAnsi="仿宋" w:eastAsia="仿宋" w:cs="宋体"/>
          <w:color w:val="auto"/>
          <w:sz w:val="24"/>
          <w:highlight w:val="none"/>
        </w:rPr>
        <w:t>比选采购</w:t>
      </w:r>
      <w:r>
        <w:rPr>
          <w:rFonts w:ascii="仿宋" w:hAnsi="仿宋" w:eastAsia="仿宋" w:cs="宋体"/>
          <w:color w:val="auto"/>
          <w:sz w:val="24"/>
          <w:highlight w:val="none"/>
          <w:lang w:val="zh-CN"/>
        </w:rPr>
        <w:t>活动中，</w:t>
      </w:r>
      <w:r>
        <w:rPr>
          <w:rFonts w:hint="eastAsia" w:ascii="仿宋" w:hAnsi="仿宋" w:eastAsia="仿宋" w:cs="宋体"/>
          <w:color w:val="auto"/>
          <w:sz w:val="24"/>
          <w:highlight w:val="none"/>
          <w:lang w:val="zh-CN"/>
        </w:rPr>
        <w:t>做出如下</w:t>
      </w:r>
      <w:r>
        <w:rPr>
          <w:rFonts w:ascii="仿宋" w:hAnsi="仿宋" w:eastAsia="仿宋" w:cs="宋体"/>
          <w:color w:val="auto"/>
          <w:sz w:val="24"/>
          <w:highlight w:val="none"/>
          <w:lang w:val="zh-CN"/>
        </w:rPr>
        <w:t>承诺：</w:t>
      </w:r>
    </w:p>
    <w:p w14:paraId="4F0E35EC">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lang w:val="zh-CN"/>
        </w:rPr>
        <w:t>一、</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具备独立法人资格，能够独立承担民事责任。</w:t>
      </w:r>
    </w:p>
    <w:p w14:paraId="6F37786C">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二、我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财务状况良好，具备履行合同所需资金实力。</w:t>
      </w:r>
    </w:p>
    <w:p w14:paraId="3E13B155">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三、我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拥有履行项目所需的专业技术人员和先进的生产设备。</w:t>
      </w:r>
    </w:p>
    <w:p w14:paraId="1486EB83">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四、我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依法纳税，并按时缴纳社会保险费。</w:t>
      </w:r>
    </w:p>
    <w:p w14:paraId="1705CE12">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五、我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在最近三年内无任何违法违规行为，信誉良好。</w:t>
      </w:r>
    </w:p>
    <w:p w14:paraId="54BF34F8">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六、我</w:t>
      </w:r>
      <w:r>
        <w:rPr>
          <w:rFonts w:hint="eastAsia" w:ascii="仿宋" w:hAnsi="仿宋" w:eastAsia="仿宋" w:cs="宋体"/>
          <w:color w:val="auto"/>
          <w:sz w:val="24"/>
          <w:highlight w:val="none"/>
          <w:lang w:val="zh-CN"/>
        </w:rPr>
        <w:t>公司</w:t>
      </w:r>
      <w:r>
        <w:rPr>
          <w:rFonts w:hint="eastAsia" w:ascii="仿宋" w:hAnsi="仿宋" w:eastAsia="仿宋" w:cs="宋体"/>
          <w:color w:val="auto"/>
          <w:sz w:val="24"/>
          <w:highlight w:val="none"/>
        </w:rPr>
        <w:t>完全符合政府采购法及其他相关法律法规的规定。</w:t>
      </w:r>
    </w:p>
    <w:p w14:paraId="46600348">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七</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我</w:t>
      </w:r>
      <w:r>
        <w:rPr>
          <w:rFonts w:hint="eastAsia" w:ascii="仿宋" w:hAnsi="仿宋" w:eastAsia="仿宋" w:cs="宋体"/>
          <w:color w:val="auto"/>
          <w:sz w:val="24"/>
          <w:highlight w:val="none"/>
          <w:lang w:val="zh-CN"/>
        </w:rPr>
        <w:t>公司提供的相关文件均真实、有效。</w:t>
      </w:r>
    </w:p>
    <w:p w14:paraId="6C6ABE4A">
      <w:pPr>
        <w:spacing w:after="157" w:afterLines="50"/>
        <w:ind w:firstLine="480" w:firstLineChars="200"/>
        <w:rPr>
          <w:rFonts w:hint="eastAsia" w:ascii="仿宋" w:hAnsi="仿宋" w:eastAsia="仿宋" w:cs="宋体"/>
          <w:color w:val="auto"/>
          <w:sz w:val="24"/>
          <w:highlight w:val="none"/>
        </w:rPr>
      </w:pPr>
      <w:r>
        <w:rPr>
          <w:rFonts w:hint="eastAsia" w:ascii="仿宋" w:hAnsi="仿宋" w:eastAsia="仿宋" w:cs="宋体"/>
          <w:color w:val="auto"/>
          <w:sz w:val="24"/>
          <w:highlight w:val="none"/>
        </w:rPr>
        <w:t>八、我</w:t>
      </w:r>
      <w:r>
        <w:rPr>
          <w:rFonts w:hint="eastAsia" w:ascii="仿宋" w:hAnsi="仿宋" w:eastAsia="仿宋" w:cs="宋体"/>
          <w:color w:val="auto"/>
          <w:sz w:val="24"/>
          <w:highlight w:val="none"/>
          <w:lang w:val="zh-CN"/>
        </w:rPr>
        <w:t>公司未挂靠、借用资质进行投标等违法违规行为。</w:t>
      </w:r>
    </w:p>
    <w:p w14:paraId="5613149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九、</w:t>
      </w:r>
      <w:r>
        <w:rPr>
          <w:rFonts w:hint="eastAsia" w:ascii="仿宋" w:hAnsi="仿宋" w:eastAsia="仿宋" w:cs="宋体"/>
          <w:color w:val="auto"/>
          <w:sz w:val="24"/>
          <w:highlight w:val="none"/>
          <w:lang w:val="zh-CN"/>
        </w:rPr>
        <w:t>我公司承诺在参加本</w:t>
      </w:r>
      <w:r>
        <w:rPr>
          <w:rFonts w:hint="eastAsia" w:ascii="仿宋" w:hAnsi="仿宋" w:eastAsia="仿宋" w:cs="宋体"/>
          <w:color w:val="auto"/>
          <w:sz w:val="24"/>
          <w:highlight w:val="none"/>
        </w:rPr>
        <w:t>次</w:t>
      </w:r>
      <w:r>
        <w:rPr>
          <w:rFonts w:hint="eastAsia" w:ascii="仿宋" w:hAnsi="仿宋" w:eastAsia="仿宋" w:cs="宋体"/>
          <w:color w:val="auto"/>
          <w:sz w:val="24"/>
          <w:highlight w:val="none"/>
          <w:lang w:val="zh-CN"/>
        </w:rPr>
        <w:t>采购活动中，</w:t>
      </w:r>
      <w:r>
        <w:rPr>
          <w:rFonts w:hint="eastAsia" w:ascii="仿宋" w:hAnsi="仿宋" w:eastAsia="仿宋" w:cs="宋体"/>
          <w:color w:val="auto"/>
          <w:sz w:val="24"/>
          <w:highlight w:val="none"/>
        </w:rPr>
        <w:t>不存在串标围标行为</w:t>
      </w:r>
      <w:r>
        <w:rPr>
          <w:rFonts w:hint="eastAsia" w:ascii="仿宋" w:hAnsi="仿宋" w:eastAsia="仿宋" w:cs="宋体"/>
          <w:color w:val="auto"/>
          <w:sz w:val="24"/>
          <w:highlight w:val="none"/>
          <w:lang w:val="zh-CN"/>
        </w:rPr>
        <w:t>，</w:t>
      </w:r>
      <w:r>
        <w:rPr>
          <w:rFonts w:hint="eastAsia" w:ascii="仿宋" w:hAnsi="仿宋" w:eastAsia="仿宋" w:cs="宋体"/>
          <w:color w:val="auto"/>
          <w:sz w:val="24"/>
          <w:highlight w:val="none"/>
        </w:rPr>
        <w:t>不存在</w:t>
      </w:r>
      <w:r>
        <w:rPr>
          <w:rFonts w:hint="eastAsia" w:ascii="仿宋" w:hAnsi="仿宋" w:eastAsia="仿宋" w:cs="宋体"/>
          <w:color w:val="auto"/>
          <w:sz w:val="24"/>
          <w:highlight w:val="none"/>
          <w:lang w:val="zh-CN"/>
        </w:rPr>
        <w:t>损害</w:t>
      </w:r>
      <w:r>
        <w:rPr>
          <w:rFonts w:hint="eastAsia" w:ascii="仿宋" w:hAnsi="仿宋" w:eastAsia="仿宋" w:cs="宋体"/>
          <w:color w:val="auto"/>
          <w:sz w:val="24"/>
          <w:highlight w:val="none"/>
        </w:rPr>
        <w:t>校方</w:t>
      </w:r>
      <w:r>
        <w:rPr>
          <w:rFonts w:hint="eastAsia" w:ascii="仿宋" w:hAnsi="仿宋" w:eastAsia="仿宋" w:cs="宋体"/>
          <w:color w:val="auto"/>
          <w:sz w:val="24"/>
          <w:highlight w:val="none"/>
          <w:lang w:val="zh-CN"/>
        </w:rPr>
        <w:t>或者其他</w:t>
      </w:r>
      <w:r>
        <w:rPr>
          <w:rFonts w:hint="eastAsia" w:ascii="仿宋" w:hAnsi="仿宋" w:eastAsia="仿宋" w:cs="宋体"/>
          <w:color w:val="auto"/>
          <w:sz w:val="24"/>
          <w:highlight w:val="none"/>
        </w:rPr>
        <w:t>报价单位</w:t>
      </w:r>
      <w:r>
        <w:rPr>
          <w:rFonts w:hint="eastAsia" w:ascii="仿宋" w:hAnsi="仿宋" w:eastAsia="仿宋" w:cs="宋体"/>
          <w:color w:val="auto"/>
          <w:sz w:val="24"/>
          <w:highlight w:val="none"/>
          <w:lang w:val="zh-CN"/>
        </w:rPr>
        <w:t>利益的行为。</w:t>
      </w:r>
    </w:p>
    <w:p w14:paraId="350AD56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十、</w:t>
      </w:r>
      <w:r>
        <w:rPr>
          <w:rFonts w:hint="eastAsia" w:ascii="仿宋" w:hAnsi="仿宋" w:eastAsia="仿宋" w:cs="宋体"/>
          <w:color w:val="auto"/>
          <w:sz w:val="24"/>
          <w:highlight w:val="none"/>
          <w:lang w:val="zh-CN"/>
        </w:rPr>
        <w:t>我</w:t>
      </w:r>
      <w:r>
        <w:rPr>
          <w:rFonts w:hint="eastAsia" w:ascii="仿宋" w:hAnsi="仿宋" w:eastAsia="仿宋" w:cs="宋体"/>
          <w:color w:val="auto"/>
          <w:sz w:val="24"/>
          <w:highlight w:val="none"/>
        </w:rPr>
        <w:t>公司管理层中</w:t>
      </w:r>
      <w:r>
        <w:rPr>
          <w:rFonts w:hint="eastAsia" w:ascii="仿宋" w:hAnsi="仿宋" w:eastAsia="仿宋" w:cs="宋体"/>
          <w:color w:val="auto"/>
          <w:sz w:val="24"/>
          <w:highlight w:val="none"/>
          <w:lang w:val="zh-CN"/>
        </w:rPr>
        <w:t>没有从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离职或退休3年以内的人员担任控股股东或实际控股人、董事、监事，也没有聘用从</w:t>
      </w:r>
      <w:r>
        <w:rPr>
          <w:rFonts w:hint="eastAsia" w:ascii="仿宋" w:hAnsi="仿宋" w:eastAsia="仿宋" w:cs="宋体"/>
          <w:color w:val="auto"/>
          <w:sz w:val="24"/>
          <w:highlight w:val="none"/>
        </w:rPr>
        <w:t>贵校</w:t>
      </w:r>
      <w:r>
        <w:rPr>
          <w:rFonts w:hint="eastAsia" w:ascii="仿宋" w:hAnsi="仿宋" w:eastAsia="仿宋" w:cs="宋体"/>
          <w:color w:val="auto"/>
          <w:sz w:val="24"/>
          <w:highlight w:val="none"/>
          <w:lang w:val="zh-CN"/>
        </w:rPr>
        <w:t>离职或退休3年以内的人员。</w:t>
      </w:r>
    </w:p>
    <w:p w14:paraId="7BAAA33E">
      <w:pPr>
        <w:spacing w:after="157" w:afterLines="50"/>
        <w:ind w:firstLine="480" w:firstLineChars="200"/>
        <w:rPr>
          <w:rFonts w:hint="eastAsia" w:ascii="仿宋" w:hAnsi="仿宋" w:eastAsia="仿宋" w:cs="宋体"/>
          <w:color w:val="auto"/>
          <w:sz w:val="24"/>
          <w:highlight w:val="none"/>
          <w:lang w:val="zh-CN"/>
        </w:rPr>
      </w:pPr>
      <w:r>
        <w:rPr>
          <w:rFonts w:hint="eastAsia" w:ascii="仿宋" w:hAnsi="仿宋" w:eastAsia="仿宋" w:cs="宋体"/>
          <w:color w:val="auto"/>
          <w:sz w:val="24"/>
          <w:highlight w:val="none"/>
        </w:rPr>
        <w:t>我公司保证上述声明真实无误，如有不实，愿承担相应法律责任。</w:t>
      </w:r>
    </w:p>
    <w:p w14:paraId="5C4569E6">
      <w:pPr>
        <w:spacing w:after="157" w:afterLines="50"/>
        <w:rPr>
          <w:rFonts w:hint="eastAsia" w:ascii="仿宋" w:hAnsi="仿宋" w:eastAsia="仿宋" w:cs="宋体"/>
          <w:color w:val="auto"/>
          <w:sz w:val="24"/>
          <w:highlight w:val="none"/>
          <w:lang w:val="zh-CN"/>
        </w:rPr>
      </w:pPr>
    </w:p>
    <w:p w14:paraId="6DFC7771">
      <w:pPr>
        <w:spacing w:after="157" w:afterLines="50"/>
        <w:rPr>
          <w:rFonts w:hint="eastAsia" w:ascii="黑体" w:hAnsi="华文楷体" w:eastAsia="黑体"/>
          <w:b/>
          <w:bCs/>
          <w:color w:val="auto"/>
          <w:sz w:val="32"/>
          <w:szCs w:val="32"/>
          <w:highlight w:val="none"/>
        </w:rPr>
      </w:pPr>
      <w:r>
        <w:rPr>
          <w:rFonts w:hint="eastAsia" w:ascii="黑体" w:hAnsi="华文楷体" w:eastAsia="黑体"/>
          <w:color w:val="auto"/>
          <w:sz w:val="24"/>
          <w:highlight w:val="none"/>
        </w:rPr>
        <w:t>公司名称（盖章）：</w:t>
      </w:r>
      <w:r>
        <w:rPr>
          <w:rFonts w:hint="eastAsia" w:ascii="黑体" w:hAnsi="华文楷体" w:eastAsia="黑体"/>
          <w:color w:val="auto"/>
          <w:sz w:val="24"/>
          <w:highlight w:val="none"/>
          <w:lang w:val="en-US" w:eastAsia="zh-CN"/>
        </w:rPr>
        <w:t xml:space="preserve">                              </w:t>
      </w:r>
      <w:r>
        <w:rPr>
          <w:rFonts w:hint="eastAsia" w:ascii="黑体" w:hAnsi="华文楷体" w:eastAsia="黑体"/>
          <w:color w:val="auto"/>
          <w:sz w:val="24"/>
          <w:highlight w:val="none"/>
        </w:rPr>
        <w:t>委托代理人（签字）：</w:t>
      </w:r>
    </w:p>
    <w:p w14:paraId="097F108E">
      <w:pPr>
        <w:pStyle w:val="5"/>
        <w:rPr>
          <w:rFonts w:hint="eastAsia" w:ascii="方正兰亭黑简体" w:hAnsi="方正兰亭黑简体" w:eastAsia="方正兰亭黑简体" w:cs="方正兰亭黑简体"/>
          <w:color w:val="auto"/>
          <w:sz w:val="22"/>
          <w:szCs w:val="28"/>
          <w:highlight w:val="none"/>
        </w:rPr>
      </w:pPr>
    </w:p>
    <w:p w14:paraId="6AAADDA4">
      <w:pPr>
        <w:pStyle w:val="5"/>
        <w:rPr>
          <w:rFonts w:hint="eastAsia" w:ascii="方正兰亭黑简体" w:hAnsi="方正兰亭黑简体" w:eastAsia="方正兰亭黑简体" w:cs="方正兰亭黑简体"/>
          <w:color w:val="auto"/>
          <w:sz w:val="22"/>
          <w:szCs w:val="28"/>
          <w:highlight w:val="none"/>
        </w:rPr>
      </w:pPr>
    </w:p>
    <w:p w14:paraId="3805D66A">
      <w:pPr>
        <w:jc w:val="left"/>
        <w:rPr>
          <w:rFonts w:hint="eastAsia" w:ascii="方正兰亭黑简体" w:hAnsi="方正兰亭黑简体" w:eastAsia="方正兰亭黑简体" w:cs="方正兰亭黑简体"/>
          <w:color w:val="auto"/>
          <w:sz w:val="22"/>
          <w:szCs w:val="28"/>
          <w:highlight w:val="none"/>
        </w:rPr>
        <w:sectPr>
          <w:pgSz w:w="11906" w:h="16838"/>
          <w:pgMar w:top="1440" w:right="1083" w:bottom="1440" w:left="1083" w:header="851" w:footer="992" w:gutter="0"/>
          <w:cols w:space="0" w:num="1"/>
          <w:docGrid w:type="lines" w:linePitch="314" w:charSpace="0"/>
        </w:sectPr>
      </w:pPr>
    </w:p>
    <w:p w14:paraId="52FF6152">
      <w:pPr>
        <w:jc w:val="left"/>
        <w:rPr>
          <w:rFonts w:hint="eastAsia" w:ascii="方正兰亭黑简体" w:hAnsi="方正兰亭黑简体" w:eastAsia="方正兰亭黑简体" w:cs="方正兰亭黑简体"/>
          <w:b/>
          <w:bCs/>
          <w:color w:val="auto"/>
          <w:sz w:val="22"/>
          <w:szCs w:val="28"/>
          <w:highlight w:val="none"/>
        </w:rPr>
      </w:pPr>
      <w:r>
        <w:rPr>
          <w:rFonts w:hint="eastAsia" w:ascii="方正兰亭黑简体" w:hAnsi="方正兰亭黑简体" w:eastAsia="方正兰亭黑简体" w:cs="方正兰亭黑简体"/>
          <w:b/>
          <w:bCs/>
          <w:color w:val="auto"/>
          <w:sz w:val="22"/>
          <w:szCs w:val="28"/>
          <w:highlight w:val="none"/>
        </w:rPr>
        <w:t>附件2：其他材料</w:t>
      </w:r>
    </w:p>
    <w:p w14:paraId="2A456533">
      <w:pPr>
        <w:pStyle w:val="4"/>
        <w:ind w:left="0" w:leftChars="0"/>
        <w:rPr>
          <w:color w:val="auto"/>
          <w:highlight w:val="none"/>
        </w:rPr>
      </w:pPr>
      <w:r>
        <w:rPr>
          <w:rFonts w:hint="eastAsia" w:ascii="方正兰亭黑简体" w:hAnsi="方正兰亭黑简体" w:eastAsia="方正兰亭黑简体" w:cs="方正兰亭黑简体"/>
          <w:color w:val="auto"/>
          <w:sz w:val="22"/>
          <w:szCs w:val="28"/>
          <w:highlight w:val="none"/>
        </w:rPr>
        <w:t>包括但不限于：</w:t>
      </w:r>
    </w:p>
    <w:p w14:paraId="43482A45">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1、营业执照扫描件</w:t>
      </w:r>
    </w:p>
    <w:p w14:paraId="428A839D">
      <w:pPr>
        <w:pStyle w:val="4"/>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2</w:t>
      </w:r>
      <w:r>
        <w:rPr>
          <w:rFonts w:hint="eastAsia" w:ascii="方正兰亭黑简体" w:hAnsi="方正兰亭黑简体" w:eastAsia="方正兰亭黑简体" w:cs="方正兰亭黑简体"/>
          <w:color w:val="auto"/>
          <w:sz w:val="22"/>
          <w:szCs w:val="28"/>
          <w:highlight w:val="none"/>
        </w:rPr>
        <w:t>、项目服务方案（产品介绍）及实施计划</w:t>
      </w:r>
    </w:p>
    <w:p w14:paraId="56E8031D">
      <w:pPr>
        <w:pStyle w:val="4"/>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3、</w:t>
      </w:r>
      <w:r>
        <w:rPr>
          <w:rFonts w:hint="eastAsia" w:ascii="方正兰亭黑简体" w:hAnsi="方正兰亭黑简体" w:eastAsia="方正兰亭黑简体" w:cs="方正兰亭黑简体"/>
          <w:color w:val="auto"/>
          <w:sz w:val="22"/>
          <w:szCs w:val="28"/>
          <w:highlight w:val="none"/>
        </w:rPr>
        <w:t>服务团队介绍</w:t>
      </w:r>
    </w:p>
    <w:p w14:paraId="1DCC4AA6">
      <w:pPr>
        <w:pStyle w:val="4"/>
        <w:ind w:left="0" w:leftChars="0"/>
        <w:rPr>
          <w:rFonts w:hint="eastAsia" w:ascii="方正兰亭黑简体" w:hAnsi="方正兰亭黑简体" w:eastAsia="方正兰亭黑简体" w:cs="方正兰亭黑简体"/>
          <w:color w:val="auto"/>
          <w:sz w:val="22"/>
          <w:szCs w:val="28"/>
          <w:highlight w:val="none"/>
        </w:rPr>
      </w:pPr>
      <w:r>
        <w:rPr>
          <w:rFonts w:ascii="方正兰亭黑简体" w:hAnsi="方正兰亭黑简体" w:eastAsia="方正兰亭黑简体" w:cs="方正兰亭黑简体"/>
          <w:color w:val="auto"/>
          <w:sz w:val="22"/>
          <w:szCs w:val="28"/>
          <w:highlight w:val="none"/>
        </w:rPr>
        <w:t>4</w:t>
      </w:r>
      <w:r>
        <w:rPr>
          <w:rFonts w:hint="eastAsia" w:ascii="方正兰亭黑简体" w:hAnsi="方正兰亭黑简体" w:eastAsia="方正兰亭黑简体" w:cs="方正兰亭黑简体"/>
          <w:color w:val="auto"/>
          <w:sz w:val="22"/>
          <w:szCs w:val="28"/>
          <w:highlight w:val="none"/>
        </w:rPr>
        <w:t>、服务保障承诺</w:t>
      </w:r>
    </w:p>
    <w:p w14:paraId="41589759">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5</w:t>
      </w:r>
      <w:r>
        <w:rPr>
          <w:rFonts w:ascii="方正兰亭黑简体" w:hAnsi="方正兰亭黑简体" w:eastAsia="方正兰亭黑简体" w:cs="方正兰亭黑简体"/>
          <w:color w:val="auto"/>
          <w:sz w:val="22"/>
          <w:szCs w:val="28"/>
          <w:highlight w:val="none"/>
        </w:rPr>
        <w:t>、</w:t>
      </w:r>
      <w:r>
        <w:rPr>
          <w:rFonts w:hint="eastAsia" w:ascii="方正兰亭黑简体" w:hAnsi="方正兰亭黑简体" w:eastAsia="方正兰亭黑简体" w:cs="方正兰亭黑简体"/>
          <w:color w:val="auto"/>
          <w:sz w:val="22"/>
          <w:szCs w:val="28"/>
          <w:highlight w:val="none"/>
        </w:rPr>
        <w:t>业绩案例</w:t>
      </w:r>
    </w:p>
    <w:p w14:paraId="7EB31163">
      <w:pPr>
        <w:pStyle w:val="4"/>
        <w:ind w:left="0" w:leftChars="0"/>
        <w:rPr>
          <w:rFonts w:hint="eastAsia" w:ascii="方正兰亭黑简体" w:hAnsi="方正兰亭黑简体" w:eastAsia="方正兰亭黑简体" w:cs="方正兰亭黑简体"/>
          <w:color w:val="auto"/>
          <w:sz w:val="22"/>
          <w:szCs w:val="28"/>
          <w:highlight w:val="none"/>
        </w:rPr>
      </w:pPr>
      <w:r>
        <w:rPr>
          <w:rFonts w:hint="eastAsia" w:ascii="方正兰亭黑简体" w:hAnsi="方正兰亭黑简体" w:eastAsia="方正兰亭黑简体" w:cs="方正兰亭黑简体"/>
          <w:color w:val="auto"/>
          <w:sz w:val="22"/>
          <w:szCs w:val="28"/>
          <w:highlight w:val="none"/>
        </w:rPr>
        <w:t>6、其他所必需的相关材料</w:t>
      </w:r>
    </w:p>
    <w:sectPr>
      <w:pgSz w:w="11906" w:h="16838"/>
      <w:pgMar w:top="1440" w:right="1083" w:bottom="1440" w:left="1083" w:header="851" w:footer="992" w:gutter="0"/>
      <w:cols w:space="0" w:num="1"/>
      <w:docGrid w:type="lines" w:linePitch="31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222285-DC39-4A34-AA94-B0340A2989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楷体_GB2312">
    <w:panose1 w:val="02000000000000000000"/>
    <w:charset w:val="86"/>
    <w:family w:val="auto"/>
    <w:pitch w:val="default"/>
    <w:sig w:usb0="A00002BF" w:usb1="184F6CFA" w:usb2="00000012" w:usb3="00000000" w:csb0="00040001" w:csb1="00000000"/>
  </w:font>
  <w:font w:name="方正小标宋简体">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embedRegular r:id="rId2" w:fontKey="{1F0A2007-697E-4D3A-A6CC-1A89D6B72A0C}"/>
  </w:font>
  <w:font w:name="仿宋">
    <w:panose1 w:val="02010609060101010101"/>
    <w:charset w:val="86"/>
    <w:family w:val="modern"/>
    <w:pitch w:val="default"/>
    <w:sig w:usb0="800002BF" w:usb1="38CF7CFA" w:usb2="00000016" w:usb3="00000000" w:csb0="00040001" w:csb1="00000000"/>
    <w:embedRegular r:id="rId3" w:fontKey="{F81C54B7-BF21-45ED-BE07-558EAF3510A2}"/>
  </w:font>
  <w:font w:name="方正兰亭黑简体">
    <w:panose1 w:val="02000000000000000000"/>
    <w:charset w:val="86"/>
    <w:family w:val="auto"/>
    <w:pitch w:val="default"/>
    <w:sig w:usb0="A00002BF" w:usb1="184F6CFA" w:usb2="00000012" w:usb3="00000000" w:csb0="00040001" w:csb1="00000000"/>
    <w:embedRegular r:id="rId4" w:fontKey="{BC782F82-D95F-4F2E-AC4C-071D50BF3BB1}"/>
  </w:font>
  <w:font w:name="华文楷体">
    <w:panose1 w:val="02010600040101010101"/>
    <w:charset w:val="86"/>
    <w:family w:val="auto"/>
    <w:pitch w:val="default"/>
    <w:sig w:usb0="A00002BF" w:usb1="78CF7CFB" w:usb2="00000016" w:usb3="00000000" w:csb0="6006009F" w:csb1="DFD70000"/>
    <w:embedRegular r:id="rId5" w:fontKey="{800E908A-8364-49A9-93EA-9DDED14A6E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6DE97">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859155" cy="147955"/>
              <wp:effectExtent l="0" t="0" r="0" b="0"/>
              <wp:wrapNone/>
              <wp:docPr id="1" name="文本框 2"/>
              <wp:cNvGraphicFramePr/>
              <a:graphic xmlns:a="http://schemas.openxmlformats.org/drawingml/2006/main">
                <a:graphicData uri="http://schemas.microsoft.com/office/word/2010/wordprocessingShape">
                  <wps:wsp>
                    <wps:cNvSpPr txBox="1"/>
                    <wps:spPr>
                      <a:xfrm>
                        <a:off x="0" y="0"/>
                        <a:ext cx="859155" cy="147955"/>
                      </a:xfrm>
                      <a:prstGeom prst="rect">
                        <a:avLst/>
                      </a:prstGeom>
                      <a:noFill/>
                      <a:ln w="6350">
                        <a:noFill/>
                      </a:ln>
                    </wps:spPr>
                    <wps:txbx>
                      <w:txbxContent>
                        <w:p w14:paraId="1C75E4AA">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9</w:t>
                          </w:r>
                          <w:r>
                            <w:fldChar w:fldCharType="end"/>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 o:spid="_x0000_s1026" o:spt="202" type="#_x0000_t202" style="position:absolute;left:0pt;margin-top:0pt;height:11.65pt;width:67.65pt;mso-position-horizontal:center;mso-position-horizontal-relative:margin;mso-wrap-style:none;z-index:251659264;mso-width-relative:page;mso-height-relative:page;" filled="f" stroked="f" coordsize="21600,21600" o:gfxdata="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FS000NMAAAAEAQAADwAAAAAAAAABACAAAAAiAAAAZHJzL2Rvd25yZXYueG1sUEsBAhQA&#10;FAAAAAgAh07iQLIjnDUwAgAAUwQAAA4AAAAAAAAAAQAgAAAAIgEAAGRycy9lMm9Eb2MueG1sUEsF&#10;BgAAAAAGAAYAWQEAAMQFAAAAAA==&#10;">
              <v:fill on="f" focussize="0,0"/>
              <v:stroke on="f" weight="0.5pt"/>
              <v:imagedata o:title=""/>
              <o:lock v:ext="edit" aspectratio="f"/>
              <v:textbox inset="0mm,0mm,0mm,0mm" style="mso-fit-shape-to-text:t;">
                <w:txbxContent>
                  <w:p w14:paraId="1C75E4AA">
                    <w:pPr>
                      <w:pStyle w:val="7"/>
                    </w:pPr>
                    <w:r>
                      <w:t>第</w:t>
                    </w:r>
                    <w:r>
                      <w:fldChar w:fldCharType="begin"/>
                    </w:r>
                    <w:r>
                      <w:instrText xml:space="preserve"> PAGE  \* MERGEFORMAT </w:instrText>
                    </w:r>
                    <w:r>
                      <w:fldChar w:fldCharType="separate"/>
                    </w:r>
                    <w:r>
                      <w:t>1</w:t>
                    </w:r>
                    <w:r>
                      <w:fldChar w:fldCharType="end"/>
                    </w:r>
                    <w:r>
                      <w:t>页共</w:t>
                    </w:r>
                    <w:r>
                      <w:fldChar w:fldCharType="begin"/>
                    </w:r>
                    <w:r>
                      <w:instrText xml:space="preserve"> NUMPAGES  \* MERGEFORMAT </w:instrText>
                    </w:r>
                    <w:r>
                      <w:fldChar w:fldCharType="separate"/>
                    </w:r>
                    <w:r>
                      <w:t>9</w:t>
                    </w:r>
                    <w:r>
                      <w:fldChar w:fldCharType="end"/>
                    </w:r>
                    <w:r>
                      <w:t>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D2EBEB"/>
    <w:multiLevelType w:val="singleLevel"/>
    <w:tmpl w:val="E8D2EBEB"/>
    <w:lvl w:ilvl="0" w:tentative="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7"/>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CA3"/>
    <w:rsid w:val="000E4CA3"/>
    <w:rsid w:val="001B052D"/>
    <w:rsid w:val="001B1952"/>
    <w:rsid w:val="00283B3F"/>
    <w:rsid w:val="00325073"/>
    <w:rsid w:val="00572733"/>
    <w:rsid w:val="00595CBB"/>
    <w:rsid w:val="006030E1"/>
    <w:rsid w:val="007F3014"/>
    <w:rsid w:val="00836506"/>
    <w:rsid w:val="00C97D62"/>
    <w:rsid w:val="00DB0393"/>
    <w:rsid w:val="00DC509B"/>
    <w:rsid w:val="00E754B4"/>
    <w:rsid w:val="00F2174E"/>
    <w:rsid w:val="02675436"/>
    <w:rsid w:val="029C08D4"/>
    <w:rsid w:val="071657EB"/>
    <w:rsid w:val="08B545A5"/>
    <w:rsid w:val="092F2754"/>
    <w:rsid w:val="0B7D7F96"/>
    <w:rsid w:val="13353790"/>
    <w:rsid w:val="13CA7CE9"/>
    <w:rsid w:val="13F76C6C"/>
    <w:rsid w:val="157E6317"/>
    <w:rsid w:val="19F06820"/>
    <w:rsid w:val="1C1F341F"/>
    <w:rsid w:val="1E596D71"/>
    <w:rsid w:val="2007712C"/>
    <w:rsid w:val="24050543"/>
    <w:rsid w:val="26883166"/>
    <w:rsid w:val="269F2B16"/>
    <w:rsid w:val="2F6E1C45"/>
    <w:rsid w:val="2FB07FD7"/>
    <w:rsid w:val="2FB70954"/>
    <w:rsid w:val="317D7420"/>
    <w:rsid w:val="331671BF"/>
    <w:rsid w:val="33B3033B"/>
    <w:rsid w:val="33DD0342"/>
    <w:rsid w:val="34416E25"/>
    <w:rsid w:val="35906085"/>
    <w:rsid w:val="38A1145F"/>
    <w:rsid w:val="3A9852E0"/>
    <w:rsid w:val="3CD56D74"/>
    <w:rsid w:val="3CFB44C3"/>
    <w:rsid w:val="3D6469F5"/>
    <w:rsid w:val="3EB44731"/>
    <w:rsid w:val="3FCC680A"/>
    <w:rsid w:val="3FDF48A5"/>
    <w:rsid w:val="40115E5B"/>
    <w:rsid w:val="40134FEB"/>
    <w:rsid w:val="41007DAA"/>
    <w:rsid w:val="438704B0"/>
    <w:rsid w:val="44E73D39"/>
    <w:rsid w:val="480A63EB"/>
    <w:rsid w:val="487158D1"/>
    <w:rsid w:val="488E3B06"/>
    <w:rsid w:val="48F25244"/>
    <w:rsid w:val="4CCA439B"/>
    <w:rsid w:val="4D0D4ED5"/>
    <w:rsid w:val="4EFD134C"/>
    <w:rsid w:val="53F3317F"/>
    <w:rsid w:val="543D6D6A"/>
    <w:rsid w:val="58C4549A"/>
    <w:rsid w:val="5AEA704B"/>
    <w:rsid w:val="5C376D46"/>
    <w:rsid w:val="5DF2219B"/>
    <w:rsid w:val="5E8720EC"/>
    <w:rsid w:val="5EE9209B"/>
    <w:rsid w:val="5F44384A"/>
    <w:rsid w:val="5F5C0960"/>
    <w:rsid w:val="60BF2A71"/>
    <w:rsid w:val="63887FE1"/>
    <w:rsid w:val="63F161B6"/>
    <w:rsid w:val="654D0F67"/>
    <w:rsid w:val="66D3234F"/>
    <w:rsid w:val="66E533C4"/>
    <w:rsid w:val="681A51E0"/>
    <w:rsid w:val="692B6A78"/>
    <w:rsid w:val="695E3370"/>
    <w:rsid w:val="699D5EE7"/>
    <w:rsid w:val="6A660877"/>
    <w:rsid w:val="6B99520C"/>
    <w:rsid w:val="6BE91536"/>
    <w:rsid w:val="71E94098"/>
    <w:rsid w:val="778A5BDE"/>
    <w:rsid w:val="7A1F0BD5"/>
    <w:rsid w:val="7A92721C"/>
    <w:rsid w:val="7CFA5264"/>
    <w:rsid w:val="7E4E11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iPriority="0" w:semiHidden="0" w:name="Body Text Indent 2"/>
    <w:lsdException w:qFormat="1"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99"/>
    <w:pPr>
      <w:jc w:val="left"/>
    </w:pPr>
    <w:rPr>
      <w:kern w:val="0"/>
      <w:sz w:val="20"/>
      <w:szCs w:val="20"/>
    </w:rPr>
  </w:style>
  <w:style w:type="paragraph" w:styleId="3">
    <w:name w:val="Body Text"/>
    <w:basedOn w:val="1"/>
    <w:next w:val="1"/>
    <w:qFormat/>
    <w:uiPriority w:val="0"/>
    <w:pPr>
      <w:spacing w:after="120"/>
    </w:pPr>
  </w:style>
  <w:style w:type="paragraph" w:styleId="4">
    <w:name w:val="Body Text Indent"/>
    <w:basedOn w:val="1"/>
    <w:qFormat/>
    <w:uiPriority w:val="0"/>
    <w:pPr>
      <w:ind w:left="420" w:leftChars="200"/>
    </w:pPr>
  </w:style>
  <w:style w:type="paragraph" w:styleId="5">
    <w:name w:val="Plain Text"/>
    <w:basedOn w:val="1"/>
    <w:qFormat/>
    <w:uiPriority w:val="0"/>
    <w:rPr>
      <w:rFonts w:ascii="宋体" w:hAnsi="Courier New"/>
    </w:rPr>
  </w:style>
  <w:style w:type="paragraph" w:styleId="6">
    <w:name w:val="Body Text Indent 2"/>
    <w:basedOn w:val="1"/>
    <w:unhideWhenUsed/>
    <w:qFormat/>
    <w:uiPriority w:val="0"/>
    <w:pPr>
      <w:ind w:firstLine="540"/>
    </w:pPr>
    <w:rPr>
      <w:rFonts w:ascii="Calibri" w:hAnsi="Calibri"/>
      <w:sz w:val="28"/>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9">
    <w:name w:val="toc 1"/>
    <w:basedOn w:val="1"/>
    <w:next w:val="1"/>
    <w:unhideWhenUsed/>
    <w:qFormat/>
    <w:uiPriority w:val="39"/>
    <w:rPr>
      <w:rFonts w:ascii="Calibri" w:hAnsi="Calibri" w:eastAsia="宋体" w:cs="Times New Roman"/>
    </w:rPr>
  </w:style>
  <w:style w:type="paragraph" w:styleId="10">
    <w:name w:val="Body Text Indent 3"/>
    <w:basedOn w:val="1"/>
    <w:qFormat/>
    <w:uiPriority w:val="0"/>
    <w:pPr>
      <w:ind w:firstLine="600" w:firstLineChars="200"/>
    </w:pPr>
    <w:rPr>
      <w:color w:val="FF0000"/>
      <w:sz w:val="30"/>
      <w:szCs w:val="20"/>
    </w:rPr>
  </w:style>
  <w:style w:type="paragraph" w:styleId="11">
    <w:name w:val="Body Text 2"/>
    <w:basedOn w:val="1"/>
    <w:qFormat/>
    <w:uiPriority w:val="0"/>
    <w:pPr>
      <w:spacing w:after="120" w:line="480" w:lineRule="auto"/>
    </w:p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3"/>
    <w:qFormat/>
    <w:uiPriority w:val="0"/>
    <w:pPr>
      <w:widowControl/>
      <w:ind w:firstLine="420" w:firstLineChars="100"/>
      <w:jc w:val="left"/>
    </w:pPr>
    <w:rPr>
      <w:rFonts w:ascii="Times New Roman"/>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qFormat/>
    <w:uiPriority w:val="22"/>
    <w:rPr>
      <w:b/>
      <w:bCs/>
    </w:rPr>
  </w:style>
  <w:style w:type="character" w:styleId="18">
    <w:name w:val="Hyperlink"/>
    <w:basedOn w:val="16"/>
    <w:unhideWhenUsed/>
    <w:qFormat/>
    <w:uiPriority w:val="99"/>
    <w:rPr>
      <w:color w:val="0000FF"/>
      <w:u w:val="single"/>
    </w:rPr>
  </w:style>
  <w:style w:type="paragraph" w:customStyle="1" w:styleId="19">
    <w:name w:val="列表段落1"/>
    <w:basedOn w:val="1"/>
    <w:qFormat/>
    <w:uiPriority w:val="0"/>
    <w:pPr>
      <w:ind w:firstLine="420" w:firstLineChars="200"/>
    </w:pPr>
  </w:style>
  <w:style w:type="paragraph" w:customStyle="1" w:styleId="20">
    <w:name w:val="Default"/>
    <w:qFormat/>
    <w:uiPriority w:val="0"/>
    <w:pPr>
      <w:widowControl w:val="0"/>
      <w:autoSpaceDE w:val="0"/>
      <w:autoSpaceDN w:val="0"/>
      <w:adjustRightInd w:val="0"/>
    </w:pPr>
    <w:rPr>
      <w:rFonts w:ascii="楷体" w:hAnsi="Times New Roman" w:eastAsia="楷体" w:cs="楷体"/>
      <w:color w:val="000000"/>
      <w:sz w:val="24"/>
      <w:szCs w:val="24"/>
      <w:lang w:val="en-US" w:eastAsia="zh-CN" w:bidi="ar-SA"/>
    </w:rPr>
  </w:style>
  <w:style w:type="character" w:customStyle="1" w:styleId="21">
    <w:name w:val="15"/>
    <w:basedOn w:val="16"/>
    <w:qFormat/>
    <w:uiPriority w:val="0"/>
    <w:rPr>
      <w:rFonts w:hint="default" w:ascii="Calibri" w:hAnsi="Calibri" w:cs="Calibri"/>
      <w:b/>
      <w:bCs/>
    </w:rPr>
  </w:style>
  <w:style w:type="paragraph" w:styleId="22">
    <w:name w:val="List Paragraph"/>
    <w:basedOn w:val="1"/>
    <w:qFormat/>
    <w:uiPriority w:val="34"/>
    <w:pPr>
      <w:ind w:left="720"/>
      <w:contextualSpacing/>
    </w:pPr>
  </w:style>
  <w:style w:type="table" w:customStyle="1" w:styleId="23">
    <w:name w:val="Table Normal"/>
    <w:semiHidden/>
    <w:unhideWhenUsed/>
    <w:qFormat/>
    <w:uiPriority w:val="0"/>
    <w:tblPr>
      <w:tblCellMar>
        <w:top w:w="0" w:type="dxa"/>
        <w:left w:w="0" w:type="dxa"/>
        <w:bottom w:w="0" w:type="dxa"/>
        <w:right w:w="0" w:type="dxa"/>
      </w:tblCellMar>
    </w:tblPr>
  </w:style>
  <w:style w:type="paragraph" w:customStyle="1" w:styleId="24">
    <w:name w:val="表格正文内容"/>
    <w:basedOn w:val="1"/>
    <w:next w:val="1"/>
    <w:autoRedefine/>
    <w:qFormat/>
    <w:uiPriority w:val="0"/>
    <w:pPr>
      <w:widowControl/>
      <w:spacing w:line="360" w:lineRule="exact"/>
      <w:jc w:val="left"/>
    </w:pPr>
    <w:rPr>
      <w:rFonts w:ascii="方正楷体_GB2312" w:hAnsi="方正小标宋简体" w:eastAsia="方正仿宋_GB2312" w:cs="仿宋"/>
      <w:sz w:val="24"/>
      <w:szCs w:val="32"/>
    </w:rPr>
  </w:style>
  <w:style w:type="paragraph" w:customStyle="1" w:styleId="25">
    <w:name w:val="列出段落2"/>
    <w:basedOn w:val="1"/>
    <w:qFormat/>
    <w:uiPriority w:val="0"/>
    <w:pPr>
      <w:ind w:firstLine="420" w:firstLineChars="200"/>
    </w:pPr>
    <w:rPr>
      <w:rFonts w:ascii="Times New Roman" w:hAnsi="Times New Roman" w:eastAsia="宋体" w:cs="Times New Roman"/>
      <w:szCs w:val="21"/>
    </w:rPr>
  </w:style>
  <w:style w:type="paragraph" w:customStyle="1" w:styleId="26">
    <w:name w:val="列出段落1"/>
    <w:basedOn w:val="1"/>
    <w:qFormat/>
    <w:uiPriority w:val="34"/>
    <w:pPr>
      <w:suppressAutoHyphens/>
      <w:ind w:firstLine="420"/>
    </w:pPr>
    <w:rPr>
      <w:rFonts w:ascii="Times New Roman" w:hAnsi="Times New Roman" w:eastAsia="宋体" w:cs="Times New Roman"/>
      <w:kern w:val="1"/>
      <w:szCs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db1c2275-3f90-4f77-bf21-bd45b5398916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58FFC7E6</paraID>
      <start>0</start>
      <end>2</end>
      <status>unmodified</status>
      <modifiedWord/>
      <trackRevisions>false</trackRevisions>
    </reviewItem>
    <reviewItem>
      <errorID>b87caab7-7dc7-4373-ab62-c6e7e5ef03a1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67A4B0EC</paraID>
      <start>0</start>
      <end>2</end>
      <status>unmodified</status>
      <modifiedWord/>
      <trackRevisions>false</trackRevisions>
    </reviewItem>
    <reviewItem>
      <errorID>49b8e6c0-424a-4f0e-a229-a4c3a2822aa9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34243CEE</paraID>
      <start>0</start>
      <end>2</end>
      <status>unmodified</status>
      <modifiedWord/>
      <trackRevisions>false</trackRevisions>
    </reviewItem>
    <reviewItem>
      <errorID>689653b4-325e-4d64-b7c8-db01e94fe23e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673FFF60</paraID>
      <start>0</start>
      <end>2</end>
      <status>unmodified</status>
      <modifiedWord/>
      <trackRevisions>false</trackRevisions>
    </reviewItem>
    <reviewItem>
      <errorID>8429d8ea-79d0-4133-ac29-2ee1f978c6aa</errorID>
      <errorWord>等</errorWord>
      <group>L1_Word</group>
      <groupName>字词问题</groupName>
      <ability>L2_Typo</ability>
      <abilityName>字词错误</abilityName>
      <candidateList>
        <item>的</item>
      </candidateList>
      <explain/>
      <paraID> 53ACC0F</paraID>
      <start>13</start>
      <end>14</end>
      <status>unmodified</status>
      <modifiedWord/>
      <trackRevisions>false</trackRevisions>
    </reviewItem>
    <reviewItem>
      <errorID>e407fbdf-79c0-4723-bdad-10a83cdde6a8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554618DC</paraID>
      <start>0</start>
      <end>2</end>
      <status>unmodified</status>
      <modifiedWord/>
      <trackRevisions>false</trackRevisions>
    </reviewItem>
    <reviewItem>
      <errorID>ef2975da-e9bd-46ab-a867-a5276d6b5846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7D349A8B</paraID>
      <start>0</start>
      <end>2</end>
      <status>unmodified</status>
      <modifiedWord/>
      <trackRevisions>false</trackRevisions>
    </reviewItem>
    <reviewItem>
      <errorID>a00495b5-53f7-46b9-91cc-21de59a90033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6619B28A</paraID>
      <start>0</start>
      <end>2</end>
      <status>unmodified</status>
      <modifiedWord/>
      <trackRevisions>false</trackRevisions>
    </reviewItem>
    <reviewItem>
      <errorID>565824a9-43d4-47fb-bb8d-71863ebc5e05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43482A45</paraID>
      <start>0</start>
      <end>2</end>
      <status>unmodified</status>
      <modifiedWord/>
      <trackRevisions>false</trackRevisions>
    </reviewItem>
    <reviewItem>
      <errorID>4e028551-f219-4d07-b5b3-52d90c0879d6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428A839D</paraID>
      <start>0</start>
      <end>2</end>
      <status>unmodified</status>
      <modifiedWord/>
      <trackRevisions>false</trackRevisions>
    </reviewItem>
    <reviewItem>
      <errorID>a7903792-73ad-48f1-a9dc-c92e17804f44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56E8031D</paraID>
      <start>0</start>
      <end>2</end>
      <status>unmodified</status>
      <modifiedWord/>
      <trackRevisions>false</trackRevisions>
    </reviewItem>
    <reviewItem>
      <errorID>5122f92f-746e-4dcc-849e-87d8836605e3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1DCC4AA6</paraID>
      <start>0</start>
      <end>2</end>
      <status>unmodified</status>
      <modifiedWord/>
      <trackRevisions>false</trackRevisions>
    </reviewItem>
    <reviewItem>
      <errorID>83b15c79-73c5-4873-a4d8-8ef177e16248</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41589759</paraID>
      <start>0</start>
      <end>2</end>
      <status>unmodified</status>
      <modifiedWord/>
      <trackRevisions>false</trackRevisions>
    </reviewItem>
    <reviewItem>
      <errorID>db0daef4-0531-4b74-93be-07bda02aa1b5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7EB31163</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fc68da6-56ee-4999-ae00-8ab45bb7273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9</Pages>
  <Words>2442</Words>
  <Characters>2652</Characters>
  <Lines>133</Lines>
  <Paragraphs>161</Paragraphs>
  <TotalTime>13</TotalTime>
  <ScaleCrop>false</ScaleCrop>
  <LinksUpToDate>false</LinksUpToDate>
  <CharactersWithSpaces>2678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2026-02-05T02:57:00Z</dcterms:created>
  <dc:creator>HP</dc:creator>
  <cp:lastModifiedBy>仲杰</cp:lastModifiedBy>
  <dcterms:modified xsi:type="dcterms:W3CDTF">2026-09-28T00:23:49Z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eyJoZGlkIjoiMjQzMjJjYTEzYzEzMjVjOGIxYWQwMTc0ZTUwZGE2YjIiLCJ1c2VySWQiOiIyOTgyOTgyOTEifQ==</vt:lpwstr>
  </property>
  <property fmtid="{D5CDD505-2E9C-101B-9397-08002B2CF9AE}" pid="4" name="ICV">
    <vt:lpwstr>2BFD31D5F3FB4B709DBC969892577809_12</vt:lpwstr>
  </property>
</Properties>
</file>