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8A" w:rsidRDefault="0029058A" w:rsidP="0029058A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bookmarkStart w:id="0" w:name="_Toc107052747"/>
      <w:bookmarkStart w:id="1" w:name="_Toc79921111"/>
      <w:bookmarkStart w:id="2" w:name="_Toc43002989"/>
      <w:bookmarkStart w:id="3" w:name="_Toc40606556"/>
      <w:r>
        <w:rPr>
          <w:rFonts w:ascii="宋体" w:eastAsia="宋体" w:hAnsi="宋体" w:hint="eastAsia"/>
          <w:sz w:val="28"/>
          <w:szCs w:val="28"/>
        </w:rPr>
        <w:t>技术要求</w:t>
      </w:r>
    </w:p>
    <w:p w:rsidR="0029058A" w:rsidRDefault="00B726BA" w:rsidP="0029058A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冷箱智能监控终端设备加工</w:t>
      </w:r>
    </w:p>
    <w:p w:rsidR="005A4433" w:rsidRPr="005A4433" w:rsidRDefault="005A4433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4" w:name="_Toc47416189"/>
      <w:bookmarkStart w:id="5" w:name="_Toc49019228"/>
      <w:bookmarkStart w:id="6" w:name="_Toc49019489"/>
      <w:bookmarkStart w:id="7" w:name="_Toc100999372"/>
      <w:bookmarkStart w:id="8" w:name="_Toc100999994"/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一、系统建设背景</w:t>
      </w:r>
    </w:p>
    <w:p w:rsidR="0029058A" w:rsidRPr="005A4433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为了保证冷藏箱内储存的货物在运输过程中不腐败变质，在冷藏箱运输中的各主要环节都需要使冷藏箱处于加电制冷状态，使箱内货物保持在保质所需温湿度范围内，这就需要通过</w:t>
      </w: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技术手段，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在存储和运输的过程中，始终监控冷藏箱的运行工况。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甲方课题组通过一系列研究，掌握了冷藏集装箱的数据交互技术，同</w:t>
      </w: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时结合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了卫星定位、现代传感和无线通讯等技术，开</w:t>
      </w: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发了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冷藏集装箱远程监控系统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，并申请了“国际海运物流安全监控的箱联网关键技术及其实现”科研项目。</w:t>
      </w:r>
    </w:p>
    <w:p w:rsidR="005A4433" w:rsidRPr="005A4433" w:rsidRDefault="005A4433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二、技术要求</w:t>
      </w:r>
      <w:r w:rsidRPr="005A4433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5A4433">
        <w:rPr>
          <w:rFonts w:asciiTheme="minorEastAsia" w:eastAsiaTheme="minorEastAsia" w:hAnsiTheme="minorEastAsia" w:hint="eastAsia"/>
          <w:sz w:val="24"/>
        </w:rPr>
        <w:t>★</w:t>
      </w:r>
      <w:r w:rsidRPr="005A4433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E05D39" w:rsidRPr="005A4433" w:rsidRDefault="00E05D39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1.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目前，甲方已经研发了</w:t>
      </w:r>
      <w:r w:rsidR="00121911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冷藏集装箱智能终端设备，主要模块包括：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北斗</w:t>
      </w:r>
      <w:r w:rsidR="00121911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定位模块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、3G</w:t>
      </w:r>
      <w:r w:rsidR="00121911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通讯模块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ZigBee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等模块与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接口</w:t>
      </w:r>
      <w:r w:rsidR="004214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，并有详细的产品设计文件</w:t>
      </w:r>
      <w:r w:rsidR="00A844BE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，需要乙方严格按照甲方要求，对设备进行加工</w:t>
      </w:r>
      <w:r w:rsidR="003F721D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生产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E05D39" w:rsidRPr="005A4433" w:rsidRDefault="00E05D39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2.</w:t>
      </w:r>
      <w:r w:rsidR="0065100A" w:rsidRPr="005A4433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="0065100A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甲方提供设备</w:t>
      </w:r>
      <w:r w:rsidR="000F73FE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生产所需</w:t>
      </w:r>
      <w:r w:rsidR="0065100A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的通讯模块、控制板、电池以及专用接头等配</w:t>
      </w:r>
      <w:r w:rsidR="00121911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件，其他配件需要乙方提供，设备封壳需具有防爆等级以及三防处理</w:t>
      </w:r>
      <w:r w:rsidR="0065100A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E05D39" w:rsidRPr="005A4433" w:rsidRDefault="00E05D39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3.</w:t>
      </w:r>
      <w:r w:rsidR="0065100A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乙方必须熟悉冷藏集装箱的电路结构以及相关协议，其中由甲方提供的关键信息需签订保密协议；</w:t>
      </w:r>
    </w:p>
    <w:p w:rsidR="00F615EB" w:rsidRPr="005A4433" w:rsidRDefault="00E05D39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4.</w:t>
      </w:r>
      <w:r w:rsidR="00F615E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设备完成生产后，</w:t>
      </w:r>
      <w:r w:rsidR="00BA237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乙方需要安排专业人员，前往甲方指定的堆场安装设备</w:t>
      </w:r>
      <w:r w:rsidR="00041489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，免费服务范围为上海（含堆场服务费）</w:t>
      </w:r>
      <w:r w:rsidR="00BA237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。在上海以外的</w:t>
      </w:r>
      <w:r w:rsidR="00041489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设备</w:t>
      </w:r>
      <w:r w:rsidR="00BA237B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安装</w:t>
      </w:r>
      <w:r w:rsidR="00041489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，乙方派出专业人员，甲方负责差旅费、堆场服务费等。</w:t>
      </w:r>
    </w:p>
    <w:p w:rsidR="00911AA9" w:rsidRPr="005A4433" w:rsidRDefault="00911AA9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5.设备安装服务周期为自</w:t>
      </w:r>
      <w:r w:rsidR="003920B0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合同签订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后2年内，其中故障产品需要乙方</w:t>
      </w:r>
      <w:r w:rsidR="009B7D22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提供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免费更换。</w:t>
      </w:r>
    </w:p>
    <w:p w:rsidR="0029058A" w:rsidRPr="005A4433" w:rsidRDefault="00911AA9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 w:rsidR="00041489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.</w:t>
      </w:r>
      <w:r w:rsidR="002B5EBC">
        <w:rPr>
          <w:rFonts w:asciiTheme="minorEastAsia" w:eastAsiaTheme="minorEastAsia" w:hAnsiTheme="minorEastAsia" w:hint="eastAsia"/>
          <w:kern w:val="0"/>
          <w:sz w:val="24"/>
          <w:szCs w:val="24"/>
        </w:rPr>
        <w:t>本次加工数量为200套设备，</w:t>
      </w:r>
      <w:r w:rsidR="0052561C">
        <w:rPr>
          <w:rFonts w:asciiTheme="minorEastAsia" w:eastAsiaTheme="minorEastAsia" w:hAnsiTheme="minorEastAsia" w:hint="eastAsia"/>
          <w:kern w:val="0"/>
          <w:sz w:val="24"/>
          <w:szCs w:val="24"/>
        </w:rPr>
        <w:t>甲方只提供200套主要模块配件，</w:t>
      </w:r>
      <w:r w:rsidR="00283C2A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加工过程中的质损需要由乙方</w:t>
      </w:r>
      <w:r w:rsidR="00041489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负担</w:t>
      </w:r>
      <w:r w:rsidR="00E05D39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5A4433" w:rsidRPr="005A4433" w:rsidRDefault="005A4433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三、性能要求</w:t>
      </w:r>
      <w:r w:rsidRPr="005A4433">
        <w:rPr>
          <w:rFonts w:asciiTheme="minorEastAsia" w:eastAsiaTheme="minorEastAsia" w:hAnsiTheme="minorEastAsia" w:hint="eastAsia"/>
          <w:b/>
          <w:sz w:val="24"/>
          <w:szCs w:val="24"/>
        </w:rPr>
        <w:t>（★）</w:t>
      </w:r>
    </w:p>
    <w:p w:rsidR="00B62966" w:rsidRPr="005A4433" w:rsidRDefault="00B62966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 xml:space="preserve">1. 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基于</w:t>
      </w:r>
      <w:r w:rsidR="00A45298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Zigbee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无线方式的有效数据通信距离，在船舶、堆场环境中不少于20米；</w:t>
      </w:r>
    </w:p>
    <w:p w:rsidR="00B62966" w:rsidRPr="005A4433" w:rsidRDefault="00B62966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2. 要考虑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到</w:t>
      </w: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在海上使用时的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良好</w:t>
      </w: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的防水、</w:t>
      </w:r>
      <w:r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防腐性能</w:t>
      </w: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:rsidR="00B62966" w:rsidRPr="005A4433" w:rsidRDefault="00B62966" w:rsidP="005A4433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4433">
        <w:rPr>
          <w:rFonts w:asciiTheme="minorEastAsia" w:eastAsiaTheme="minorEastAsia" w:hAnsiTheme="minorEastAsia"/>
          <w:kern w:val="0"/>
          <w:sz w:val="24"/>
          <w:szCs w:val="24"/>
        </w:rPr>
        <w:t xml:space="preserve">3. </w:t>
      </w:r>
      <w:r w:rsidR="0054702E" w:rsidRPr="005A4433">
        <w:rPr>
          <w:rFonts w:asciiTheme="minorEastAsia" w:eastAsiaTheme="minorEastAsia" w:hAnsiTheme="minorEastAsia" w:hint="eastAsia"/>
          <w:kern w:val="0"/>
          <w:sz w:val="24"/>
          <w:szCs w:val="24"/>
        </w:rPr>
        <w:t>要考虑集装箱堆存状态下的定位与通信合理设计天线。</w:t>
      </w:r>
    </w:p>
    <w:p w:rsidR="005A4433" w:rsidRPr="005A4433" w:rsidRDefault="005A4433" w:rsidP="0029058A">
      <w:pPr>
        <w:widowControl/>
        <w:tabs>
          <w:tab w:val="left" w:pos="1155"/>
        </w:tabs>
        <w:spacing w:line="480" w:lineRule="exact"/>
        <w:ind w:leftChars="49" w:left="703" w:hangingChars="250" w:hanging="600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lastRenderedPageBreak/>
        <w:t>四、工期及验收要求</w:t>
      </w:r>
      <w:r w:rsidRPr="005A4433">
        <w:rPr>
          <w:rFonts w:asciiTheme="minorEastAsia" w:eastAsiaTheme="minorEastAsia" w:hAnsiTheme="minorEastAsia" w:hint="eastAsia"/>
          <w:b/>
          <w:sz w:val="24"/>
          <w:szCs w:val="24"/>
        </w:rPr>
        <w:t>（★）</w:t>
      </w:r>
    </w:p>
    <w:p w:rsidR="0045036E" w:rsidRPr="005A4433" w:rsidRDefault="0029058A" w:rsidP="005A4433">
      <w:pPr>
        <w:widowControl/>
        <w:tabs>
          <w:tab w:val="left" w:pos="1155"/>
        </w:tabs>
        <w:spacing w:line="480" w:lineRule="exact"/>
        <w:ind w:left="2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（1）供应商应具备类似项目的实施经验，在合同签订后1</w:t>
      </w:r>
      <w:r w:rsidR="00037DD5" w:rsidRPr="005A4433">
        <w:rPr>
          <w:rFonts w:asciiTheme="minorEastAsia" w:eastAsiaTheme="minorEastAsia" w:hAnsiTheme="minorEastAsia" w:hint="eastAsia"/>
          <w:sz w:val="24"/>
          <w:szCs w:val="24"/>
        </w:rPr>
        <w:t>周</w:t>
      </w:r>
      <w:r w:rsidR="00EC1A39" w:rsidRPr="005A4433">
        <w:rPr>
          <w:rFonts w:asciiTheme="minorEastAsia" w:eastAsiaTheme="minorEastAsia" w:hAnsiTheme="minorEastAsia" w:hint="eastAsia"/>
          <w:sz w:val="24"/>
          <w:szCs w:val="24"/>
        </w:rPr>
        <w:t>内与甲方协商确定设计方案，所有</w:t>
      </w:r>
      <w:r w:rsidR="00037DD5" w:rsidRPr="005A4433">
        <w:rPr>
          <w:rFonts w:asciiTheme="minorEastAsia" w:eastAsiaTheme="minorEastAsia" w:hAnsiTheme="minorEastAsia" w:hint="eastAsia"/>
          <w:sz w:val="24"/>
          <w:szCs w:val="24"/>
        </w:rPr>
        <w:t>生产</w:t>
      </w:r>
      <w:r w:rsidR="00EC1A39" w:rsidRPr="005A4433">
        <w:rPr>
          <w:rFonts w:asciiTheme="minorEastAsia" w:eastAsiaTheme="minorEastAsia" w:hAnsiTheme="minorEastAsia" w:hint="eastAsia"/>
          <w:sz w:val="24"/>
          <w:szCs w:val="24"/>
        </w:rPr>
        <w:t>工作需在</w:t>
      </w:r>
      <w:r w:rsidR="00037DD5" w:rsidRPr="005A4433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C1A39" w:rsidRPr="005A4433">
        <w:rPr>
          <w:rFonts w:asciiTheme="minorEastAsia" w:eastAsiaTheme="minorEastAsia" w:hAnsiTheme="minorEastAsia" w:hint="eastAsia"/>
          <w:sz w:val="24"/>
          <w:szCs w:val="24"/>
        </w:rPr>
        <w:t>个月内完成。</w:t>
      </w:r>
    </w:p>
    <w:p w:rsidR="0045036E" w:rsidRPr="005A4433" w:rsidRDefault="0045036E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（2）供应商在系统研发过程中，涉及甲方提供的技术要坚守保密原则。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5036E" w:rsidRPr="005A4433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5A4433">
        <w:rPr>
          <w:rFonts w:asciiTheme="minorEastAsia" w:eastAsiaTheme="minorEastAsia" w:hAnsiTheme="minorEastAsia" w:hint="eastAsia"/>
          <w:sz w:val="24"/>
          <w:szCs w:val="24"/>
        </w:rPr>
        <w:t xml:space="preserve">）设备投入试运行后进行验收，乙方应配合提供验收工作所需要的资料，其中至少应包含以下内容： </w:t>
      </w:r>
    </w:p>
    <w:p w:rsidR="0029058A" w:rsidRPr="005A4433" w:rsidRDefault="0029058A" w:rsidP="005A4433">
      <w:pPr>
        <w:tabs>
          <w:tab w:val="left" w:pos="1080"/>
          <w:tab w:val="left" w:pos="1575"/>
          <w:tab w:val="left" w:pos="1620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1）安装手册</w:t>
      </w:r>
    </w:p>
    <w:p w:rsidR="00EC1A39" w:rsidRPr="005A4433" w:rsidRDefault="0029058A" w:rsidP="005A4433">
      <w:pPr>
        <w:tabs>
          <w:tab w:val="left" w:pos="1080"/>
          <w:tab w:val="left" w:pos="1575"/>
          <w:tab w:val="left" w:pos="1620"/>
        </w:tabs>
        <w:spacing w:line="480" w:lineRule="exact"/>
        <w:ind w:left="2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2）使用手册</w:t>
      </w:r>
    </w:p>
    <w:p w:rsidR="005A4433" w:rsidRPr="005A4433" w:rsidRDefault="005A4433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五、培训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（1）乙方必须提供满足项目单位方要求的免费培训服务。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（2）乙方必须提供高水平的培训，所有的培训教员必须用中文授课， 除非有其它的协议规定。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（3）培训时间与日期必须在合同生效之后尽快安排。</w:t>
      </w:r>
    </w:p>
    <w:p w:rsidR="005A4433" w:rsidRPr="005A4433" w:rsidRDefault="005A4433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六、技术支持与售后服务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ind w:left="1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（1）乙方应根据项目单位的需求，对所提供的系统保证全面、有效、及时的技术支持和售后服务，有效期自签订合同后</w:t>
      </w:r>
      <w:r w:rsidR="00037DD5" w:rsidRPr="005A4433">
        <w:rPr>
          <w:rFonts w:asciiTheme="minorEastAsia" w:eastAsiaTheme="minorEastAsia" w:hAnsiTheme="minorEastAsia" w:hint="eastAsia"/>
          <w:sz w:val="24"/>
          <w:szCs w:val="24"/>
        </w:rPr>
        <w:t>两</w:t>
      </w:r>
      <w:r w:rsidRPr="005A4433">
        <w:rPr>
          <w:rFonts w:asciiTheme="minorEastAsia" w:eastAsiaTheme="minorEastAsia" w:hAnsiTheme="minorEastAsia" w:hint="eastAsia"/>
          <w:sz w:val="24"/>
          <w:szCs w:val="24"/>
        </w:rPr>
        <w:t>年内。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（2）乙方应在技术建议书中详细说明技术服务的范围和程序。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（3）在开发及试运行期间，乙方应提供现场开发及在现场维护支持，若系统出现问题或故障，乙方应免费进行故障处理和软件更新。</w:t>
      </w:r>
    </w:p>
    <w:p w:rsidR="0029058A" w:rsidRPr="005A4433" w:rsidRDefault="0029058A" w:rsidP="005A4433">
      <w:pPr>
        <w:widowControl/>
        <w:tabs>
          <w:tab w:val="left" w:pos="1155"/>
        </w:tabs>
        <w:spacing w:line="480" w:lineRule="exact"/>
        <w:ind w:left="1"/>
        <w:rPr>
          <w:rFonts w:asciiTheme="minorEastAsia" w:eastAsiaTheme="minorEastAsia" w:hAnsiTheme="minorEastAsia"/>
          <w:sz w:val="24"/>
          <w:szCs w:val="24"/>
        </w:rPr>
      </w:pPr>
      <w:r w:rsidRPr="005A4433">
        <w:rPr>
          <w:rFonts w:asciiTheme="minorEastAsia" w:eastAsiaTheme="minorEastAsia" w:hAnsiTheme="minorEastAsia" w:hint="eastAsia"/>
          <w:sz w:val="24"/>
          <w:szCs w:val="24"/>
        </w:rPr>
        <w:t>（4）乙方必须承诺对由于所开发产品存在缺欠给予</w:t>
      </w:r>
      <w:r w:rsidR="00037DD5" w:rsidRPr="005A4433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A4433">
        <w:rPr>
          <w:rFonts w:asciiTheme="minorEastAsia" w:eastAsiaTheme="minorEastAsia" w:hAnsiTheme="minorEastAsia" w:hint="eastAsia"/>
          <w:sz w:val="24"/>
          <w:szCs w:val="24"/>
        </w:rPr>
        <w:t>年免费修复，对于由于乙方开发的产品存在缺欠造成项目单位严重损失的，项目单位保留索赔权力。</w:t>
      </w:r>
    </w:p>
    <w:bookmarkEnd w:id="4"/>
    <w:bookmarkEnd w:id="5"/>
    <w:bookmarkEnd w:id="6"/>
    <w:bookmarkEnd w:id="7"/>
    <w:bookmarkEnd w:id="8"/>
    <w:p w:rsidR="0029058A" w:rsidRPr="005A4433" w:rsidRDefault="0029058A" w:rsidP="0029058A">
      <w:pPr>
        <w:rPr>
          <w:rFonts w:asciiTheme="minorEastAsia" w:eastAsiaTheme="minorEastAsia" w:hAnsiTheme="minorEastAsia"/>
          <w:sz w:val="24"/>
          <w:szCs w:val="24"/>
        </w:rPr>
      </w:pPr>
    </w:p>
    <w:p w:rsidR="00D83550" w:rsidRPr="005A4433" w:rsidRDefault="0029058A" w:rsidP="0029058A">
      <w:pPr>
        <w:spacing w:line="360" w:lineRule="auto"/>
        <w:rPr>
          <w:rFonts w:asciiTheme="minorEastAsia" w:eastAsiaTheme="minorEastAsia" w:hAnsiTheme="minorEastAsia"/>
          <w:b/>
        </w:rPr>
      </w:pPr>
      <w:r w:rsidRPr="005A4433">
        <w:rPr>
          <w:rFonts w:asciiTheme="minorEastAsia" w:eastAsiaTheme="minorEastAsia" w:hAnsiTheme="minorEastAsia" w:hint="eastAsia"/>
          <w:b/>
          <w:sz w:val="24"/>
        </w:rPr>
        <w:t>注：</w:t>
      </w:r>
      <w:r w:rsidR="005A4433" w:rsidRPr="005A4433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5A4433">
        <w:rPr>
          <w:rFonts w:asciiTheme="minorEastAsia" w:eastAsiaTheme="minorEastAsia" w:hAnsiTheme="minorEastAsia" w:hint="eastAsia"/>
          <w:b/>
          <w:sz w:val="24"/>
        </w:rPr>
        <w:t>“★”号指标必须满足并提供相关技术支持文件，任何负偏离将可能导致不予成交。</w:t>
      </w:r>
      <w:bookmarkEnd w:id="0"/>
      <w:bookmarkEnd w:id="1"/>
      <w:bookmarkEnd w:id="2"/>
      <w:bookmarkEnd w:id="3"/>
    </w:p>
    <w:sectPr w:rsidR="00D83550" w:rsidRPr="005A4433" w:rsidSect="00BB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AA" w:rsidRDefault="005118AA" w:rsidP="002A0901">
      <w:r>
        <w:separator/>
      </w:r>
    </w:p>
  </w:endnote>
  <w:endnote w:type="continuationSeparator" w:id="1">
    <w:p w:rsidR="005118AA" w:rsidRDefault="005118AA" w:rsidP="002A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AA" w:rsidRDefault="005118AA" w:rsidP="002A0901">
      <w:r>
        <w:separator/>
      </w:r>
    </w:p>
  </w:footnote>
  <w:footnote w:type="continuationSeparator" w:id="1">
    <w:p w:rsidR="005118AA" w:rsidRDefault="005118AA" w:rsidP="002A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C1B0F43"/>
    <w:multiLevelType w:val="hybridMultilevel"/>
    <w:tmpl w:val="693235B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901"/>
    <w:rsid w:val="000204AB"/>
    <w:rsid w:val="00037DD5"/>
    <w:rsid w:val="00041489"/>
    <w:rsid w:val="000654D5"/>
    <w:rsid w:val="000B0270"/>
    <w:rsid w:val="000F73FE"/>
    <w:rsid w:val="00104213"/>
    <w:rsid w:val="00121911"/>
    <w:rsid w:val="00134BC4"/>
    <w:rsid w:val="00283C2A"/>
    <w:rsid w:val="0029058A"/>
    <w:rsid w:val="002A0901"/>
    <w:rsid w:val="002B5EBC"/>
    <w:rsid w:val="003205E5"/>
    <w:rsid w:val="003339AE"/>
    <w:rsid w:val="003615EA"/>
    <w:rsid w:val="003920B0"/>
    <w:rsid w:val="003F721D"/>
    <w:rsid w:val="004214EB"/>
    <w:rsid w:val="0045036E"/>
    <w:rsid w:val="004E6547"/>
    <w:rsid w:val="005118AA"/>
    <w:rsid w:val="0052561C"/>
    <w:rsid w:val="0054702E"/>
    <w:rsid w:val="005520B3"/>
    <w:rsid w:val="005A4433"/>
    <w:rsid w:val="005A79F3"/>
    <w:rsid w:val="00612E37"/>
    <w:rsid w:val="0065100A"/>
    <w:rsid w:val="00662A6F"/>
    <w:rsid w:val="006C3E3B"/>
    <w:rsid w:val="00750D9A"/>
    <w:rsid w:val="007511C4"/>
    <w:rsid w:val="00760812"/>
    <w:rsid w:val="00767943"/>
    <w:rsid w:val="007E29F5"/>
    <w:rsid w:val="008256DF"/>
    <w:rsid w:val="00851082"/>
    <w:rsid w:val="008E2DA4"/>
    <w:rsid w:val="00911AA9"/>
    <w:rsid w:val="009B7D22"/>
    <w:rsid w:val="009F2257"/>
    <w:rsid w:val="00A45298"/>
    <w:rsid w:val="00A844BE"/>
    <w:rsid w:val="00B62966"/>
    <w:rsid w:val="00B726BA"/>
    <w:rsid w:val="00B84231"/>
    <w:rsid w:val="00BA237B"/>
    <w:rsid w:val="00BE749A"/>
    <w:rsid w:val="00C01A03"/>
    <w:rsid w:val="00C758D8"/>
    <w:rsid w:val="00CF37D5"/>
    <w:rsid w:val="00D83550"/>
    <w:rsid w:val="00E05D39"/>
    <w:rsid w:val="00E243BB"/>
    <w:rsid w:val="00E57F62"/>
    <w:rsid w:val="00EC1A39"/>
    <w:rsid w:val="00ED4923"/>
    <w:rsid w:val="00F615EB"/>
    <w:rsid w:val="00FA5BEF"/>
    <w:rsid w:val="00FE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unhideWhenUsed/>
    <w:qFormat/>
    <w:rsid w:val="0029058A"/>
    <w:pPr>
      <w:keepNext/>
      <w:keepLines/>
      <w:spacing w:before="260" w:after="260" w:line="412" w:lineRule="auto"/>
      <w:outlineLvl w:val="1"/>
    </w:pPr>
    <w:rPr>
      <w:rFonts w:ascii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A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A09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A0901"/>
    <w:rPr>
      <w:sz w:val="18"/>
      <w:szCs w:val="18"/>
    </w:rPr>
  </w:style>
  <w:style w:type="paragraph" w:styleId="a6">
    <w:name w:val="List Paragraph"/>
    <w:basedOn w:val="a"/>
    <w:uiPriority w:val="34"/>
    <w:qFormat/>
    <w:rsid w:val="00B84231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rsid w:val="0029058A"/>
    <w:rPr>
      <w:rFonts w:ascii="宋体" w:eastAsia="宋体" w:hAnsi="宋体" w:cs="宋体"/>
      <w:sz w:val="32"/>
      <w:szCs w:val="20"/>
    </w:rPr>
  </w:style>
  <w:style w:type="paragraph" w:styleId="a7">
    <w:name w:val="Title"/>
    <w:basedOn w:val="a"/>
    <w:link w:val="Char1"/>
    <w:qFormat/>
    <w:rsid w:val="0029058A"/>
    <w:pPr>
      <w:jc w:val="center"/>
    </w:pPr>
    <w:rPr>
      <w:rFonts w:eastAsia="隶书"/>
      <w:b/>
      <w:sz w:val="48"/>
      <w:szCs w:val="24"/>
    </w:rPr>
  </w:style>
  <w:style w:type="character" w:customStyle="1" w:styleId="Char1">
    <w:name w:val="标题 Char"/>
    <w:basedOn w:val="a1"/>
    <w:link w:val="a7"/>
    <w:rsid w:val="0029058A"/>
    <w:rPr>
      <w:rFonts w:ascii="Times New Roman" w:eastAsia="隶书" w:hAnsi="Times New Roman" w:cs="Times New Roman"/>
      <w:b/>
      <w:sz w:val="48"/>
      <w:szCs w:val="24"/>
    </w:rPr>
  </w:style>
  <w:style w:type="character" w:customStyle="1" w:styleId="T3CharChar">
    <w:name w:val="T3 Char Char"/>
    <w:link w:val="T3"/>
    <w:locked/>
    <w:rsid w:val="0029058A"/>
    <w:rPr>
      <w:rFonts w:ascii="黑体" w:eastAsia="黑体" w:hAnsi="黑体"/>
      <w:b/>
      <w:bCs/>
      <w:sz w:val="32"/>
      <w:szCs w:val="32"/>
    </w:rPr>
  </w:style>
  <w:style w:type="paragraph" w:customStyle="1" w:styleId="T3">
    <w:name w:val="T3"/>
    <w:basedOn w:val="a"/>
    <w:link w:val="T3CharChar"/>
    <w:rsid w:val="0029058A"/>
    <w:pPr>
      <w:keepLines/>
      <w:tabs>
        <w:tab w:val="left" w:pos="1742"/>
      </w:tabs>
      <w:spacing w:before="36" w:after="36" w:line="300" w:lineRule="auto"/>
      <w:ind w:left="1080" w:hanging="420"/>
      <w:outlineLvl w:val="2"/>
    </w:pPr>
    <w:rPr>
      <w:rFonts w:ascii="黑体" w:eastAsia="黑体" w:hAnsi="黑体" w:cstheme="minorBidi"/>
      <w:b/>
      <w:bCs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2905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2016-08-22T07:16:00Z</dcterms:created>
  <dcterms:modified xsi:type="dcterms:W3CDTF">2017-03-08T04:54:00Z</dcterms:modified>
</cp:coreProperties>
</file>