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通信测试设备主板</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HFBX2025052</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二〇二五年五月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HFBX2025052；</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通信测试设备主板；</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预算金额（亦是最高限价）：人民币</w:t>
      </w:r>
      <w:r>
        <w:rPr>
          <w:rFonts w:hint="eastAsia" w:ascii="方正兰亭黑简体" w:hAnsi="方正兰亭黑简体" w:eastAsia="方正兰亭黑简体" w:cs="方正兰亭黑简体"/>
          <w:color w:val="auto"/>
          <w:sz w:val="22"/>
          <w:szCs w:val="28"/>
          <w:highlight w:val="none"/>
          <w:lang w:val="en-US" w:eastAsia="zh-CN"/>
        </w:rPr>
        <w:t>22</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采购需求：按照</w:t>
      </w:r>
      <w:r>
        <w:rPr>
          <w:rFonts w:hint="eastAsia" w:ascii="方正兰亭黑简体" w:hAnsi="方正兰亭黑简体" w:eastAsia="方正兰亭黑简体" w:cs="方正兰亭黑简体"/>
          <w:color w:val="auto"/>
          <w:sz w:val="22"/>
          <w:szCs w:val="28"/>
          <w:highlight w:val="none"/>
          <w:lang w:val="en-US" w:eastAsia="zh-CN"/>
        </w:rPr>
        <w:t>校方</w:t>
      </w:r>
      <w:r>
        <w:rPr>
          <w:rFonts w:hint="eastAsia" w:ascii="方正兰亭黑简体" w:hAnsi="方正兰亭黑简体" w:eastAsia="方正兰亭黑简体" w:cs="方正兰亭黑简体"/>
          <w:color w:val="auto"/>
          <w:sz w:val="22"/>
          <w:szCs w:val="28"/>
          <w:highlight w:val="none"/>
        </w:rPr>
        <w:t>的</w:t>
      </w:r>
      <w:r>
        <w:rPr>
          <w:rFonts w:hint="eastAsia" w:ascii="方正兰亭黑简体" w:hAnsi="方正兰亭黑简体" w:eastAsia="方正兰亭黑简体" w:cs="方正兰亭黑简体"/>
          <w:color w:val="auto"/>
          <w:sz w:val="22"/>
          <w:szCs w:val="28"/>
          <w:highlight w:val="none"/>
          <w:lang w:val="en-US" w:eastAsia="zh-CN"/>
        </w:rPr>
        <w:t>要求</w:t>
      </w:r>
      <w:r>
        <w:rPr>
          <w:rFonts w:hint="eastAsia" w:ascii="方正兰亭黑简体" w:hAnsi="方正兰亭黑简体" w:eastAsia="方正兰亭黑简体" w:cs="方正兰亭黑简体"/>
          <w:color w:val="auto"/>
          <w:sz w:val="22"/>
          <w:szCs w:val="28"/>
          <w:highlight w:val="none"/>
        </w:rPr>
        <w:t>，定制生产1400套通信测试设备主板。拟采取比选方式实施采购。（具体要求详见比选文件—第二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07A4D9AA">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交付地址：上海市海港大道1550号（上海海事大学临港校区）</w:t>
      </w:r>
    </w:p>
    <w:p w14:paraId="0043276A">
      <w:pP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合同内全部产品按时交付甲方，</w:t>
      </w:r>
      <w:r>
        <w:rPr>
          <w:rFonts w:hint="default" w:ascii="方正兰亭黑简体" w:hAnsi="方正兰亭黑简体" w:eastAsia="方正兰亭黑简体" w:cs="方正兰亭黑简体"/>
          <w:color w:val="auto"/>
          <w:sz w:val="22"/>
          <w:szCs w:val="28"/>
          <w:highlight w:val="none"/>
        </w:rPr>
        <w:t>经甲方验收合格后</w:t>
      </w:r>
      <w:r>
        <w:rPr>
          <w:rFonts w:hint="eastAsia" w:ascii="方正兰亭黑简体" w:hAnsi="方正兰亭黑简体" w:eastAsia="方正兰亭黑简体" w:cs="方正兰亭黑简体"/>
          <w:color w:val="auto"/>
          <w:sz w:val="22"/>
          <w:szCs w:val="28"/>
          <w:highlight w:val="none"/>
          <w:lang w:val="en-US" w:eastAsia="zh-CN"/>
        </w:rPr>
        <w:t>的一个月</w:t>
      </w:r>
      <w:r>
        <w:rPr>
          <w:rFonts w:hint="default" w:ascii="方正兰亭黑简体" w:hAnsi="方正兰亭黑简体" w:eastAsia="方正兰亭黑简体" w:cs="方正兰亭黑简体"/>
          <w:color w:val="auto"/>
          <w:sz w:val="22"/>
          <w:szCs w:val="28"/>
          <w:highlight w:val="none"/>
        </w:rPr>
        <w:t>内，甲方向乙方一次性支付全部合同款项。合同内全部款项均以“银行转账”方式予以支付。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周二</w:t>
      </w:r>
      <w:bookmarkStart w:id="4" w:name="_GoBack"/>
      <w:bookmarkEnd w:id="4"/>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郝</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38284615</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3EDC6997">
      <w:pPr>
        <w:spacing w:line="360" w:lineRule="auto"/>
        <w:rPr>
          <w:rStyle w:val="23"/>
          <w:rFonts w:hint="default" w:ascii="Times New Roman" w:hAnsi="Times New Roman" w:eastAsia="方正兰亭黑简体" w:cs="Times New Roman"/>
          <w:b/>
          <w:color w:val="auto"/>
          <w:sz w:val="24"/>
          <w:szCs w:val="24"/>
          <w:highlight w:val="none"/>
        </w:rPr>
      </w:pPr>
      <w:r>
        <w:rPr>
          <w:rStyle w:val="23"/>
          <w:rFonts w:hint="default" w:ascii="Times New Roman" w:hAnsi="Times New Roman" w:eastAsia="方正兰亭黑简体" w:cs="Times New Roman"/>
          <w:b/>
          <w:color w:val="auto"/>
          <w:sz w:val="24"/>
          <w:szCs w:val="24"/>
          <w:highlight w:val="none"/>
        </w:rPr>
        <w:t>一、项目要求</w:t>
      </w:r>
    </w:p>
    <w:p w14:paraId="46A997A9">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1、乙方需根据甲方科研项目的交付要求，按照甲方的设计，定制生产1400套通信测试设备主板。</w:t>
      </w:r>
    </w:p>
    <w:p w14:paraId="0BD5FF5D">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2、通信测试设备主板需兼容SIMCOM、移远、美格等主流通信模组的全球版（至少选择两款），选型兼顾通信效率与成本，乙方需协助甲方实现全球漫游兼容的固件开发与测试。</w:t>
      </w:r>
    </w:p>
    <w:p w14:paraId="5F1DFDE0">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3、通信测试设备主板须符合冷藏集装箱制冷机组控制器主板的电气接口规范，具备必要的安全保护措施，正确与控制器主板完成交互。</w:t>
      </w:r>
    </w:p>
    <w:p w14:paraId="61B85EEB">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4、板材要求FR-4环氧玻璃阻燃纤维板，无铅喷锡。</w:t>
      </w:r>
    </w:p>
    <w:p w14:paraId="25B4C5E6">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5、通信测试设备主板的主要元器件如下第二部分内容，除此之外，定制生产所需要的相关电阻、电容等小元器件需要乙方提供。</w:t>
      </w:r>
    </w:p>
    <w:p w14:paraId="24A19ED3">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6、乙方定制生产完成后，需按照甲方要求烧录程序并进行测试。</w:t>
      </w:r>
    </w:p>
    <w:p w14:paraId="764DA08C">
      <w:pPr>
        <w:adjustRightInd w:val="0"/>
        <w:snapToGrid w:val="0"/>
        <w:spacing w:after="62" w:afterLines="20" w:line="360" w:lineRule="auto"/>
        <w:rPr>
          <w:rStyle w:val="23"/>
          <w:rFonts w:hint="default" w:ascii="Times New Roman" w:hAnsi="Times New Roman" w:eastAsia="方正兰亭黑简体" w:cs="Times New Roman"/>
          <w:color w:val="auto"/>
          <w:sz w:val="24"/>
          <w:szCs w:val="24"/>
          <w:highlight w:val="none"/>
        </w:rPr>
      </w:pPr>
    </w:p>
    <w:p w14:paraId="23C77E3E">
      <w:pPr>
        <w:spacing w:line="360" w:lineRule="auto"/>
        <w:rPr>
          <w:rStyle w:val="23"/>
          <w:rFonts w:hint="default" w:ascii="Times New Roman" w:hAnsi="Times New Roman" w:eastAsia="方正兰亭黑简体" w:cs="Times New Roman"/>
          <w:b/>
          <w:color w:val="auto"/>
          <w:sz w:val="24"/>
          <w:szCs w:val="24"/>
          <w:highlight w:val="none"/>
        </w:rPr>
      </w:pPr>
      <w:r>
        <w:rPr>
          <w:rStyle w:val="23"/>
          <w:rFonts w:hint="default" w:ascii="Times New Roman" w:hAnsi="Times New Roman" w:eastAsia="方正兰亭黑简体" w:cs="Times New Roman"/>
          <w:b/>
          <w:color w:val="auto"/>
          <w:sz w:val="24"/>
          <w:szCs w:val="24"/>
          <w:highlight w:val="none"/>
        </w:rPr>
        <w:t>二、嵌入式电路板主要元器件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300"/>
        <w:gridCol w:w="946"/>
      </w:tblGrid>
      <w:tr w14:paraId="7671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367" w:type="dxa"/>
            <w:shd w:val="clear" w:color="000000" w:fill="FFFFFF"/>
            <w:noWrap/>
            <w:vAlign w:val="center"/>
          </w:tcPr>
          <w:p w14:paraId="37062E30">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型号/厂商</w:t>
            </w:r>
          </w:p>
        </w:tc>
        <w:tc>
          <w:tcPr>
            <w:tcW w:w="5300" w:type="dxa"/>
            <w:shd w:val="clear" w:color="000000" w:fill="FFFFFF"/>
            <w:noWrap/>
            <w:vAlign w:val="center"/>
          </w:tcPr>
          <w:p w14:paraId="53811DC8">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描述</w:t>
            </w:r>
          </w:p>
        </w:tc>
        <w:tc>
          <w:tcPr>
            <w:tcW w:w="946" w:type="dxa"/>
            <w:shd w:val="clear" w:color="000000" w:fill="FFFFFF"/>
            <w:noWrap/>
            <w:vAlign w:val="center"/>
          </w:tcPr>
          <w:p w14:paraId="4845FEFB">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数量</w:t>
            </w:r>
          </w:p>
        </w:tc>
      </w:tr>
      <w:tr w14:paraId="63DC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1401FE76">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HDSCL196/华大半导体</w:t>
            </w:r>
          </w:p>
        </w:tc>
        <w:tc>
          <w:tcPr>
            <w:tcW w:w="5300" w:type="dxa"/>
            <w:shd w:val="clear" w:color="000000" w:fill="FFFFFF"/>
            <w:vAlign w:val="center"/>
          </w:tcPr>
          <w:p w14:paraId="5DC23902">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MCU,256K FLASH+32K RAM</w:t>
            </w:r>
          </w:p>
        </w:tc>
        <w:tc>
          <w:tcPr>
            <w:tcW w:w="946" w:type="dxa"/>
            <w:shd w:val="clear" w:color="000000" w:fill="FFFFFF"/>
            <w:vAlign w:val="center"/>
          </w:tcPr>
          <w:p w14:paraId="2F1621DE">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405E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36CD0C19">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通信模组</w:t>
            </w:r>
          </w:p>
        </w:tc>
        <w:tc>
          <w:tcPr>
            <w:tcW w:w="5300" w:type="dxa"/>
            <w:shd w:val="clear" w:color="000000" w:fill="FFFFFF"/>
            <w:vAlign w:val="center"/>
          </w:tcPr>
          <w:p w14:paraId="7933E9FA">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共同选型（甲方提供）</w:t>
            </w:r>
          </w:p>
        </w:tc>
        <w:tc>
          <w:tcPr>
            <w:tcW w:w="946" w:type="dxa"/>
            <w:shd w:val="clear" w:color="000000" w:fill="FFFFFF"/>
            <w:vAlign w:val="center"/>
          </w:tcPr>
          <w:p w14:paraId="7C668306">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49F7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78230CD8">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ATGM336H-5N/中科微</w:t>
            </w:r>
          </w:p>
        </w:tc>
        <w:tc>
          <w:tcPr>
            <w:tcW w:w="5300" w:type="dxa"/>
            <w:shd w:val="clear" w:color="000000" w:fill="FFFFFF"/>
            <w:vAlign w:val="center"/>
          </w:tcPr>
          <w:p w14:paraId="07A44935">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GPS和北斗二合一定位模块</w:t>
            </w:r>
          </w:p>
        </w:tc>
        <w:tc>
          <w:tcPr>
            <w:tcW w:w="946" w:type="dxa"/>
            <w:shd w:val="clear" w:color="000000" w:fill="FFFFFF"/>
            <w:vAlign w:val="center"/>
          </w:tcPr>
          <w:p w14:paraId="55854C7E">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12D0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29DBDDB2">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LIS3DH/ST</w:t>
            </w:r>
          </w:p>
        </w:tc>
        <w:tc>
          <w:tcPr>
            <w:tcW w:w="5300" w:type="dxa"/>
            <w:shd w:val="clear" w:color="000000" w:fill="FFFFFF"/>
            <w:vAlign w:val="center"/>
          </w:tcPr>
          <w:p w14:paraId="439003B4">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3D 重力加速度传感器</w:t>
            </w:r>
          </w:p>
        </w:tc>
        <w:tc>
          <w:tcPr>
            <w:tcW w:w="946" w:type="dxa"/>
            <w:shd w:val="clear" w:color="000000" w:fill="FFFFFF"/>
            <w:vAlign w:val="center"/>
          </w:tcPr>
          <w:p w14:paraId="73771684">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2383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46A77DB4">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TLSR8232蓝牙模块/泰凌微</w:t>
            </w:r>
          </w:p>
        </w:tc>
        <w:tc>
          <w:tcPr>
            <w:tcW w:w="5300" w:type="dxa"/>
            <w:shd w:val="clear" w:color="000000" w:fill="FFFFFF"/>
            <w:vAlign w:val="center"/>
          </w:tcPr>
          <w:p w14:paraId="15527565">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基于TLSR8283的板载蓝牙模块</w:t>
            </w:r>
          </w:p>
        </w:tc>
        <w:tc>
          <w:tcPr>
            <w:tcW w:w="946" w:type="dxa"/>
            <w:shd w:val="clear" w:color="000000" w:fill="FFFFFF"/>
            <w:vAlign w:val="center"/>
          </w:tcPr>
          <w:p w14:paraId="5FD59BBB">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03CF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75F77791">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SX1276/Semtech</w:t>
            </w:r>
          </w:p>
        </w:tc>
        <w:tc>
          <w:tcPr>
            <w:tcW w:w="5300" w:type="dxa"/>
            <w:shd w:val="clear" w:color="000000" w:fill="FFFFFF"/>
            <w:vAlign w:val="center"/>
          </w:tcPr>
          <w:p w14:paraId="2100CD9E">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近距离无线传输模块LORA私有协议（甲方提供）</w:t>
            </w:r>
          </w:p>
        </w:tc>
        <w:tc>
          <w:tcPr>
            <w:tcW w:w="946" w:type="dxa"/>
            <w:shd w:val="clear" w:color="000000" w:fill="FFFFFF"/>
            <w:vAlign w:val="center"/>
          </w:tcPr>
          <w:p w14:paraId="4BA0707D">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02FA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342C52E0">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定制</w:t>
            </w:r>
          </w:p>
        </w:tc>
        <w:tc>
          <w:tcPr>
            <w:tcW w:w="5300" w:type="dxa"/>
            <w:shd w:val="clear" w:color="000000" w:fill="FFFFFF"/>
            <w:vAlign w:val="center"/>
          </w:tcPr>
          <w:p w14:paraId="528FC37A">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270mm*50mm，铝板</w:t>
            </w:r>
          </w:p>
        </w:tc>
        <w:tc>
          <w:tcPr>
            <w:tcW w:w="946" w:type="dxa"/>
            <w:shd w:val="clear" w:color="000000" w:fill="FFFFFF"/>
            <w:vAlign w:val="center"/>
          </w:tcPr>
          <w:p w14:paraId="55E2A110">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47F6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shd w:val="clear" w:color="000000" w:fill="FFFFFF"/>
            <w:vAlign w:val="center"/>
          </w:tcPr>
          <w:p w14:paraId="173552AE">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定制</w:t>
            </w:r>
          </w:p>
        </w:tc>
        <w:tc>
          <w:tcPr>
            <w:tcW w:w="5300" w:type="dxa"/>
            <w:shd w:val="clear" w:color="000000" w:fill="FFFFFF"/>
            <w:vAlign w:val="center"/>
          </w:tcPr>
          <w:p w14:paraId="62487DE3">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0.5米电源数据线含插头</w:t>
            </w:r>
          </w:p>
        </w:tc>
        <w:tc>
          <w:tcPr>
            <w:tcW w:w="946" w:type="dxa"/>
            <w:shd w:val="clear" w:color="000000" w:fill="FFFFFF"/>
            <w:vAlign w:val="center"/>
          </w:tcPr>
          <w:p w14:paraId="7C8300B9">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07AC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restart"/>
            <w:shd w:val="clear" w:color="000000" w:fill="FFFFFF"/>
            <w:vAlign w:val="center"/>
          </w:tcPr>
          <w:p w14:paraId="024DEF2B">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定制天线（定位+通信+蓝牙）</w:t>
            </w:r>
          </w:p>
        </w:tc>
        <w:tc>
          <w:tcPr>
            <w:tcW w:w="5300" w:type="dxa"/>
            <w:shd w:val="clear" w:color="000000" w:fill="FFFFFF"/>
            <w:vAlign w:val="center"/>
          </w:tcPr>
          <w:p w14:paraId="38C45216">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V-0级阻燃材料定制外壳</w:t>
            </w:r>
          </w:p>
        </w:tc>
        <w:tc>
          <w:tcPr>
            <w:tcW w:w="946" w:type="dxa"/>
            <w:vMerge w:val="restart"/>
            <w:shd w:val="clear" w:color="000000" w:fill="FFFFFF"/>
            <w:vAlign w:val="center"/>
          </w:tcPr>
          <w:p w14:paraId="1148CB06">
            <w:pPr>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1</w:t>
            </w:r>
          </w:p>
        </w:tc>
      </w:tr>
      <w:tr w14:paraId="0D7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vAlign w:val="center"/>
          </w:tcPr>
          <w:p w14:paraId="328EEA31">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6F4842F9">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通信天线覆盖2、3、4G全频段</w:t>
            </w:r>
          </w:p>
        </w:tc>
        <w:tc>
          <w:tcPr>
            <w:tcW w:w="946" w:type="dxa"/>
            <w:vMerge w:val="continue"/>
            <w:shd w:val="clear" w:color="000000" w:fill="FFFFFF"/>
            <w:vAlign w:val="center"/>
          </w:tcPr>
          <w:p w14:paraId="3D316138">
            <w:pPr>
              <w:spacing w:line="360" w:lineRule="auto"/>
              <w:jc w:val="center"/>
              <w:rPr>
                <w:rFonts w:hint="default" w:ascii="Times New Roman" w:hAnsi="Times New Roman" w:eastAsia="方正兰亭黑简体" w:cs="Times New Roman"/>
                <w:color w:val="auto"/>
                <w:kern w:val="0"/>
                <w:sz w:val="24"/>
                <w:szCs w:val="24"/>
                <w:highlight w:val="none"/>
              </w:rPr>
            </w:pPr>
          </w:p>
        </w:tc>
      </w:tr>
      <w:tr w14:paraId="4490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vAlign w:val="center"/>
          </w:tcPr>
          <w:p w14:paraId="541C7F56">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608FDCCA">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定位天线高增益：35*35*4陶瓷</w:t>
            </w:r>
          </w:p>
        </w:tc>
        <w:tc>
          <w:tcPr>
            <w:tcW w:w="946" w:type="dxa"/>
            <w:vMerge w:val="continue"/>
            <w:shd w:val="clear" w:color="000000" w:fill="FFFFFF"/>
            <w:vAlign w:val="center"/>
          </w:tcPr>
          <w:p w14:paraId="3D6DAA1D">
            <w:pPr>
              <w:spacing w:line="360" w:lineRule="auto"/>
              <w:jc w:val="center"/>
              <w:rPr>
                <w:rFonts w:hint="default" w:ascii="Times New Roman" w:hAnsi="Times New Roman" w:eastAsia="方正兰亭黑简体" w:cs="Times New Roman"/>
                <w:color w:val="auto"/>
                <w:kern w:val="0"/>
                <w:sz w:val="24"/>
                <w:szCs w:val="24"/>
                <w:highlight w:val="none"/>
              </w:rPr>
            </w:pPr>
          </w:p>
        </w:tc>
      </w:tr>
      <w:tr w14:paraId="69E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67" w:type="dxa"/>
            <w:vMerge w:val="continue"/>
            <w:vAlign w:val="center"/>
          </w:tcPr>
          <w:p w14:paraId="0AF99F1A">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42D70071">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满足集装箱堆存后遮挡环境下的通信与定位</w:t>
            </w:r>
          </w:p>
        </w:tc>
        <w:tc>
          <w:tcPr>
            <w:tcW w:w="946" w:type="dxa"/>
            <w:vMerge w:val="continue"/>
            <w:shd w:val="clear" w:color="000000" w:fill="FFFFFF"/>
            <w:vAlign w:val="center"/>
          </w:tcPr>
          <w:p w14:paraId="13C4207B">
            <w:pPr>
              <w:spacing w:line="360" w:lineRule="auto"/>
              <w:jc w:val="center"/>
              <w:rPr>
                <w:rFonts w:hint="default" w:ascii="Times New Roman" w:hAnsi="Times New Roman" w:eastAsia="方正兰亭黑简体" w:cs="Times New Roman"/>
                <w:color w:val="auto"/>
                <w:kern w:val="0"/>
                <w:sz w:val="24"/>
                <w:szCs w:val="24"/>
                <w:highlight w:val="none"/>
              </w:rPr>
            </w:pPr>
          </w:p>
        </w:tc>
      </w:tr>
      <w:tr w14:paraId="3729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shd w:val="clear" w:color="000000" w:fill="FFFFFF"/>
            <w:vAlign w:val="center"/>
          </w:tcPr>
          <w:p w14:paraId="139CD975">
            <w:pPr>
              <w:widowControl/>
              <w:spacing w:line="360" w:lineRule="auto"/>
              <w:jc w:val="center"/>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0E80D880">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4根*1.5米</w:t>
            </w:r>
          </w:p>
        </w:tc>
        <w:tc>
          <w:tcPr>
            <w:tcW w:w="946" w:type="dxa"/>
            <w:vMerge w:val="continue"/>
            <w:shd w:val="clear" w:color="000000" w:fill="FFFFFF"/>
            <w:vAlign w:val="center"/>
          </w:tcPr>
          <w:p w14:paraId="7191AF44">
            <w:pPr>
              <w:spacing w:line="360" w:lineRule="auto"/>
              <w:jc w:val="center"/>
              <w:rPr>
                <w:rFonts w:hint="default" w:ascii="Times New Roman" w:hAnsi="Times New Roman" w:eastAsia="方正兰亭黑简体" w:cs="Times New Roman"/>
                <w:color w:val="auto"/>
                <w:kern w:val="0"/>
                <w:sz w:val="24"/>
                <w:szCs w:val="24"/>
                <w:highlight w:val="none"/>
              </w:rPr>
            </w:pPr>
          </w:p>
        </w:tc>
      </w:tr>
      <w:tr w14:paraId="2E1A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vAlign w:val="center"/>
          </w:tcPr>
          <w:p w14:paraId="2BDFE16B">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29FF2D19">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4个SMA插头及插座</w:t>
            </w:r>
            <w:r>
              <w:rPr>
                <w:rFonts w:hint="default" w:ascii="Times New Roman" w:hAnsi="Times New Roman" w:eastAsia="方正兰亭黑简体" w:cs="Times New Roman"/>
                <w:b/>
                <w:bCs/>
                <w:color w:val="auto"/>
                <w:kern w:val="0"/>
                <w:sz w:val="24"/>
                <w:szCs w:val="24"/>
                <w:highlight w:val="none"/>
              </w:rPr>
              <w:t>（弯头）</w:t>
            </w:r>
          </w:p>
        </w:tc>
        <w:tc>
          <w:tcPr>
            <w:tcW w:w="946" w:type="dxa"/>
            <w:vMerge w:val="continue"/>
            <w:shd w:val="clear" w:color="000000" w:fill="FFFFFF"/>
            <w:vAlign w:val="center"/>
          </w:tcPr>
          <w:p w14:paraId="00C966CA">
            <w:pPr>
              <w:spacing w:line="360" w:lineRule="auto"/>
              <w:jc w:val="center"/>
              <w:rPr>
                <w:rFonts w:hint="default" w:ascii="Times New Roman" w:hAnsi="Times New Roman" w:eastAsia="方正兰亭黑简体" w:cs="Times New Roman"/>
                <w:color w:val="auto"/>
                <w:kern w:val="0"/>
                <w:sz w:val="24"/>
                <w:szCs w:val="24"/>
                <w:highlight w:val="none"/>
              </w:rPr>
            </w:pPr>
          </w:p>
        </w:tc>
      </w:tr>
      <w:tr w14:paraId="306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vAlign w:val="center"/>
          </w:tcPr>
          <w:p w14:paraId="21976B51">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08DFE341">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V-0级</w:t>
            </w:r>
          </w:p>
        </w:tc>
        <w:tc>
          <w:tcPr>
            <w:tcW w:w="946" w:type="dxa"/>
            <w:vMerge w:val="continue"/>
            <w:shd w:val="clear" w:color="000000" w:fill="FFFFFF"/>
            <w:vAlign w:val="center"/>
          </w:tcPr>
          <w:p w14:paraId="495E45F1">
            <w:pPr>
              <w:spacing w:line="360" w:lineRule="auto"/>
              <w:jc w:val="center"/>
              <w:rPr>
                <w:rFonts w:hint="default" w:ascii="Times New Roman" w:hAnsi="Times New Roman" w:eastAsia="方正兰亭黑简体" w:cs="Times New Roman"/>
                <w:color w:val="auto"/>
                <w:kern w:val="0"/>
                <w:sz w:val="24"/>
                <w:szCs w:val="24"/>
                <w:highlight w:val="none"/>
              </w:rPr>
            </w:pPr>
          </w:p>
        </w:tc>
      </w:tr>
      <w:tr w14:paraId="692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367" w:type="dxa"/>
            <w:vMerge w:val="continue"/>
            <w:vAlign w:val="center"/>
          </w:tcPr>
          <w:p w14:paraId="00EC0FC8">
            <w:pPr>
              <w:widowControl/>
              <w:spacing w:line="360" w:lineRule="auto"/>
              <w:jc w:val="left"/>
              <w:rPr>
                <w:rFonts w:hint="default" w:ascii="Times New Roman" w:hAnsi="Times New Roman" w:eastAsia="方正兰亭黑简体" w:cs="Times New Roman"/>
                <w:color w:val="auto"/>
                <w:kern w:val="0"/>
                <w:sz w:val="24"/>
                <w:szCs w:val="24"/>
                <w:highlight w:val="none"/>
              </w:rPr>
            </w:pPr>
          </w:p>
        </w:tc>
        <w:tc>
          <w:tcPr>
            <w:tcW w:w="5300" w:type="dxa"/>
            <w:shd w:val="clear" w:color="000000" w:fill="FFFFFF"/>
            <w:vAlign w:val="center"/>
          </w:tcPr>
          <w:p w14:paraId="4371DF30">
            <w:pPr>
              <w:widowControl/>
              <w:spacing w:line="360" w:lineRule="auto"/>
              <w:jc w:val="center"/>
              <w:rPr>
                <w:rFonts w:hint="default" w:ascii="Times New Roman" w:hAnsi="Times New Roman" w:eastAsia="方正兰亭黑简体" w:cs="Times New Roman"/>
                <w:color w:val="auto"/>
                <w:kern w:val="0"/>
                <w:sz w:val="24"/>
                <w:szCs w:val="24"/>
                <w:highlight w:val="none"/>
              </w:rPr>
            </w:pPr>
            <w:r>
              <w:rPr>
                <w:rFonts w:hint="default" w:ascii="Times New Roman" w:hAnsi="Times New Roman" w:eastAsia="方正兰亭黑简体" w:cs="Times New Roman"/>
                <w:color w:val="auto"/>
                <w:kern w:val="0"/>
                <w:sz w:val="24"/>
                <w:szCs w:val="24"/>
                <w:highlight w:val="none"/>
              </w:rPr>
              <w:t>屏蔽线（96编、纯铜）</w:t>
            </w:r>
          </w:p>
        </w:tc>
        <w:tc>
          <w:tcPr>
            <w:tcW w:w="946" w:type="dxa"/>
            <w:vMerge w:val="continue"/>
            <w:shd w:val="clear" w:color="000000" w:fill="FFFFFF"/>
            <w:vAlign w:val="center"/>
          </w:tcPr>
          <w:p w14:paraId="78CBFBC6">
            <w:pPr>
              <w:widowControl/>
              <w:spacing w:line="360" w:lineRule="auto"/>
              <w:jc w:val="center"/>
              <w:rPr>
                <w:rFonts w:hint="default" w:ascii="Times New Roman" w:hAnsi="Times New Roman" w:eastAsia="方正兰亭黑简体" w:cs="Times New Roman"/>
                <w:color w:val="auto"/>
                <w:kern w:val="0"/>
                <w:sz w:val="24"/>
                <w:szCs w:val="24"/>
                <w:highlight w:val="none"/>
              </w:rPr>
            </w:pPr>
          </w:p>
        </w:tc>
      </w:tr>
    </w:tbl>
    <w:p w14:paraId="61C2D5C6">
      <w:pPr>
        <w:spacing w:line="360" w:lineRule="auto"/>
        <w:rPr>
          <w:rStyle w:val="23"/>
          <w:rFonts w:hint="default" w:ascii="Times New Roman" w:hAnsi="Times New Roman" w:eastAsia="方正兰亭黑简体" w:cs="Times New Roman"/>
          <w:b/>
          <w:color w:val="auto"/>
          <w:sz w:val="24"/>
          <w:szCs w:val="24"/>
          <w:highlight w:val="none"/>
        </w:rPr>
      </w:pPr>
      <w:r>
        <w:rPr>
          <w:rStyle w:val="23"/>
          <w:rFonts w:hint="default" w:ascii="Times New Roman" w:hAnsi="Times New Roman" w:eastAsia="方正兰亭黑简体" w:cs="Times New Roman"/>
          <w:b/>
          <w:color w:val="auto"/>
          <w:sz w:val="24"/>
          <w:szCs w:val="24"/>
          <w:highlight w:val="none"/>
        </w:rPr>
        <w:t>三、交付时间要求</w:t>
      </w:r>
    </w:p>
    <w:p w14:paraId="5F226E6D">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1、第一阶段：（合同签订后5个日历日内）完成需求确认，确定通信测试设备主板的定制生产要求。</w:t>
      </w:r>
    </w:p>
    <w:p w14:paraId="55182EB0">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2、第二阶段：（合同签订后30个日历日内）提供交付物，完成项目验收。</w:t>
      </w:r>
    </w:p>
    <w:p w14:paraId="36C2CBA9">
      <w:pPr>
        <w:spacing w:line="360" w:lineRule="auto"/>
        <w:rPr>
          <w:rStyle w:val="23"/>
          <w:rFonts w:hint="default" w:ascii="Times New Roman" w:hAnsi="Times New Roman" w:eastAsia="方正兰亭黑简体" w:cs="Times New Roman"/>
          <w:b/>
          <w:color w:val="auto"/>
          <w:sz w:val="24"/>
          <w:szCs w:val="24"/>
          <w:highlight w:val="none"/>
        </w:rPr>
      </w:pPr>
      <w:r>
        <w:rPr>
          <w:rStyle w:val="23"/>
          <w:rFonts w:hint="default" w:ascii="Times New Roman" w:hAnsi="Times New Roman" w:eastAsia="方正兰亭黑简体" w:cs="Times New Roman"/>
          <w:b/>
          <w:color w:val="auto"/>
          <w:sz w:val="24"/>
          <w:szCs w:val="24"/>
          <w:highlight w:val="none"/>
        </w:rPr>
        <w:t>四、生产参考的检测项目和标准</w:t>
      </w:r>
    </w:p>
    <w:p w14:paraId="044701AE">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1、电磁兼容性（EMC）测试</w:t>
      </w:r>
    </w:p>
    <w:p w14:paraId="6AEFDAF2">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（1）IEC 61000-6-2 工业环境抗扰度试验</w:t>
      </w:r>
    </w:p>
    <w:p w14:paraId="560B35E5">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（2）IEC 61000-6-4 工业环境发射标准</w:t>
      </w:r>
    </w:p>
    <w:p w14:paraId="07CF486C">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2、</w:t>
      </w:r>
      <w:r>
        <w:rPr>
          <w:rStyle w:val="23"/>
          <w:rFonts w:hint="default" w:ascii="Times New Roman" w:hAnsi="Times New Roman" w:eastAsia="方正兰亭黑简体" w:cs="Times New Roman"/>
          <w:color w:val="auto"/>
          <w:sz w:val="24"/>
          <w:szCs w:val="24"/>
          <w:highlight w:val="none"/>
        </w:rPr>
        <w:tab/>
      </w:r>
      <w:r>
        <w:rPr>
          <w:rStyle w:val="23"/>
          <w:rFonts w:hint="default" w:ascii="Times New Roman" w:hAnsi="Times New Roman" w:eastAsia="方正兰亭黑简体" w:cs="Times New Roman"/>
          <w:color w:val="auto"/>
          <w:sz w:val="24"/>
          <w:szCs w:val="24"/>
          <w:highlight w:val="none"/>
        </w:rPr>
        <w:t xml:space="preserve">环境试验测试 </w:t>
      </w:r>
    </w:p>
    <w:p w14:paraId="35F1F742">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（1）IEC 60068-2-6 振动</w:t>
      </w:r>
    </w:p>
    <w:p w14:paraId="22B6F827">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（2）IEC 60068-2-11 盐雾</w:t>
      </w:r>
    </w:p>
    <w:p w14:paraId="7BACCE1A">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（3）IEC 60068-2-30 交变湿热</w:t>
      </w:r>
    </w:p>
    <w:p w14:paraId="79A21712">
      <w:pPr>
        <w:spacing w:line="360" w:lineRule="auto"/>
        <w:rPr>
          <w:rStyle w:val="23"/>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3、机械安全测试</w:t>
      </w:r>
    </w:p>
    <w:p w14:paraId="54F48E0F">
      <w:pPr>
        <w:spacing w:line="360" w:lineRule="auto"/>
        <w:rPr>
          <w:rFonts w:hint="default" w:ascii="Times New Roman" w:hAnsi="Times New Roman" w:eastAsia="方正兰亭黑简体" w:cs="Times New Roman"/>
          <w:color w:val="auto"/>
          <w:sz w:val="24"/>
          <w:szCs w:val="24"/>
          <w:highlight w:val="none"/>
        </w:rPr>
      </w:pPr>
      <w:r>
        <w:rPr>
          <w:rStyle w:val="23"/>
          <w:rFonts w:hint="default" w:ascii="Times New Roman" w:hAnsi="Times New Roman" w:eastAsia="方正兰亭黑简体" w:cs="Times New Roman"/>
          <w:color w:val="auto"/>
          <w:sz w:val="24"/>
          <w:szCs w:val="24"/>
          <w:highlight w:val="none"/>
        </w:rPr>
        <w:t>（1）IEC 60204-1 机械电气安全通用要求</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0"/>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1736"/>
        <w:gridCol w:w="715"/>
        <w:gridCol w:w="6827"/>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50" w:hRule="atLeast"/>
          <w:jc w:val="center"/>
        </w:trPr>
        <w:tc>
          <w:tcPr>
            <w:tcW w:w="329" w:type="pct"/>
            <w:noWrap w:val="0"/>
            <w:vAlign w:val="center"/>
          </w:tcPr>
          <w:p w14:paraId="742FB554">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序号</w:t>
            </w:r>
          </w:p>
        </w:tc>
        <w:tc>
          <w:tcPr>
            <w:tcW w:w="874" w:type="pct"/>
            <w:noWrap w:val="0"/>
            <w:vAlign w:val="center"/>
          </w:tcPr>
          <w:p w14:paraId="5F54B63A">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评审因素</w:t>
            </w:r>
          </w:p>
        </w:tc>
        <w:tc>
          <w:tcPr>
            <w:tcW w:w="360" w:type="pct"/>
            <w:noWrap w:val="0"/>
            <w:vAlign w:val="center"/>
          </w:tcPr>
          <w:p w14:paraId="25FE165D">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分值</w:t>
            </w:r>
          </w:p>
        </w:tc>
        <w:tc>
          <w:tcPr>
            <w:tcW w:w="3435" w:type="pct"/>
            <w:noWrap w:val="0"/>
            <w:vAlign w:val="center"/>
          </w:tcPr>
          <w:p w14:paraId="1A737473">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9"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874"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30</w:t>
            </w:r>
          </w:p>
        </w:tc>
        <w:tc>
          <w:tcPr>
            <w:tcW w:w="3435" w:type="pct"/>
            <w:noWrap w:val="0"/>
            <w:vAlign w:val="center"/>
          </w:tcPr>
          <w:p w14:paraId="070A6E3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的报价为基准价，其价格分为满分30分。其他报价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w:t>
            </w:r>
          </w:p>
          <w:p w14:paraId="346792C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报价得分＝30×（评标基准价/投标报价）。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9"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874"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435" w:type="pct"/>
            <w:noWrap w:val="0"/>
            <w:vAlign w:val="center"/>
          </w:tcPr>
          <w:p w14:paraId="593B51A2">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329"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874"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技术响应程度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435" w:type="pct"/>
            <w:shd w:val="clear" w:color="auto" w:fill="auto"/>
            <w:noWrap w:val="0"/>
            <w:vAlign w:val="center"/>
          </w:tcPr>
          <w:p w14:paraId="7461B042">
            <w:pPr>
              <w:spacing w:line="240" w:lineRule="auto"/>
              <w:jc w:val="both"/>
              <w:rPr>
                <w:rFonts w:hint="eastAsia" w:ascii="方正兰亭黑简体" w:hAnsi="方正兰亭黑简体" w:eastAsia="方正兰亭黑简体" w:cs="方正兰亭黑简体"/>
                <w:color w:val="auto"/>
                <w:kern w:val="2"/>
                <w:sz w:val="20"/>
                <w:szCs w:val="20"/>
                <w:highlight w:val="none"/>
                <w:lang w:val="en-US" w:eastAsia="zh-CN" w:bidi="ar-SA"/>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29"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874" w:type="pct"/>
            <w:tcBorders>
              <w:top w:val="single" w:color="auto" w:sz="6" w:space="0"/>
              <w:left w:val="single" w:color="auto" w:sz="6" w:space="0"/>
              <w:bottom w:val="single" w:color="auto" w:sz="6" w:space="0"/>
              <w:right w:val="single" w:color="auto" w:sz="6" w:space="0"/>
            </w:tcBorders>
            <w:noWrap w:val="0"/>
            <w:vAlign w:val="center"/>
          </w:tcPr>
          <w:p w14:paraId="763EBC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产品性能介绍</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3662F0A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10</w:t>
            </w:r>
          </w:p>
        </w:tc>
        <w:tc>
          <w:tcPr>
            <w:tcW w:w="3435" w:type="pct"/>
            <w:noWrap w:val="0"/>
            <w:vAlign w:val="center"/>
          </w:tcPr>
          <w:p w14:paraId="0085CA8B">
            <w:pPr>
              <w:spacing w:line="240" w:lineRule="auto"/>
              <w:jc w:val="both"/>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8～10</w:t>
            </w:r>
            <w:r>
              <w:rPr>
                <w:rFonts w:hint="eastAsia" w:ascii="方正兰亭黑简体" w:hAnsi="方正兰亭黑简体" w:eastAsia="方正兰亭黑简体" w:cs="方正兰亭黑简体"/>
                <w:color w:val="auto"/>
                <w:sz w:val="20"/>
                <w:szCs w:val="20"/>
                <w:highlight w:val="none"/>
              </w:rPr>
              <w:t>分）：详细介绍了产品的各项性能参数</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5～7</w:t>
            </w:r>
            <w:r>
              <w:rPr>
                <w:rFonts w:hint="eastAsia" w:ascii="方正兰亭黑简体" w:hAnsi="方正兰亭黑简体" w:eastAsia="方正兰亭黑简体" w:cs="方正兰亭黑简体"/>
                <w:color w:val="auto"/>
                <w:sz w:val="20"/>
                <w:szCs w:val="20"/>
                <w:highlight w:val="none"/>
              </w:rPr>
              <w:t>分）：较全面地介绍了产品的性能参数。</w:t>
            </w:r>
          </w:p>
          <w:p w14:paraId="1CD5D97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2～4</w:t>
            </w:r>
            <w:r>
              <w:rPr>
                <w:rFonts w:hint="eastAsia" w:ascii="方正兰亭黑简体" w:hAnsi="方正兰亭黑简体" w:eastAsia="方正兰亭黑简体" w:cs="方正兰亭黑简体"/>
                <w:color w:val="auto"/>
                <w:sz w:val="20"/>
                <w:szCs w:val="20"/>
                <w:highlight w:val="none"/>
              </w:rPr>
              <w:t>分）：介绍了部分性能参数，但不够全面或详细。</w:t>
            </w:r>
          </w:p>
          <w:p w14:paraId="43A31D4A">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分）：性能参数介绍不完整或存在明显错误。</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329"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874"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技术支持与</w:t>
            </w:r>
            <w:r>
              <w:rPr>
                <w:rFonts w:hint="eastAsia" w:ascii="方正兰亭黑简体" w:hAnsi="方正兰亭黑简体" w:eastAsia="方正兰亭黑简体" w:cs="方正兰亭黑简体"/>
                <w:color w:val="auto"/>
                <w:sz w:val="20"/>
                <w:szCs w:val="20"/>
                <w:highlight w:val="none"/>
                <w:lang w:val="en-US" w:eastAsia="zh-CN"/>
              </w:rPr>
              <w:t>售后</w:t>
            </w:r>
            <w:r>
              <w:rPr>
                <w:rFonts w:hint="eastAsia" w:ascii="方正兰亭黑简体" w:hAnsi="方正兰亭黑简体" w:eastAsia="方正兰亭黑简体" w:cs="方正兰亭黑简体"/>
                <w:color w:val="auto"/>
                <w:sz w:val="20"/>
                <w:szCs w:val="20"/>
                <w:highlight w:val="none"/>
              </w:rPr>
              <w:t>服务</w:t>
            </w:r>
          </w:p>
          <w:p w14:paraId="3E50768E">
            <w:pPr>
              <w:pStyle w:val="13"/>
              <w:jc w:val="center"/>
              <w:rPr>
                <w:rFonts w:hint="eastAsia"/>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0"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435" w:type="pct"/>
            <w:noWrap w:val="0"/>
            <w:vAlign w:val="center"/>
          </w:tcPr>
          <w:p w14:paraId="4AA3E186">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12～15</w:t>
            </w:r>
            <w:r>
              <w:rPr>
                <w:rFonts w:hint="eastAsia" w:ascii="方正兰亭黑简体" w:hAnsi="方正兰亭黑简体" w:eastAsia="方正兰亭黑简体" w:cs="方正兰亭黑简体"/>
                <w:color w:val="auto"/>
                <w:sz w:val="20"/>
                <w:szCs w:val="20"/>
                <w:highlight w:val="none"/>
              </w:rPr>
              <w:t>分）：提供了详尽的技术支持方案</w:t>
            </w:r>
            <w:r>
              <w:rPr>
                <w:rFonts w:hint="eastAsia" w:ascii="方正兰亭黑简体" w:hAnsi="方正兰亭黑简体" w:eastAsia="方正兰亭黑简体" w:cs="方正兰亭黑简体"/>
                <w:color w:val="auto"/>
                <w:sz w:val="20"/>
                <w:szCs w:val="20"/>
                <w:highlight w:val="none"/>
                <w:lang w:val="en-US" w:eastAsia="zh-CN"/>
              </w:rPr>
              <w:t>以及售后服务方案</w:t>
            </w:r>
            <w:r>
              <w:rPr>
                <w:rFonts w:hint="eastAsia" w:ascii="方正兰亭黑简体" w:hAnsi="方正兰亭黑简体" w:eastAsia="方正兰亭黑简体" w:cs="方正兰亭黑简体"/>
                <w:color w:val="auto"/>
                <w:sz w:val="20"/>
                <w:szCs w:val="20"/>
                <w:highlight w:val="none"/>
              </w:rPr>
              <w:t>，包括快速响应机制、服务承诺等。</w:t>
            </w:r>
          </w:p>
          <w:p w14:paraId="7151267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8～11</w:t>
            </w:r>
            <w:r>
              <w:rPr>
                <w:rFonts w:hint="eastAsia" w:ascii="方正兰亭黑简体" w:hAnsi="方正兰亭黑简体" w:eastAsia="方正兰亭黑简体" w:cs="方正兰亭黑简体"/>
                <w:color w:val="auto"/>
                <w:sz w:val="20"/>
                <w:szCs w:val="20"/>
                <w:highlight w:val="none"/>
              </w:rPr>
              <w:t>分）：提供了较为全面的技术支持方案</w:t>
            </w:r>
            <w:r>
              <w:rPr>
                <w:rFonts w:hint="eastAsia" w:ascii="方正兰亭黑简体" w:hAnsi="方正兰亭黑简体" w:eastAsia="方正兰亭黑简体" w:cs="方正兰亭黑简体"/>
                <w:color w:val="auto"/>
                <w:sz w:val="20"/>
                <w:szCs w:val="20"/>
                <w:highlight w:val="none"/>
                <w:lang w:val="en-US" w:eastAsia="zh-CN"/>
              </w:rPr>
              <w:t>和售后服务方案</w:t>
            </w:r>
            <w:r>
              <w:rPr>
                <w:rFonts w:hint="eastAsia" w:ascii="方正兰亭黑简体" w:hAnsi="方正兰亭黑简体" w:eastAsia="方正兰亭黑简体" w:cs="方正兰亭黑简体"/>
                <w:color w:val="auto"/>
                <w:sz w:val="20"/>
                <w:szCs w:val="20"/>
                <w:highlight w:val="none"/>
              </w:rPr>
              <w:t>，但计划不够详细。</w:t>
            </w:r>
          </w:p>
          <w:p w14:paraId="295E5700">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4～7</w:t>
            </w:r>
            <w:r>
              <w:rPr>
                <w:rFonts w:hint="eastAsia" w:ascii="方正兰亭黑简体" w:hAnsi="方正兰亭黑简体" w:eastAsia="方正兰亭黑简体" w:cs="方正兰亭黑简体"/>
                <w:color w:val="auto"/>
                <w:sz w:val="20"/>
                <w:szCs w:val="20"/>
                <w:highlight w:val="none"/>
              </w:rPr>
              <w:t>分）：方案较为简单，缺乏</w:t>
            </w:r>
            <w:r>
              <w:rPr>
                <w:rFonts w:hint="eastAsia" w:ascii="方正兰亭黑简体" w:hAnsi="方正兰亭黑简体" w:eastAsia="方正兰亭黑简体" w:cs="方正兰亭黑简体"/>
                <w:color w:val="auto"/>
                <w:sz w:val="20"/>
                <w:szCs w:val="20"/>
                <w:highlight w:val="none"/>
                <w:lang w:val="en-US" w:eastAsia="zh-CN"/>
              </w:rPr>
              <w:t>具体的</w:t>
            </w:r>
            <w:r>
              <w:rPr>
                <w:rFonts w:hint="eastAsia" w:ascii="方正兰亭黑简体" w:hAnsi="方正兰亭黑简体" w:eastAsia="方正兰亭黑简体" w:cs="方正兰亭黑简体"/>
                <w:color w:val="auto"/>
                <w:sz w:val="20"/>
                <w:szCs w:val="20"/>
                <w:highlight w:val="none"/>
              </w:rPr>
              <w:t>计划。</w:t>
            </w:r>
          </w:p>
          <w:p w14:paraId="5A4EEF3E">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分）：未提供技术支持方案或售后服务承诺。</w:t>
            </w:r>
          </w:p>
        </w:tc>
      </w:tr>
    </w:tbl>
    <w:p w14:paraId="4D8EC08B">
      <w:pPr>
        <w:widowControl w:val="0"/>
        <w:numPr>
          <w:ilvl w:val="0"/>
          <w:numId w:val="0"/>
        </w:numPr>
        <w:jc w:val="left"/>
        <w:rPr>
          <w:rFonts w:hint="eastAsia" w:ascii="方正兰亭黑简体" w:hAnsi="方正兰亭黑简体" w:eastAsia="方正兰亭黑简体" w:cs="方正兰亭黑简体"/>
          <w:color w:val="auto"/>
          <w:sz w:val="22"/>
          <w:szCs w:val="28"/>
          <w:highlight w:val="none"/>
        </w:rPr>
      </w:pPr>
    </w:p>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项目编号：HFBX2025052</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5F2988C">
      <w:pPr>
        <w:spacing w:line="440" w:lineRule="exact"/>
        <w:rPr>
          <w:rFonts w:hint="eastAsia" w:ascii="黑体" w:hAnsi="华文楷体" w:eastAsia="黑体"/>
          <w:b/>
          <w:color w:val="auto"/>
          <w:sz w:val="24"/>
          <w:highlight w:val="none"/>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062"/>
        <w:gridCol w:w="971"/>
        <w:gridCol w:w="1463"/>
        <w:gridCol w:w="581"/>
        <w:gridCol w:w="876"/>
        <w:gridCol w:w="876"/>
        <w:gridCol w:w="1230"/>
        <w:gridCol w:w="1397"/>
      </w:tblGrid>
      <w:tr w14:paraId="481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single" w:color="auto" w:sz="12" w:space="0"/>
              <w:left w:val="single" w:color="auto" w:sz="12" w:space="0"/>
              <w:bottom w:val="double" w:color="auto" w:sz="4" w:space="0"/>
            </w:tcBorders>
            <w:noWrap w:val="0"/>
            <w:vAlign w:val="center"/>
          </w:tcPr>
          <w:p w14:paraId="67E9217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序号</w:t>
            </w:r>
          </w:p>
        </w:tc>
        <w:tc>
          <w:tcPr>
            <w:tcW w:w="1036" w:type="pct"/>
            <w:tcBorders>
              <w:top w:val="single" w:color="auto" w:sz="12" w:space="0"/>
              <w:bottom w:val="double" w:color="auto" w:sz="4" w:space="0"/>
            </w:tcBorders>
            <w:noWrap w:val="0"/>
            <w:vAlign w:val="center"/>
          </w:tcPr>
          <w:p w14:paraId="5FFC86E8">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产品名称</w:t>
            </w:r>
          </w:p>
        </w:tc>
        <w:tc>
          <w:tcPr>
            <w:tcW w:w="488" w:type="pct"/>
            <w:tcBorders>
              <w:top w:val="single" w:color="auto" w:sz="12" w:space="0"/>
              <w:bottom w:val="double" w:color="auto" w:sz="4" w:space="0"/>
            </w:tcBorders>
            <w:noWrap w:val="0"/>
            <w:vAlign w:val="center"/>
          </w:tcPr>
          <w:p w14:paraId="5F8969C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品牌</w:t>
            </w:r>
          </w:p>
        </w:tc>
        <w:tc>
          <w:tcPr>
            <w:tcW w:w="733" w:type="pct"/>
            <w:tcBorders>
              <w:top w:val="single" w:color="auto" w:sz="12" w:space="0"/>
              <w:bottom w:val="double" w:color="auto" w:sz="4" w:space="0"/>
            </w:tcBorders>
            <w:noWrap w:val="0"/>
            <w:vAlign w:val="center"/>
          </w:tcPr>
          <w:p w14:paraId="16AB36D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型号规格</w:t>
            </w:r>
          </w:p>
        </w:tc>
        <w:tc>
          <w:tcPr>
            <w:tcW w:w="292" w:type="pct"/>
            <w:tcBorders>
              <w:top w:val="single" w:color="auto" w:sz="12" w:space="0"/>
              <w:bottom w:val="double" w:color="auto" w:sz="4" w:space="0"/>
            </w:tcBorders>
            <w:noWrap w:val="0"/>
            <w:vAlign w:val="center"/>
          </w:tcPr>
          <w:p w14:paraId="7A41A9B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数量</w:t>
            </w:r>
          </w:p>
        </w:tc>
        <w:tc>
          <w:tcPr>
            <w:tcW w:w="440" w:type="pct"/>
            <w:tcBorders>
              <w:top w:val="single" w:color="auto" w:sz="12" w:space="0"/>
              <w:bottom w:val="double" w:color="auto" w:sz="4" w:space="0"/>
            </w:tcBorders>
            <w:noWrap w:val="0"/>
            <w:vAlign w:val="center"/>
          </w:tcPr>
          <w:p w14:paraId="22044959">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单价</w:t>
            </w:r>
          </w:p>
        </w:tc>
        <w:tc>
          <w:tcPr>
            <w:tcW w:w="440" w:type="pct"/>
            <w:tcBorders>
              <w:top w:val="single" w:color="auto" w:sz="12" w:space="0"/>
              <w:bottom w:val="double" w:color="auto" w:sz="4" w:space="0"/>
            </w:tcBorders>
            <w:noWrap w:val="0"/>
            <w:vAlign w:val="center"/>
          </w:tcPr>
          <w:p w14:paraId="61A1F83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金额</w:t>
            </w:r>
          </w:p>
        </w:tc>
        <w:tc>
          <w:tcPr>
            <w:tcW w:w="618" w:type="pct"/>
            <w:tcBorders>
              <w:top w:val="single" w:color="auto" w:sz="12" w:space="0"/>
              <w:bottom w:val="double" w:color="auto" w:sz="4" w:space="0"/>
            </w:tcBorders>
            <w:noWrap w:val="0"/>
            <w:vAlign w:val="center"/>
          </w:tcPr>
          <w:p w14:paraId="2F9A1E62">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质保时间</w:t>
            </w:r>
          </w:p>
        </w:tc>
        <w:tc>
          <w:tcPr>
            <w:tcW w:w="700" w:type="pct"/>
            <w:tcBorders>
              <w:top w:val="single" w:color="auto" w:sz="12" w:space="0"/>
              <w:bottom w:val="double" w:color="auto" w:sz="4" w:space="0"/>
              <w:right w:val="single" w:color="auto" w:sz="12" w:space="0"/>
            </w:tcBorders>
            <w:noWrap w:val="0"/>
            <w:vAlign w:val="center"/>
          </w:tcPr>
          <w:p w14:paraId="09E42E8D">
            <w:pPr>
              <w:spacing w:line="440" w:lineRule="exact"/>
              <w:jc w:val="center"/>
              <w:rPr>
                <w:rFonts w:hint="eastAsia" w:ascii="黑体" w:hAnsi="华文楷体" w:eastAsia="黑体"/>
                <w:color w:val="auto"/>
                <w:kern w:val="0"/>
                <w:sz w:val="24"/>
                <w:highlight w:val="none"/>
                <w:lang w:eastAsia="zh-CN"/>
              </w:rPr>
            </w:pPr>
            <w:r>
              <w:rPr>
                <w:rFonts w:ascii="黑体" w:hAnsi="华文楷体" w:eastAsia="黑体"/>
                <w:color w:val="auto"/>
                <w:kern w:val="0"/>
                <w:sz w:val="24"/>
                <w:highlight w:val="none"/>
              </w:rPr>
              <w:t>最快供货</w:t>
            </w:r>
            <w:r>
              <w:rPr>
                <w:rFonts w:hint="eastAsia" w:ascii="黑体" w:hAnsi="华文楷体" w:eastAsia="黑体"/>
                <w:color w:val="auto"/>
                <w:kern w:val="0"/>
                <w:sz w:val="24"/>
                <w:highlight w:val="none"/>
                <w:lang w:val="en-US" w:eastAsia="zh-CN"/>
              </w:rPr>
              <w:t>时间</w:t>
            </w:r>
          </w:p>
        </w:tc>
      </w:tr>
      <w:tr w14:paraId="607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double" w:color="auto" w:sz="4" w:space="0"/>
              <w:left w:val="single" w:color="auto" w:sz="12" w:space="0"/>
            </w:tcBorders>
            <w:noWrap w:val="0"/>
            <w:vAlign w:val="top"/>
          </w:tcPr>
          <w:p w14:paraId="6904F50E">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1</w:t>
            </w:r>
          </w:p>
        </w:tc>
        <w:tc>
          <w:tcPr>
            <w:tcW w:w="1036" w:type="pct"/>
            <w:tcBorders>
              <w:top w:val="double" w:color="auto" w:sz="4" w:space="0"/>
            </w:tcBorders>
            <w:noWrap w:val="0"/>
            <w:vAlign w:val="center"/>
          </w:tcPr>
          <w:p w14:paraId="2716FB82">
            <w:pPr>
              <w:ind w:left="-63" w:leftChars="-30" w:right="-63" w:rightChars="-30"/>
              <w:jc w:val="center"/>
              <w:rPr>
                <w:rFonts w:hint="eastAsia" w:ascii="宋体" w:hAnsi="宋体" w:cs="宋体"/>
                <w:color w:val="auto"/>
                <w:sz w:val="18"/>
                <w:szCs w:val="18"/>
                <w:highlight w:val="none"/>
              </w:rPr>
            </w:pPr>
          </w:p>
        </w:tc>
        <w:tc>
          <w:tcPr>
            <w:tcW w:w="488" w:type="pct"/>
            <w:tcBorders>
              <w:top w:val="double" w:color="auto" w:sz="4" w:space="0"/>
            </w:tcBorders>
            <w:noWrap w:val="0"/>
            <w:vAlign w:val="top"/>
          </w:tcPr>
          <w:p w14:paraId="68C63CC3">
            <w:pPr>
              <w:spacing w:line="440" w:lineRule="exact"/>
              <w:jc w:val="center"/>
              <w:rPr>
                <w:rFonts w:ascii="方正仿宋_GB2312" w:hAnsi="华文楷体" w:eastAsia="方正仿宋_GB2312"/>
                <w:color w:val="auto"/>
                <w:kern w:val="0"/>
                <w:sz w:val="24"/>
                <w:highlight w:val="none"/>
              </w:rPr>
            </w:pPr>
          </w:p>
        </w:tc>
        <w:tc>
          <w:tcPr>
            <w:tcW w:w="733" w:type="pct"/>
            <w:tcBorders>
              <w:top w:val="double" w:color="auto" w:sz="4" w:space="0"/>
            </w:tcBorders>
            <w:noWrap w:val="0"/>
            <w:vAlign w:val="top"/>
          </w:tcPr>
          <w:p w14:paraId="2062DBEC">
            <w:pPr>
              <w:spacing w:line="440" w:lineRule="exact"/>
              <w:jc w:val="center"/>
              <w:rPr>
                <w:rFonts w:ascii="方正仿宋_GB2312" w:hAnsi="华文楷体" w:eastAsia="方正仿宋_GB2312"/>
                <w:color w:val="auto"/>
                <w:kern w:val="0"/>
                <w:sz w:val="24"/>
                <w:highlight w:val="none"/>
              </w:rPr>
            </w:pPr>
          </w:p>
        </w:tc>
        <w:tc>
          <w:tcPr>
            <w:tcW w:w="292" w:type="pct"/>
            <w:tcBorders>
              <w:top w:val="double" w:color="auto" w:sz="4" w:space="0"/>
            </w:tcBorders>
            <w:noWrap w:val="0"/>
            <w:vAlign w:val="top"/>
          </w:tcPr>
          <w:p w14:paraId="5576A539">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3366DAB2">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45D03D7C">
            <w:pPr>
              <w:spacing w:line="440" w:lineRule="exact"/>
              <w:jc w:val="center"/>
              <w:rPr>
                <w:rFonts w:ascii="方正仿宋_GB2312" w:hAnsi="华文楷体" w:eastAsia="方正仿宋_GB2312"/>
                <w:color w:val="auto"/>
                <w:kern w:val="0"/>
                <w:sz w:val="24"/>
                <w:highlight w:val="none"/>
              </w:rPr>
            </w:pPr>
          </w:p>
        </w:tc>
        <w:tc>
          <w:tcPr>
            <w:tcW w:w="618" w:type="pct"/>
            <w:tcBorders>
              <w:top w:val="double" w:color="auto" w:sz="4" w:space="0"/>
            </w:tcBorders>
            <w:noWrap w:val="0"/>
            <w:vAlign w:val="top"/>
          </w:tcPr>
          <w:p w14:paraId="014679F0">
            <w:pPr>
              <w:spacing w:line="440" w:lineRule="exact"/>
              <w:jc w:val="center"/>
              <w:rPr>
                <w:rFonts w:ascii="方正仿宋_GB2312" w:hAnsi="华文楷体" w:eastAsia="方正仿宋_GB2312"/>
                <w:color w:val="auto"/>
                <w:kern w:val="0"/>
                <w:sz w:val="24"/>
                <w:highlight w:val="none"/>
              </w:rPr>
            </w:pPr>
          </w:p>
        </w:tc>
        <w:tc>
          <w:tcPr>
            <w:tcW w:w="700" w:type="pct"/>
            <w:tcBorders>
              <w:top w:val="double" w:color="auto" w:sz="4" w:space="0"/>
              <w:right w:val="single" w:color="auto" w:sz="12" w:space="0"/>
            </w:tcBorders>
            <w:noWrap w:val="0"/>
            <w:vAlign w:val="top"/>
          </w:tcPr>
          <w:p w14:paraId="605E89B2">
            <w:pPr>
              <w:spacing w:line="440" w:lineRule="exact"/>
              <w:jc w:val="center"/>
              <w:rPr>
                <w:rFonts w:ascii="方正仿宋_GB2312" w:hAnsi="华文楷体" w:eastAsia="方正仿宋_GB2312"/>
                <w:color w:val="auto"/>
                <w:kern w:val="0"/>
                <w:sz w:val="24"/>
                <w:highlight w:val="none"/>
              </w:rPr>
            </w:pPr>
          </w:p>
        </w:tc>
      </w:tr>
      <w:tr w14:paraId="3238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tcBorders>
            <w:noWrap w:val="0"/>
            <w:vAlign w:val="top"/>
          </w:tcPr>
          <w:p w14:paraId="29977C73">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2</w:t>
            </w:r>
          </w:p>
        </w:tc>
        <w:tc>
          <w:tcPr>
            <w:tcW w:w="1036" w:type="pct"/>
            <w:noWrap w:val="0"/>
            <w:vAlign w:val="center"/>
          </w:tcPr>
          <w:p w14:paraId="2866E2D0">
            <w:pPr>
              <w:ind w:left="-63" w:leftChars="-30" w:right="-63" w:rightChars="-30"/>
              <w:jc w:val="center"/>
              <w:rPr>
                <w:rFonts w:hint="eastAsia" w:ascii="宋体" w:hAnsi="宋体" w:cs="宋体"/>
                <w:color w:val="auto"/>
                <w:sz w:val="18"/>
                <w:szCs w:val="18"/>
                <w:highlight w:val="none"/>
              </w:rPr>
            </w:pPr>
          </w:p>
        </w:tc>
        <w:tc>
          <w:tcPr>
            <w:tcW w:w="488" w:type="pct"/>
            <w:noWrap w:val="0"/>
            <w:vAlign w:val="top"/>
          </w:tcPr>
          <w:p w14:paraId="0669C2FF">
            <w:pPr>
              <w:spacing w:line="440" w:lineRule="exact"/>
              <w:jc w:val="center"/>
              <w:rPr>
                <w:rFonts w:ascii="方正仿宋_GB2312" w:hAnsi="华文楷体" w:eastAsia="方正仿宋_GB2312"/>
                <w:color w:val="auto"/>
                <w:kern w:val="0"/>
                <w:sz w:val="24"/>
                <w:highlight w:val="none"/>
              </w:rPr>
            </w:pPr>
          </w:p>
        </w:tc>
        <w:tc>
          <w:tcPr>
            <w:tcW w:w="733" w:type="pct"/>
            <w:noWrap w:val="0"/>
            <w:vAlign w:val="top"/>
          </w:tcPr>
          <w:p w14:paraId="4D504156">
            <w:pPr>
              <w:spacing w:line="440" w:lineRule="exact"/>
              <w:jc w:val="center"/>
              <w:rPr>
                <w:rFonts w:ascii="方正仿宋_GB2312" w:hAnsi="华文楷体" w:eastAsia="方正仿宋_GB2312"/>
                <w:color w:val="auto"/>
                <w:kern w:val="0"/>
                <w:sz w:val="24"/>
                <w:highlight w:val="none"/>
              </w:rPr>
            </w:pPr>
          </w:p>
        </w:tc>
        <w:tc>
          <w:tcPr>
            <w:tcW w:w="292" w:type="pct"/>
            <w:noWrap w:val="0"/>
            <w:vAlign w:val="top"/>
          </w:tcPr>
          <w:p w14:paraId="74F4D8E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2757136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45E1288F">
            <w:pPr>
              <w:spacing w:line="440" w:lineRule="exact"/>
              <w:jc w:val="center"/>
              <w:rPr>
                <w:rFonts w:ascii="方正仿宋_GB2312" w:hAnsi="华文楷体" w:eastAsia="方正仿宋_GB2312"/>
                <w:color w:val="auto"/>
                <w:kern w:val="0"/>
                <w:sz w:val="24"/>
                <w:highlight w:val="none"/>
              </w:rPr>
            </w:pPr>
          </w:p>
        </w:tc>
        <w:tc>
          <w:tcPr>
            <w:tcW w:w="618" w:type="pct"/>
            <w:noWrap w:val="0"/>
            <w:vAlign w:val="top"/>
          </w:tcPr>
          <w:p w14:paraId="5DDB1CC9">
            <w:pPr>
              <w:spacing w:line="440" w:lineRule="exact"/>
              <w:jc w:val="center"/>
              <w:rPr>
                <w:rFonts w:ascii="方正仿宋_GB2312" w:hAnsi="华文楷体" w:eastAsia="方正仿宋_GB2312"/>
                <w:color w:val="auto"/>
                <w:kern w:val="0"/>
                <w:sz w:val="24"/>
                <w:highlight w:val="none"/>
              </w:rPr>
            </w:pPr>
          </w:p>
        </w:tc>
        <w:tc>
          <w:tcPr>
            <w:tcW w:w="700" w:type="pct"/>
            <w:tcBorders>
              <w:right w:val="single" w:color="auto" w:sz="12" w:space="0"/>
            </w:tcBorders>
            <w:noWrap w:val="0"/>
            <w:vAlign w:val="top"/>
          </w:tcPr>
          <w:p w14:paraId="6BB70514">
            <w:pPr>
              <w:spacing w:line="440" w:lineRule="exact"/>
              <w:jc w:val="center"/>
              <w:rPr>
                <w:rFonts w:ascii="方正仿宋_GB2312" w:hAnsi="华文楷体" w:eastAsia="方正仿宋_GB2312"/>
                <w:color w:val="auto"/>
                <w:kern w:val="0"/>
                <w:sz w:val="24"/>
                <w:highlight w:val="none"/>
              </w:rPr>
            </w:pPr>
          </w:p>
        </w:tc>
      </w:tr>
      <w:tr w14:paraId="669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5E49ACAD">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3</w:t>
            </w:r>
          </w:p>
        </w:tc>
        <w:tc>
          <w:tcPr>
            <w:tcW w:w="1036" w:type="pct"/>
            <w:tcBorders>
              <w:bottom w:val="single" w:color="auto" w:sz="4" w:space="0"/>
            </w:tcBorders>
            <w:noWrap w:val="0"/>
            <w:vAlign w:val="center"/>
          </w:tcPr>
          <w:p w14:paraId="2D958EE1">
            <w:pPr>
              <w:ind w:left="-42" w:leftChars="-20" w:right="-42" w:rightChars="-20"/>
              <w:jc w:val="center"/>
              <w:rPr>
                <w:rFonts w:hint="eastAsia" w:ascii="宋体" w:hAnsi="宋体" w:cs="宋体"/>
                <w:color w:val="auto"/>
                <w:sz w:val="18"/>
                <w:szCs w:val="18"/>
                <w:highlight w:val="none"/>
              </w:rPr>
            </w:pPr>
          </w:p>
        </w:tc>
        <w:tc>
          <w:tcPr>
            <w:tcW w:w="488" w:type="pct"/>
            <w:tcBorders>
              <w:bottom w:val="single" w:color="auto" w:sz="4" w:space="0"/>
            </w:tcBorders>
            <w:noWrap w:val="0"/>
            <w:vAlign w:val="top"/>
          </w:tcPr>
          <w:p w14:paraId="6B0A81D6">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58841A2F">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6802B6E">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ECBBA3C">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47E5F99">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5140F715">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7F3F6EF0">
            <w:pPr>
              <w:spacing w:line="440" w:lineRule="exact"/>
              <w:jc w:val="center"/>
              <w:rPr>
                <w:rFonts w:ascii="方正仿宋_GB2312" w:hAnsi="华文楷体" w:eastAsia="方正仿宋_GB2312"/>
                <w:color w:val="auto"/>
                <w:kern w:val="0"/>
                <w:sz w:val="24"/>
                <w:highlight w:val="none"/>
              </w:rPr>
            </w:pPr>
          </w:p>
        </w:tc>
      </w:tr>
      <w:tr w14:paraId="5A9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22131CE2">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4</w:t>
            </w:r>
          </w:p>
        </w:tc>
        <w:tc>
          <w:tcPr>
            <w:tcW w:w="1036" w:type="pct"/>
            <w:tcBorders>
              <w:bottom w:val="single" w:color="auto" w:sz="4" w:space="0"/>
            </w:tcBorders>
            <w:noWrap w:val="0"/>
            <w:vAlign w:val="top"/>
          </w:tcPr>
          <w:p w14:paraId="6938BE08">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CD1A541">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337FC11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3C03B4F1">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47DA722A">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6A33D3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1F0F09">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0B4D1DA3">
            <w:pPr>
              <w:spacing w:line="440" w:lineRule="exact"/>
              <w:jc w:val="center"/>
              <w:rPr>
                <w:rFonts w:ascii="方正仿宋_GB2312" w:hAnsi="华文楷体" w:eastAsia="方正仿宋_GB2312"/>
                <w:color w:val="auto"/>
                <w:kern w:val="0"/>
                <w:sz w:val="24"/>
                <w:highlight w:val="none"/>
              </w:rPr>
            </w:pPr>
          </w:p>
        </w:tc>
      </w:tr>
      <w:tr w14:paraId="72A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6A9F333C">
            <w:pPr>
              <w:spacing w:line="440" w:lineRule="exact"/>
              <w:jc w:val="center"/>
              <w:rPr>
                <w:rFonts w:hint="eastAsia"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5</w:t>
            </w:r>
          </w:p>
        </w:tc>
        <w:tc>
          <w:tcPr>
            <w:tcW w:w="1036" w:type="pct"/>
            <w:tcBorders>
              <w:bottom w:val="single" w:color="auto" w:sz="4" w:space="0"/>
            </w:tcBorders>
            <w:noWrap w:val="0"/>
            <w:vAlign w:val="top"/>
          </w:tcPr>
          <w:p w14:paraId="5ED63A4B">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9A78B8A">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2EEE306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70F8717">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A4C7C00">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6028EA0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30FD9C">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1CF8882E">
            <w:pPr>
              <w:spacing w:line="440" w:lineRule="exact"/>
              <w:jc w:val="center"/>
              <w:rPr>
                <w:rFonts w:ascii="方正仿宋_GB2312" w:hAnsi="华文楷体" w:eastAsia="方正仿宋_GB2312"/>
                <w:color w:val="auto"/>
                <w:kern w:val="0"/>
                <w:sz w:val="24"/>
                <w:highlight w:val="none"/>
              </w:rPr>
            </w:pPr>
          </w:p>
        </w:tc>
      </w:tr>
      <w:tr w14:paraId="512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gridSpan w:val="4"/>
            <w:tcBorders>
              <w:top w:val="double" w:color="auto" w:sz="4" w:space="0"/>
              <w:left w:val="single" w:color="auto" w:sz="12" w:space="0"/>
              <w:bottom w:val="single" w:color="auto" w:sz="12" w:space="0"/>
            </w:tcBorders>
            <w:noWrap w:val="0"/>
            <w:vAlign w:val="top"/>
          </w:tcPr>
          <w:p w14:paraId="57ECA68A">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合计金额（人民币）</w:t>
            </w:r>
          </w:p>
        </w:tc>
        <w:tc>
          <w:tcPr>
            <w:tcW w:w="2492" w:type="pct"/>
            <w:gridSpan w:val="5"/>
            <w:tcBorders>
              <w:top w:val="double" w:color="auto" w:sz="4" w:space="0"/>
              <w:bottom w:val="single" w:color="auto" w:sz="12" w:space="0"/>
              <w:right w:val="single" w:color="auto" w:sz="12" w:space="0"/>
            </w:tcBorders>
            <w:noWrap w:val="0"/>
            <w:vAlign w:val="top"/>
          </w:tcPr>
          <w:p w14:paraId="5C538379">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 xml:space="preserve">￥           （大写）：                               </w:t>
            </w:r>
          </w:p>
        </w:tc>
      </w:tr>
    </w:tbl>
    <w:p w14:paraId="655247D5">
      <w:pPr>
        <w:spacing w:line="440" w:lineRule="exact"/>
        <w:rPr>
          <w:rFonts w:hint="eastAsia" w:ascii="黑体" w:hAnsi="华文楷体" w:eastAsia="黑体"/>
          <w:b/>
          <w:color w:val="auto"/>
          <w:sz w:val="24"/>
          <w:highlight w:val="none"/>
        </w:rPr>
      </w:pPr>
    </w:p>
    <w:p w14:paraId="2181F384">
      <w:pPr>
        <w:spacing w:line="440" w:lineRule="exact"/>
        <w:rPr>
          <w:rFonts w:hint="eastAsia" w:ascii="黑体" w:hAnsi="华文楷体" w:eastAsia="黑体"/>
          <w:b/>
          <w:color w:val="auto"/>
          <w:sz w:val="24"/>
          <w:highlight w:val="none"/>
        </w:rPr>
      </w:pPr>
    </w:p>
    <w:p w14:paraId="5E23D6EF">
      <w:pPr>
        <w:pStyle w:val="13"/>
        <w:ind w:left="0" w:leftChars="0" w:firstLine="0" w:firstLineChars="0"/>
        <w:rPr>
          <w:rFonts w:hint="eastAsia"/>
          <w:color w:val="auto"/>
          <w:highlight w:val="none"/>
        </w:rPr>
      </w:pPr>
    </w:p>
    <w:p w14:paraId="296AA70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24F3C11F">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C546935">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60E75B8">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4A21681F">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403A77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作出如下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4A13A38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476D3484">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6"/>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产品资料（产品参数及性能）</w:t>
      </w:r>
    </w:p>
    <w:p w14:paraId="0492334C">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sz w:val="22"/>
          <w:szCs w:val="28"/>
          <w:highlight w:val="none"/>
          <w:lang w:val="en-US" w:eastAsia="zh-CN"/>
        </w:rPr>
        <w:t>实施计划</w:t>
      </w:r>
    </w:p>
    <w:p w14:paraId="5856E4F7">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售后方案</w:t>
      </w:r>
    </w:p>
    <w:p w14:paraId="0E222C46">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5EB73A9">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B011E2-F7A7-4C7D-88F1-FCA5000A36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5C6527F9-94B2-4CD4-AD11-ED1150E402BD}"/>
  </w:font>
  <w:font w:name="华文楷体">
    <w:panose1 w:val="02010600040101010101"/>
    <w:charset w:val="86"/>
    <w:family w:val="auto"/>
    <w:pitch w:val="default"/>
    <w:sig w:usb0="00000287" w:usb1="080F0000" w:usb2="00000000" w:usb3="00000000" w:csb0="0004009F" w:csb1="DFD70000"/>
    <w:embedRegular r:id="rId3" w:fontKey="{559A50AA-5CE0-470F-B0C2-3A0D307D8556}"/>
  </w:font>
  <w:font w:name="方正仿宋_GB2312">
    <w:panose1 w:val="02000000000000000000"/>
    <w:charset w:val="86"/>
    <w:family w:val="auto"/>
    <w:pitch w:val="default"/>
    <w:sig w:usb0="A00002BF" w:usb1="184F6CFA" w:usb2="00000012" w:usb3="00000000" w:csb0="00040001" w:csb1="00000000"/>
    <w:embedRegular r:id="rId4" w:fontKey="{30C99382-52C7-4BE8-86AD-046CFCDB0383}"/>
  </w:font>
  <w:font w:name="仿宋">
    <w:panose1 w:val="02010609060101010101"/>
    <w:charset w:val="86"/>
    <w:family w:val="modern"/>
    <w:pitch w:val="default"/>
    <w:sig w:usb0="800002BF" w:usb1="38CF7CFA" w:usb2="00000016" w:usb3="00000000" w:csb0="00040001" w:csb1="00000000"/>
    <w:embedRegular r:id="rId5" w:fontKey="{66B98A1E-D764-4B02-A4A6-9EBCFF1ADD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2401"/>
    <w:multiLevelType w:val="multilevel"/>
    <w:tmpl w:val="17722401"/>
    <w:lvl w:ilvl="0" w:tentative="0">
      <w:start w:val="1"/>
      <w:numFmt w:val="japaneseCounting"/>
      <w:pStyle w:val="2"/>
      <w:lvlText w:val="%1、"/>
      <w:lvlJc w:val="left"/>
      <w:pPr>
        <w:ind w:left="464" w:hanging="720"/>
      </w:pPr>
      <w:rPr>
        <w:rFonts w:hint="default"/>
      </w:rPr>
    </w:lvl>
    <w:lvl w:ilvl="1" w:tentative="0">
      <w:start w:val="1"/>
      <w:numFmt w:val="decimalEnclosedCircle"/>
      <w:lvlText w:val="%2"/>
      <w:lvlJc w:val="left"/>
      <w:pPr>
        <w:ind w:left="544" w:hanging="360"/>
      </w:pPr>
      <w:rPr>
        <w:rFonts w:hint="default"/>
      </w:r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1">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7972DC8"/>
    <w:rsid w:val="0875321F"/>
    <w:rsid w:val="146C6B60"/>
    <w:rsid w:val="157E6317"/>
    <w:rsid w:val="24050543"/>
    <w:rsid w:val="2FB07FD7"/>
    <w:rsid w:val="3CFB52B6"/>
    <w:rsid w:val="3D6469F5"/>
    <w:rsid w:val="3DBA1AA2"/>
    <w:rsid w:val="3E5C4869"/>
    <w:rsid w:val="3FCC680A"/>
    <w:rsid w:val="41007DAA"/>
    <w:rsid w:val="480A63EB"/>
    <w:rsid w:val="4AFC4A60"/>
    <w:rsid w:val="4EFD134C"/>
    <w:rsid w:val="5AEA704B"/>
    <w:rsid w:val="5CB31D19"/>
    <w:rsid w:val="5E8720EC"/>
    <w:rsid w:val="5EE9209B"/>
    <w:rsid w:val="62DD78C6"/>
    <w:rsid w:val="64F76E0E"/>
    <w:rsid w:val="6C3138A4"/>
    <w:rsid w:val="7C2C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120" w:after="80"/>
      <w:ind w:firstLineChars="0"/>
      <w:outlineLvl w:val="0"/>
    </w:pPr>
    <w:rPr>
      <w:rFonts w:cs="Times New Roman (标题 CS)" w:asciiTheme="majorHAnsi" w:hAnsiTheme="majorHAnsi"/>
      <w:b/>
      <w:bCs/>
      <w:sz w:val="28"/>
      <w:szCs w:val="48"/>
    </w:rPr>
  </w:style>
  <w:style w:type="paragraph" w:styleId="3">
    <w:name w:val="heading 2"/>
    <w:basedOn w:val="1"/>
    <w:next w:val="1"/>
    <w:unhideWhenUsed/>
    <w:qFormat/>
    <w:uiPriority w:val="9"/>
    <w:pPr>
      <w:numPr>
        <w:ilvl w:val="1"/>
        <w:numId w:val="2"/>
      </w:numPr>
      <w:spacing w:before="80" w:after="80"/>
      <w:ind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4">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cs="Times New Roman"/>
    </w:rPr>
  </w:style>
  <w:style w:type="paragraph" w:styleId="11">
    <w:name w:val="Body Text Indent 3"/>
    <w:basedOn w:val="1"/>
    <w:qFormat/>
    <w:uiPriority w:val="0"/>
    <w:pPr>
      <w:ind w:firstLine="600" w:firstLineChars="200"/>
    </w:pPr>
    <w:rPr>
      <w:color w:val="FF0000"/>
      <w:sz w:val="3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character" w:customStyle="1" w:styleId="23">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3016</Words>
  <Characters>3357</Characters>
  <Lines>0</Lines>
  <Paragraphs>0</Paragraphs>
  <TotalTime>0</TotalTime>
  <ScaleCrop>false</ScaleCrop>
  <LinksUpToDate>false</LinksUpToDate>
  <CharactersWithSpaces>3722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2025-05-28T15:13:23Z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eyJoZGlkIjoiZGVmM2YzZmUwZjIwOWQ5MzUzZGEwZTI1OTc3MjFhOGYiLCJ1c2VySWQiOiIyOTgyOTgyOTEifQ==</vt:lpwstr>
  </property>
  <property fmtid="{D5CDD505-2E9C-101B-9397-08002B2CF9AE}" pid="4" name="ICV">
    <vt:lpwstr>2BFD31D5F3FB4B709DBC969892577809_12</vt:lpwstr>
  </property>
</Properties>
</file>