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C6A561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36"/>
          <w:highlight w:val="none"/>
          <w:lang w:val="en-US" w:eastAsia="zh-CN"/>
        </w:rPr>
      </w:pPr>
    </w:p>
    <w:p w14:paraId="05F143FD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36"/>
          <w:highlight w:val="none"/>
          <w:lang w:val="en-US" w:eastAsia="zh-CN"/>
        </w:rPr>
      </w:pPr>
    </w:p>
    <w:p w14:paraId="7C29A4C3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36"/>
          <w:highlight w:val="none"/>
          <w:lang w:val="en-US" w:eastAsia="zh-CN"/>
        </w:rPr>
      </w:pPr>
    </w:p>
    <w:p w14:paraId="75D3CC17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  <w:t>《航海大学英语读写译教程》第一、二册数字教材出版服务</w:t>
      </w:r>
    </w:p>
    <w:p w14:paraId="3A6F3C59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  <w:t>比选文件</w:t>
      </w:r>
    </w:p>
    <w:p w14:paraId="746E0DD5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  <w:bookmarkStart w:id="11" w:name="_GoBack"/>
      <w:bookmarkEnd w:id="11"/>
    </w:p>
    <w:p w14:paraId="7F5B1C2D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</w:p>
    <w:p w14:paraId="0B84232F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  <w:t>项目编号：</w:t>
      </w:r>
      <w:r>
        <w:rPr>
          <w:rFonts w:hint="eastAsia" w:ascii="方正兰亭黑简体" w:hAnsi="方正兰亭黑简体" w:eastAsia="方正兰亭黑简体" w:cs="方正兰亭黑简体"/>
          <w:color w:val="auto"/>
          <w:sz w:val="28"/>
          <w:szCs w:val="28"/>
          <w:highlight w:val="none"/>
          <w:lang w:val="en-US" w:eastAsia="zh-CN"/>
        </w:rPr>
        <w:t>HFBX2026087</w:t>
      </w:r>
    </w:p>
    <w:p w14:paraId="43E1A511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564BAADD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1CBECD87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77AEA8DD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6AFBFE6C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18A2CE08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69F671C1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0E2559B5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采购人：上海海事大学</w:t>
      </w:r>
    </w:p>
    <w:p w14:paraId="64BB9721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二〇二六年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十月</w:t>
      </w:r>
    </w:p>
    <w:p w14:paraId="4258C5C0">
      <w:pP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br w:type="page"/>
      </w:r>
    </w:p>
    <w:p w14:paraId="5637B82A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第一章 比选公告</w:t>
      </w:r>
    </w:p>
    <w:p w14:paraId="54E46ED1">
      <w:pPr>
        <w:ind w:firstLine="440" w:firstLineChars="20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为公开、公正、公平地做好各项货物与服务的采购工作，进一步提高采购过程的透明度，有利于我校选择性价比更高的产品及更优质的服务，欢迎各供应单位本着务实友好的工作态度，积极参与，并做好成本核算，进行一次性报价。我校将本着公开、公正、公平的工作原则，对各供应单位所提供的资料，进行综合评议，择优选购。为确保本次比选采购项目采购工作的顺利开展，请各报价单位按照下述要求提供报价单等相关资料。具体要求及相关注意事项如下：</w:t>
      </w:r>
    </w:p>
    <w:p w14:paraId="5694D68E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一、项目基本情况</w:t>
      </w:r>
    </w:p>
    <w:p w14:paraId="6ED9240D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项目编号：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HFBX2026087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；</w:t>
      </w:r>
    </w:p>
    <w:p w14:paraId="40680CD9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项目名称：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《航海大学英语读写译教程》第一、二册数字教材出版服务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；</w:t>
      </w:r>
    </w:p>
    <w:p w14:paraId="49D3EF92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采购方式：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学校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比选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；</w:t>
      </w:r>
    </w:p>
    <w:p w14:paraId="11D14FFE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预算金额（亦是最高限价）：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人民币16万元；</w:t>
      </w:r>
    </w:p>
    <w:p w14:paraId="192657F0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采购需求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拟采购数字教材出版服务，完成</w:t>
      </w:r>
      <w:bookmarkStart w:id="0" w:name="OLE_LINK5"/>
      <w:bookmarkStart w:id="1" w:name="OLE_LINK6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《航海大学英语读写译教程》第一册、第二册的正式出版工作</w:t>
      </w:r>
      <w:bookmarkEnd w:id="0"/>
      <w:bookmarkEnd w:id="1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，包含教材内容审校、数字化制作、在数字出版平台部署上线，并提供教材勘误、内容更新等配套维护服务。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拟采取比选方式实施采购。（具体要求详见比选文件—第二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章节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采购需求）。</w:t>
      </w:r>
    </w:p>
    <w:p w14:paraId="0C35D127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服务期限：</w:t>
      </w:r>
      <w:bookmarkStart w:id="2" w:name="OLE_LINK1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合同签订后6个月内完成两册数字教材正式出版、平台部署上线，达到验收条件。</w:t>
      </w:r>
      <w:bookmarkStart w:id="3" w:name="OLE_LINK9"/>
      <w:bookmarkStart w:id="4" w:name="OLE_LINK10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勘误更新、技术支持服务</w:t>
      </w:r>
      <w:bookmarkEnd w:id="3"/>
      <w:bookmarkEnd w:id="4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期限为终验合格之日起三年。</w:t>
      </w:r>
      <w:bookmarkEnd w:id="2"/>
    </w:p>
    <w:p w14:paraId="4E505020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付款方式：合同签订后一个月内，甲方向乙方支付合同款项。合同内全部款项均以“银行转账”方式予以支付。</w:t>
      </w:r>
    </w:p>
    <w:p w14:paraId="41BEA8D1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二、报价人的资格要求</w:t>
      </w:r>
    </w:p>
    <w:p w14:paraId="022E8766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1、符合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《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中华人民共和国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政府采购法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》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第二十二条之供应商资格规定。</w:t>
      </w:r>
    </w:p>
    <w:p w14:paraId="6441606B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2、供应商未被列入“信用中国”网站（www.creditchina.gov.cn）失信执行人名单、重大税收违法案件当事人名单，和中国政府采购网（www.ccgp.gov.cn）政府严重违法失信行为记录名单的供应商。</w:t>
      </w:r>
    </w:p>
    <w:p w14:paraId="3A3BF07A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3、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经营范围及拟投标货物（服务）符合本次比选要求，具有与本次投标货物（服务）相应的经营、代理（经销）资质，能全程参与并完成本项目，且具有较强的服务能力，以及畅通的问题响应机制和渠道等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。</w:t>
      </w:r>
    </w:p>
    <w:p w14:paraId="3710B34B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三、报名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要求</w:t>
      </w:r>
    </w:p>
    <w:p w14:paraId="04917284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报名邮箱、时间：不单独组织报名，意向单位可在截止日期前递交响应文件。</w:t>
      </w:r>
    </w:p>
    <w:p w14:paraId="24CD6CDE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四、获取采购文件</w:t>
      </w:r>
    </w:p>
    <w:p w14:paraId="5050A625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获取方式：公告页面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下方自行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下载</w:t>
      </w:r>
    </w:p>
    <w:p w14:paraId="4D745344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bookmarkStart w:id="5" w:name="_Toc28359005"/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五、现场踏勘</w:t>
      </w:r>
      <w:bookmarkEnd w:id="5"/>
    </w:p>
    <w:p w14:paraId="2C262256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不组织</w:t>
      </w:r>
    </w:p>
    <w:p w14:paraId="213C8131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六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、响应文件提交</w:t>
      </w:r>
    </w:p>
    <w:p w14:paraId="231DF229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bookmarkStart w:id="6" w:name="_Toc35393795"/>
      <w:bookmarkEnd w:id="6"/>
      <w:bookmarkStart w:id="7" w:name="_Toc35393626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截止</w:t>
      </w:r>
      <w:bookmarkEnd w:id="7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时间：202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6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年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10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12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日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周一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）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上午11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时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00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分</w:t>
      </w:r>
    </w:p>
    <w:p w14:paraId="52EA2719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提交方式：发送盖章扫描版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PDF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到指定邮箱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邮件名称：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项目编号+公司名称</w:t>
      </w:r>
    </w:p>
    <w:p w14:paraId="45738F2D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邮箱地址：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u w:val="none"/>
        </w:rPr>
        <w:t>quotation@shmtu.edu.cn</w:t>
      </w:r>
    </w:p>
    <w:p w14:paraId="7C16205B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七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、其他补充事宜</w:t>
      </w:r>
    </w:p>
    <w:p w14:paraId="3C9CF2D2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1.中标结果将通过发布比选公告的媒介进行公示，公示期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为1个工作日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，公示期内如对中标结果有异议可向校方提出书面质疑。</w:t>
      </w:r>
      <w:bookmarkStart w:id="8" w:name="_Toc35393627"/>
    </w:p>
    <w:p w14:paraId="17FB2B9E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2.</w:t>
      </w:r>
      <w:bookmarkEnd w:id="8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凡对本次采购提出询问，请按以下方式联系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：</w:t>
      </w:r>
    </w:p>
    <w:p w14:paraId="53930B0F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商务信息：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仲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老师021-3828470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7</w:t>
      </w:r>
    </w:p>
    <w:p w14:paraId="1CEF1F38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技术信息：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朱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老师021-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38282756</w:t>
      </w:r>
    </w:p>
    <w:p w14:paraId="2AA81B60">
      <w:pP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br w:type="page"/>
      </w:r>
    </w:p>
    <w:p w14:paraId="4B9C0EF3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第二章 采购需求</w:t>
      </w:r>
    </w:p>
    <w:p w14:paraId="00E36683">
      <w:pPr>
        <w:spacing w:line="480" w:lineRule="auto"/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b/>
          <w:color w:val="auto"/>
          <w:sz w:val="22"/>
          <w:szCs w:val="2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color w:val="auto"/>
          <w:sz w:val="22"/>
          <w:szCs w:val="22"/>
          <w:highlight w:val="none"/>
        </w:rPr>
        <w:t>一、技术要求</w:t>
      </w:r>
    </w:p>
    <w:p w14:paraId="4CD51443">
      <w:pPr>
        <w:spacing w:line="480" w:lineRule="auto"/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  <w:t>（1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eastAsia="zh-CN"/>
        </w:rPr>
        <w:t>）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  <w:t>出版合规要求：两套数字教材严格执行出版行业三审三校制度，申领有效电子出版物ISBN号，可在国家版本数据中心核验；出版版权清晰无纠纷。</w:t>
      </w:r>
    </w:p>
    <w:p w14:paraId="3559A6E0">
      <w:pPr>
        <w:spacing w:line="480" w:lineRule="auto"/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  <w:t>（2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eastAsia="zh-CN"/>
        </w:rPr>
        <w:t>）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  <w:t>数字教材内容功能：数字教材内容完整，无缺章、错页；配套课文音频、交互习题，支持在线作答即时判分；支持目录导航、检索、笔记；支持PC浏览器、平板、手机多终端自适应访问。</w:t>
      </w:r>
    </w:p>
    <w:p w14:paraId="2724C9B6">
      <w:pPr>
        <w:spacing w:line="480" w:lineRule="auto"/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  <w:t>（3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eastAsia="zh-CN"/>
        </w:rPr>
        <w:t>）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  <w:t>数字教材基础功能：供应商提供具备自主知识产权的数字教材出版运行平台，支持本数字教材的班级授权管理、学情数据统计导出、资源管理能力；支持查看学生学习进度、习题完成情况，输出教学统计报表。</w:t>
      </w:r>
    </w:p>
    <w:p w14:paraId="05CBCAEE">
      <w:pPr>
        <w:spacing w:line="480" w:lineRule="auto"/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  <w:t>（4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eastAsia="zh-CN"/>
        </w:rPr>
        <w:t>）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  <w:t>勘误更新功能：支持根据教材勘误、编者内容修订意见，对数字教材文本、图表、音视频资源进行修改；保留内容修改操作日志，做到更新可追溯。</w:t>
      </w:r>
    </w:p>
    <w:p w14:paraId="79FDE64D">
      <w:pPr>
        <w:spacing w:line="480" w:lineRule="auto"/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eastAsia="zh-CN"/>
        </w:rPr>
        <w:t>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val="en-US" w:eastAsia="zh-CN"/>
        </w:rPr>
        <w:t>5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eastAsia="zh-CN"/>
        </w:rPr>
        <w:t>）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  <w:t>应遵循的相关国家标准、行业标准、地方标准等标准、规范</w:t>
      </w:r>
    </w:p>
    <w:p w14:paraId="07F5A260">
      <w:pPr>
        <w:spacing w:line="480" w:lineRule="auto"/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val="en-US" w:eastAsia="zh-CN"/>
        </w:rPr>
        <w:t>①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  <w:t>T∕CADPA66-2026高等教育数字教材内容要素技术要求</w:t>
      </w:r>
    </w:p>
    <w:p w14:paraId="2E696FF7">
      <w:pPr>
        <w:spacing w:line="480" w:lineRule="auto"/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val="en-US" w:eastAsia="zh-CN"/>
        </w:rPr>
        <w:t>②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  <w:t>CELTS-41.1教育资源建设技术规范</w:t>
      </w:r>
    </w:p>
    <w:p w14:paraId="54650135">
      <w:pPr>
        <w:spacing w:line="480" w:lineRule="auto"/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val="en-US" w:eastAsia="zh-CN"/>
        </w:rPr>
        <w:t>③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  <w:t>《网络出版服务管理规定》《图书质量管理规定》</w:t>
      </w:r>
    </w:p>
    <w:p w14:paraId="2C10C048">
      <w:pPr>
        <w:spacing w:line="480" w:lineRule="auto"/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val="en-US" w:eastAsia="zh-CN"/>
        </w:rPr>
        <w:t>④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  <w:t>网络安全等级保护2.0二级相关安全要求</w:t>
      </w:r>
    </w:p>
    <w:p w14:paraId="1E996F52">
      <w:pPr>
        <w:spacing w:line="480" w:lineRule="auto"/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eastAsia="zh-CN"/>
        </w:rPr>
        <w:t>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val="en-US" w:eastAsia="zh-CN"/>
        </w:rPr>
        <w:t>6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eastAsia="zh-CN"/>
        </w:rPr>
        <w:t>）后续运营维护、升级更新、备品备件等要求</w:t>
      </w:r>
    </w:p>
    <w:p w14:paraId="33B6D3B8">
      <w:pPr>
        <w:spacing w:line="480" w:lineRule="auto"/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val="en-US" w:eastAsia="zh-CN"/>
        </w:rPr>
        <w:t>①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eastAsia="zh-CN"/>
        </w:rPr>
        <w:t>在数字教材授权和服务期限内，根据教材修订、资源更新以及平台功能升级情况，对数字教材及相关资源进行持续维护。</w:t>
      </w:r>
    </w:p>
    <w:p w14:paraId="6E5E7C09">
      <w:pPr>
        <w:spacing w:line="480" w:lineRule="auto"/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val="en-US" w:eastAsia="zh-CN"/>
        </w:rPr>
        <w:t>②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eastAsia="zh-CN"/>
        </w:rPr>
        <w:t>对于教材中的数字资源链接、音视频内容、交互功能等进行日常检查和维护，及时处理资源失效、显示异常等问题；教材内容或配套资源发生更新时，根据出版和平台安排及时完成相应版本维护，保障数字教材内容和功能的持续可用。</w:t>
      </w:r>
    </w:p>
    <w:tbl>
      <w:tblPr>
        <w:tblStyle w:val="14"/>
        <w:tblW w:w="49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2"/>
        <w:gridCol w:w="1668"/>
        <w:gridCol w:w="5048"/>
        <w:gridCol w:w="2282"/>
      </w:tblGrid>
      <w:tr w14:paraId="0A5C1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83" w:type="pct"/>
            <w:vAlign w:val="center"/>
          </w:tcPr>
          <w:p w14:paraId="4D172C69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color w:val="auto"/>
                <w:sz w:val="20"/>
                <w:szCs w:val="20"/>
                <w:highlight w:val="none"/>
              </w:rPr>
              <w:t>序号</w:t>
            </w:r>
          </w:p>
        </w:tc>
        <w:tc>
          <w:tcPr>
            <w:tcW w:w="837" w:type="pct"/>
            <w:vAlign w:val="center"/>
          </w:tcPr>
          <w:p w14:paraId="4D4125BB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color w:val="auto"/>
                <w:sz w:val="20"/>
                <w:szCs w:val="20"/>
                <w:highlight w:val="none"/>
              </w:rPr>
              <w:t>指标名称</w:t>
            </w:r>
          </w:p>
        </w:tc>
        <w:tc>
          <w:tcPr>
            <w:tcW w:w="2533" w:type="pct"/>
            <w:vAlign w:val="center"/>
          </w:tcPr>
          <w:p w14:paraId="09E1FA1B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color w:val="auto"/>
                <w:sz w:val="20"/>
                <w:szCs w:val="20"/>
                <w:highlight w:val="none"/>
              </w:rPr>
              <w:t>指标要求</w:t>
            </w:r>
          </w:p>
        </w:tc>
        <w:tc>
          <w:tcPr>
            <w:tcW w:w="1145" w:type="pct"/>
            <w:vAlign w:val="center"/>
          </w:tcPr>
          <w:p w14:paraId="4C055152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color w:val="auto"/>
                <w:sz w:val="20"/>
                <w:szCs w:val="20"/>
                <w:highlight w:val="none"/>
              </w:rPr>
              <w:t>是否需要</w:t>
            </w:r>
          </w:p>
          <w:p w14:paraId="0B11E6BB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color w:val="auto"/>
                <w:sz w:val="20"/>
                <w:szCs w:val="20"/>
                <w:highlight w:val="none"/>
              </w:rPr>
              <w:t>证明材料</w:t>
            </w:r>
          </w:p>
        </w:tc>
      </w:tr>
      <w:tr w14:paraId="4CE69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83" w:type="pct"/>
            <w:vAlign w:val="center"/>
          </w:tcPr>
          <w:p w14:paraId="2447FCA3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837" w:type="pct"/>
            <w:vAlign w:val="center"/>
          </w:tcPr>
          <w:p w14:paraId="20D166AB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pacing w:val="-6"/>
                <w:kern w:val="0"/>
                <w:sz w:val="20"/>
                <w:szCs w:val="20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pacing w:val="-6"/>
                <w:kern w:val="0"/>
                <w:sz w:val="20"/>
                <w:szCs w:val="20"/>
                <w:highlight w:val="none"/>
                <w:shd w:val="clear" w:color="auto" w:fill="FFFFFF"/>
              </w:rPr>
              <w:t>数字教材出版资质与ISBN</w:t>
            </w:r>
          </w:p>
        </w:tc>
        <w:tc>
          <w:tcPr>
            <w:tcW w:w="2533" w:type="pct"/>
            <w:vAlign w:val="center"/>
          </w:tcPr>
          <w:p w14:paraId="34A4A9AF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pacing w:val="-6"/>
                <w:kern w:val="0"/>
                <w:sz w:val="20"/>
                <w:szCs w:val="20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pacing w:val="-6"/>
                <w:kern w:val="0"/>
                <w:sz w:val="20"/>
                <w:szCs w:val="20"/>
                <w:highlight w:val="none"/>
                <w:shd w:val="clear" w:color="auto" w:fill="FFFFFF"/>
              </w:rPr>
              <w:t>两册数字教材完成三审三校，具备可核验电子出版物ISBN；供应商具备对应出版/数字出版服务相关资质；平台具备等保二级备案证明</w:t>
            </w:r>
          </w:p>
        </w:tc>
        <w:tc>
          <w:tcPr>
            <w:tcW w:w="1145" w:type="pct"/>
            <w:vAlign w:val="center"/>
          </w:tcPr>
          <w:p w14:paraId="2D05E101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pacing w:val="-6"/>
                <w:kern w:val="0"/>
                <w:sz w:val="20"/>
                <w:szCs w:val="20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pacing w:val="-6"/>
                <w:kern w:val="0"/>
                <w:sz w:val="20"/>
                <w:szCs w:val="20"/>
                <w:highlight w:val="none"/>
                <w:shd w:val="clear" w:color="auto" w:fill="FFFFFF"/>
              </w:rPr>
              <w:t>是（提供ISBN查询截图、资质、著作权、等保备案材料）</w:t>
            </w:r>
          </w:p>
        </w:tc>
      </w:tr>
      <w:tr w14:paraId="3A266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83" w:type="pct"/>
            <w:vAlign w:val="center"/>
          </w:tcPr>
          <w:p w14:paraId="20428B89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0"/>
                <w:szCs w:val="20"/>
                <w:highlight w:val="none"/>
              </w:rPr>
              <w:t>2</w:t>
            </w:r>
          </w:p>
        </w:tc>
        <w:tc>
          <w:tcPr>
            <w:tcW w:w="837" w:type="pct"/>
            <w:vAlign w:val="center"/>
          </w:tcPr>
          <w:p w14:paraId="4D212B59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pacing w:val="-6"/>
                <w:kern w:val="0"/>
                <w:sz w:val="20"/>
                <w:szCs w:val="20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pacing w:val="-6"/>
                <w:kern w:val="0"/>
                <w:sz w:val="20"/>
                <w:szCs w:val="20"/>
                <w:highlight w:val="none"/>
                <w:shd w:val="clear" w:color="auto" w:fill="FFFFFF"/>
              </w:rPr>
              <w:t>数字教材内容完整性</w:t>
            </w:r>
          </w:p>
        </w:tc>
        <w:tc>
          <w:tcPr>
            <w:tcW w:w="2533" w:type="pct"/>
            <w:vAlign w:val="center"/>
          </w:tcPr>
          <w:p w14:paraId="060F7019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pacing w:val="-6"/>
                <w:kern w:val="0"/>
                <w:sz w:val="20"/>
                <w:szCs w:val="20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pacing w:val="-6"/>
                <w:kern w:val="0"/>
                <w:sz w:val="20"/>
                <w:szCs w:val="20"/>
                <w:highlight w:val="none"/>
                <w:shd w:val="clear" w:color="auto" w:fill="FFFFFF"/>
              </w:rPr>
              <w:t>第一、二册数字教材全部章节、课文、习题、词汇、附录，内容无缺漏错乱</w:t>
            </w:r>
          </w:p>
        </w:tc>
        <w:tc>
          <w:tcPr>
            <w:tcW w:w="1145" w:type="pct"/>
            <w:vAlign w:val="center"/>
          </w:tcPr>
          <w:p w14:paraId="0067E4EE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pacing w:val="-6"/>
                <w:kern w:val="0"/>
                <w:sz w:val="20"/>
                <w:szCs w:val="20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pacing w:val="-6"/>
                <w:kern w:val="0"/>
                <w:sz w:val="20"/>
                <w:szCs w:val="20"/>
                <w:highlight w:val="none"/>
                <w:shd w:val="clear" w:color="auto" w:fill="FFFFFF"/>
              </w:rPr>
              <w:t>是（提供测试账号，方便采购单位进行功能验证）</w:t>
            </w:r>
          </w:p>
        </w:tc>
      </w:tr>
      <w:tr w14:paraId="634B6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83" w:type="pct"/>
            <w:vAlign w:val="center"/>
          </w:tcPr>
          <w:p w14:paraId="1F70F2B9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0"/>
                <w:szCs w:val="20"/>
                <w:highlight w:val="none"/>
              </w:rPr>
              <w:t>3</w:t>
            </w:r>
          </w:p>
        </w:tc>
        <w:tc>
          <w:tcPr>
            <w:tcW w:w="837" w:type="pct"/>
            <w:vAlign w:val="center"/>
          </w:tcPr>
          <w:p w14:paraId="697DC5AE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pacing w:val="-6"/>
                <w:kern w:val="0"/>
                <w:sz w:val="20"/>
                <w:szCs w:val="20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pacing w:val="-6"/>
                <w:kern w:val="0"/>
                <w:sz w:val="20"/>
                <w:szCs w:val="20"/>
                <w:highlight w:val="none"/>
                <w:shd w:val="clear" w:color="auto" w:fill="FFFFFF"/>
              </w:rPr>
              <w:t>出版平台教学功能</w:t>
            </w:r>
          </w:p>
        </w:tc>
        <w:tc>
          <w:tcPr>
            <w:tcW w:w="2533" w:type="pct"/>
            <w:vAlign w:val="center"/>
          </w:tcPr>
          <w:p w14:paraId="111C3798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pacing w:val="-6"/>
                <w:kern w:val="0"/>
                <w:sz w:val="20"/>
                <w:szCs w:val="20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pacing w:val="-6"/>
                <w:kern w:val="0"/>
                <w:sz w:val="20"/>
                <w:szCs w:val="20"/>
                <w:highlight w:val="none"/>
                <w:shd w:val="clear" w:color="auto" w:fill="FFFFFF"/>
              </w:rPr>
              <w:t>平台具备多角色账号管理、班级授权、学情统计数据导出，支持PC、移动端多终端访问使用</w:t>
            </w:r>
          </w:p>
        </w:tc>
        <w:tc>
          <w:tcPr>
            <w:tcW w:w="1145" w:type="pct"/>
            <w:vAlign w:val="center"/>
          </w:tcPr>
          <w:p w14:paraId="72E4528A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pacing w:val="-6"/>
                <w:kern w:val="0"/>
                <w:sz w:val="20"/>
                <w:szCs w:val="20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pacing w:val="-6"/>
                <w:kern w:val="0"/>
                <w:sz w:val="20"/>
                <w:szCs w:val="20"/>
                <w:highlight w:val="none"/>
                <w:shd w:val="clear" w:color="auto" w:fill="FFFFFF"/>
              </w:rPr>
              <w:t>是（提供测试账号，方便采购单位进行功能验证与教学准备）</w:t>
            </w:r>
          </w:p>
        </w:tc>
      </w:tr>
      <w:tr w14:paraId="3E159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83" w:type="pct"/>
            <w:vAlign w:val="center"/>
          </w:tcPr>
          <w:p w14:paraId="6A21791F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0"/>
                <w:szCs w:val="20"/>
                <w:highlight w:val="none"/>
              </w:rPr>
              <w:t>4</w:t>
            </w:r>
          </w:p>
        </w:tc>
        <w:tc>
          <w:tcPr>
            <w:tcW w:w="837" w:type="pct"/>
            <w:vAlign w:val="center"/>
          </w:tcPr>
          <w:p w14:paraId="6DC73BF9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pacing w:val="-6"/>
                <w:kern w:val="0"/>
                <w:sz w:val="20"/>
                <w:szCs w:val="20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pacing w:val="-6"/>
                <w:kern w:val="0"/>
                <w:sz w:val="20"/>
                <w:szCs w:val="20"/>
                <w:highlight w:val="none"/>
                <w:shd w:val="clear" w:color="auto" w:fill="FFFFFF"/>
              </w:rPr>
              <w:t>教材勘误更新能力</w:t>
            </w:r>
          </w:p>
        </w:tc>
        <w:tc>
          <w:tcPr>
            <w:tcW w:w="2533" w:type="pct"/>
            <w:vAlign w:val="center"/>
          </w:tcPr>
          <w:p w14:paraId="45425B3A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pacing w:val="-6"/>
                <w:kern w:val="0"/>
                <w:sz w:val="20"/>
                <w:szCs w:val="20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pacing w:val="-6"/>
                <w:kern w:val="0"/>
                <w:sz w:val="20"/>
                <w:szCs w:val="20"/>
                <w:highlight w:val="none"/>
                <w:shd w:val="clear" w:color="auto" w:fill="FFFFFF"/>
              </w:rPr>
              <w:t>收到书面勘误需求10个工作日内完成数字教材内容更新上线，留存更新日志记录</w:t>
            </w:r>
          </w:p>
        </w:tc>
        <w:tc>
          <w:tcPr>
            <w:tcW w:w="1145" w:type="pct"/>
            <w:vAlign w:val="center"/>
          </w:tcPr>
          <w:p w14:paraId="62CB7B1E">
            <w:pPr>
              <w:widowControl/>
              <w:tabs>
                <w:tab w:val="left" w:pos="442"/>
              </w:tabs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pacing w:val="-6"/>
                <w:kern w:val="0"/>
                <w:sz w:val="20"/>
                <w:szCs w:val="20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pacing w:val="-6"/>
                <w:kern w:val="0"/>
                <w:sz w:val="20"/>
                <w:szCs w:val="20"/>
                <w:highlight w:val="none"/>
                <w:shd w:val="clear" w:color="auto" w:fill="FFFFFF"/>
              </w:rPr>
              <w:t>否</w:t>
            </w:r>
          </w:p>
        </w:tc>
      </w:tr>
      <w:tr w14:paraId="5E18E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83" w:type="pct"/>
            <w:vAlign w:val="center"/>
          </w:tcPr>
          <w:p w14:paraId="258F1B8F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0"/>
                <w:szCs w:val="20"/>
                <w:highlight w:val="none"/>
              </w:rPr>
              <w:t>5</w:t>
            </w:r>
          </w:p>
        </w:tc>
        <w:tc>
          <w:tcPr>
            <w:tcW w:w="837" w:type="pct"/>
            <w:vAlign w:val="center"/>
          </w:tcPr>
          <w:p w14:paraId="6D412DF9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pacing w:val="-6"/>
                <w:kern w:val="0"/>
                <w:sz w:val="20"/>
                <w:szCs w:val="20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pacing w:val="-6"/>
                <w:kern w:val="0"/>
                <w:sz w:val="20"/>
                <w:szCs w:val="20"/>
                <w:highlight w:val="none"/>
                <w:shd w:val="clear" w:color="auto" w:fill="FFFFFF"/>
              </w:rPr>
              <w:t>平台安全防护</w:t>
            </w:r>
          </w:p>
        </w:tc>
        <w:tc>
          <w:tcPr>
            <w:tcW w:w="2533" w:type="pct"/>
            <w:vAlign w:val="center"/>
          </w:tcPr>
          <w:p w14:paraId="6D707036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pacing w:val="-6"/>
                <w:kern w:val="0"/>
                <w:sz w:val="20"/>
                <w:szCs w:val="20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pacing w:val="-6"/>
                <w:kern w:val="0"/>
                <w:sz w:val="20"/>
                <w:szCs w:val="20"/>
                <w:highlight w:val="none"/>
                <w:shd w:val="clear" w:color="auto" w:fill="FFFFFF"/>
              </w:rPr>
              <w:t>落实网络安全等级保护二级，保障教学数据、用户访问安全</w:t>
            </w:r>
          </w:p>
        </w:tc>
        <w:tc>
          <w:tcPr>
            <w:tcW w:w="1145" w:type="pct"/>
            <w:vAlign w:val="center"/>
          </w:tcPr>
          <w:p w14:paraId="31D7A232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pacing w:val="-6"/>
                <w:kern w:val="0"/>
                <w:sz w:val="20"/>
                <w:szCs w:val="20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pacing w:val="-6"/>
                <w:kern w:val="0"/>
                <w:sz w:val="20"/>
                <w:szCs w:val="20"/>
                <w:highlight w:val="none"/>
                <w:shd w:val="clear" w:color="auto" w:fill="FFFFFF"/>
              </w:rPr>
              <w:t>是（提供等保二级备案证明）</w:t>
            </w:r>
          </w:p>
        </w:tc>
      </w:tr>
    </w:tbl>
    <w:p w14:paraId="30188A42">
      <w:pPr>
        <w:spacing w:line="480" w:lineRule="auto"/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b/>
          <w:color w:val="auto"/>
          <w:sz w:val="22"/>
          <w:szCs w:val="22"/>
          <w:highlight w:val="none"/>
          <w:lang w:val="en-US" w:eastAsia="zh-CN"/>
        </w:rPr>
      </w:pPr>
    </w:p>
    <w:p w14:paraId="7A723735">
      <w:pPr>
        <w:spacing w:line="480" w:lineRule="auto"/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b/>
          <w:color w:val="auto"/>
          <w:sz w:val="22"/>
          <w:szCs w:val="22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color w:val="auto"/>
          <w:sz w:val="22"/>
          <w:szCs w:val="22"/>
          <w:highlight w:val="none"/>
          <w:lang w:val="en-US" w:eastAsia="zh-CN"/>
        </w:rPr>
        <w:t>二</w:t>
      </w:r>
      <w:r>
        <w:rPr>
          <w:rFonts w:hint="eastAsia" w:ascii="方正兰亭黑简体" w:hAnsi="方正兰亭黑简体" w:eastAsia="方正兰亭黑简体" w:cs="方正兰亭黑简体"/>
          <w:b/>
          <w:color w:val="auto"/>
          <w:sz w:val="22"/>
          <w:szCs w:val="22"/>
          <w:highlight w:val="none"/>
        </w:rPr>
        <w:t>、</w:t>
      </w:r>
      <w:r>
        <w:rPr>
          <w:rFonts w:hint="eastAsia" w:ascii="方正兰亭黑简体" w:hAnsi="方正兰亭黑简体" w:eastAsia="方正兰亭黑简体" w:cs="方正兰亭黑简体"/>
          <w:b/>
          <w:color w:val="auto"/>
          <w:sz w:val="22"/>
          <w:szCs w:val="22"/>
          <w:highlight w:val="none"/>
          <w:lang w:val="en-US" w:eastAsia="zh-CN"/>
        </w:rPr>
        <w:t>其他要求</w:t>
      </w:r>
    </w:p>
    <w:p w14:paraId="0ABCE6C4">
      <w:pPr>
        <w:spacing w:line="480" w:lineRule="auto"/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val="en-US" w:eastAsia="zh-CN"/>
        </w:rPr>
        <w:t>1.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eastAsia="zh-CN"/>
        </w:rPr>
        <w:t>配置专属项目对接人，提供审稿、修订、ISBN申报等出版服务支持；提供不少于1次面向任课教师的线上平台操作培训；因版权、内容错误引发纠纷或教学损失，责任由供应商承担。</w:t>
      </w:r>
    </w:p>
    <w:p w14:paraId="0658FA7E">
      <w:pPr>
        <w:spacing w:line="480" w:lineRule="auto"/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val="en-US" w:eastAsia="zh-CN"/>
        </w:rPr>
        <w:t>2.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eastAsia="zh-CN"/>
        </w:rPr>
        <w:t>根据数字教材特点，为教师提供与教材内容配套的数字资源使用支持，包括音视频资源、课件、练习、测试、拓展阅读等内容的调用和应用指导；为学</w:t>
      </w:r>
      <w:bookmarkStart w:id="9" w:name="OLE_LINK7"/>
      <w:bookmarkStart w:id="10" w:name="OLE_LINK8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eastAsia="zh-CN"/>
        </w:rPr>
        <w:t>生提供数字</w:t>
      </w:r>
      <w:bookmarkEnd w:id="9"/>
      <w:bookmarkEnd w:id="10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eastAsia="zh-CN"/>
        </w:rPr>
        <w:t>教材激活、登录、阅读和学习等方面的使用指导，帮助学生熟悉数字教材的基本操作和学习方式。针对账号登录、教材激活、终端适配、音视频播放、学习记录等使用过程中可能出现的问题，提供相应的咨询和技术支持。</w:t>
      </w:r>
    </w:p>
    <w:p w14:paraId="0CB902E4">
      <w:pPr>
        <w:spacing w:line="480" w:lineRule="auto"/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val="en-US" w:eastAsia="zh-CN"/>
        </w:rPr>
        <w:t>3.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eastAsia="zh-CN"/>
        </w:rPr>
        <w:t>验收主体：外国语学院会同教务处；初验：数字教材完成正式出版、平台部署上线后10个工作日开展，核验ISBN、教材内容完整性；终验：初验通过，系统稳定运行满1个月后开展，核验勘误更新机制、培训交付材料全部落实；全部指标满足采购需求视为验收合格。</w:t>
      </w:r>
    </w:p>
    <w:p w14:paraId="34E97200">
      <w:pP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br w:type="page"/>
      </w:r>
    </w:p>
    <w:p w14:paraId="6F08D747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第三章 评审办法</w:t>
      </w:r>
    </w:p>
    <w:p w14:paraId="69EFEE19">
      <w:pPr>
        <w:ind w:firstLine="440" w:firstLineChars="20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综合本项目的特点，根据相关法律法规的规定，本着保护竞争，维护采购工作公开、公平、公正原则，特制定本评审办法，作为选定本次采购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中标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人的依据。</w:t>
      </w:r>
    </w:p>
    <w:p w14:paraId="117C4525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1、成立比选评审小组</w:t>
      </w:r>
    </w:p>
    <w:p w14:paraId="49C58FDA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采购人将根据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货物与服务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的特点，依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规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组建比选小组，比选小组由3人或以上的单数组成。</w:t>
      </w:r>
    </w:p>
    <w:p w14:paraId="123C9161">
      <w:pPr>
        <w:numPr>
          <w:ilvl w:val="0"/>
          <w:numId w:val="1"/>
        </w:num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具体评分细则如下：</w:t>
      </w:r>
    </w:p>
    <w:tbl>
      <w:tblPr>
        <w:tblStyle w:val="14"/>
        <w:tblW w:w="498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6"/>
        <w:gridCol w:w="1330"/>
        <w:gridCol w:w="723"/>
        <w:gridCol w:w="7229"/>
      </w:tblGrid>
      <w:tr w14:paraId="376E4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330" w:type="pct"/>
            <w:noWrap w:val="0"/>
            <w:vAlign w:val="center"/>
          </w:tcPr>
          <w:p w14:paraId="5BA867BA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序号</w:t>
            </w:r>
          </w:p>
        </w:tc>
        <w:tc>
          <w:tcPr>
            <w:tcW w:w="669" w:type="pct"/>
            <w:noWrap w:val="0"/>
            <w:vAlign w:val="center"/>
          </w:tcPr>
          <w:p w14:paraId="3BD5266B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评审因素</w:t>
            </w:r>
          </w:p>
        </w:tc>
        <w:tc>
          <w:tcPr>
            <w:tcW w:w="364" w:type="pct"/>
            <w:noWrap w:val="0"/>
            <w:vAlign w:val="center"/>
          </w:tcPr>
          <w:p w14:paraId="73F8DC20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3635" w:type="pct"/>
            <w:noWrap w:val="0"/>
            <w:vAlign w:val="center"/>
          </w:tcPr>
          <w:p w14:paraId="5E600D7D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评分说明</w:t>
            </w:r>
          </w:p>
        </w:tc>
      </w:tr>
      <w:tr w14:paraId="59107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5000" w:type="pct"/>
            <w:gridSpan w:val="4"/>
            <w:noWrap w:val="0"/>
            <w:vAlign w:val="center"/>
          </w:tcPr>
          <w:p w14:paraId="51DBDF44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一、价格部分</w:t>
            </w:r>
          </w:p>
        </w:tc>
      </w:tr>
      <w:tr w14:paraId="0F68C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30" w:type="pct"/>
            <w:noWrap w:val="0"/>
            <w:vAlign w:val="center"/>
          </w:tcPr>
          <w:p w14:paraId="0638B986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669" w:type="pct"/>
            <w:noWrap w:val="0"/>
            <w:vAlign w:val="center"/>
          </w:tcPr>
          <w:p w14:paraId="6C042703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价格得分</w:t>
            </w:r>
          </w:p>
          <w:p w14:paraId="2D460A8A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客观分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64" w:type="pct"/>
            <w:noWrap w:val="0"/>
            <w:vAlign w:val="center"/>
          </w:tcPr>
          <w:p w14:paraId="2FE14B4F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2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0</w:t>
            </w:r>
          </w:p>
        </w:tc>
        <w:tc>
          <w:tcPr>
            <w:tcW w:w="3635" w:type="pct"/>
            <w:noWrap w:val="0"/>
            <w:vAlign w:val="center"/>
          </w:tcPr>
          <w:p w14:paraId="614A2EFF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采用低价优先法计算，即满足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比选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文件要求且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最低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的报价为基准价，其价格分为满分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2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0分。其他报价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单位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的报价得分计算公式如下：报价得分＝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2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0×（评标基准价/投标报价）。</w:t>
            </w:r>
          </w:p>
        </w:tc>
      </w:tr>
      <w:tr w14:paraId="36E8C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5000" w:type="pct"/>
            <w:gridSpan w:val="4"/>
            <w:noWrap w:val="0"/>
            <w:vAlign w:val="center"/>
          </w:tcPr>
          <w:p w14:paraId="33D8DCA0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二、商务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、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技术部分</w:t>
            </w:r>
          </w:p>
        </w:tc>
      </w:tr>
      <w:tr w14:paraId="3F740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330" w:type="pct"/>
            <w:noWrap w:val="0"/>
            <w:vAlign w:val="center"/>
          </w:tcPr>
          <w:p w14:paraId="298B7920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669" w:type="pct"/>
            <w:noWrap w:val="0"/>
            <w:vAlign w:val="center"/>
          </w:tcPr>
          <w:p w14:paraId="7A30D29D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经验业绩</w:t>
            </w:r>
          </w:p>
          <w:p w14:paraId="5F94B8E7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客观分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64" w:type="pct"/>
            <w:noWrap w:val="0"/>
            <w:vAlign w:val="center"/>
          </w:tcPr>
          <w:p w14:paraId="1F077C45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1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3635" w:type="pct"/>
            <w:noWrap w:val="0"/>
            <w:vAlign w:val="center"/>
          </w:tcPr>
          <w:p w14:paraId="593B51A2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提供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近3年（合同签订日期自202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3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年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月1日起至今）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业绩案例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。（每提供1个得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分；最高得1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分）注：需提供相关业绩的合同复印件，否则将不予认可。</w:t>
            </w:r>
          </w:p>
        </w:tc>
      </w:tr>
      <w:tr w14:paraId="00D5E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330" w:type="pct"/>
            <w:noWrap w:val="0"/>
            <w:vAlign w:val="center"/>
          </w:tcPr>
          <w:p w14:paraId="5E77868B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669" w:type="pct"/>
            <w:noWrap w:val="0"/>
            <w:vAlign w:val="center"/>
          </w:tcPr>
          <w:p w14:paraId="3485C394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服务响应程度</w:t>
            </w:r>
          </w:p>
          <w:p w14:paraId="7DCAF04B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客观分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64" w:type="pct"/>
            <w:noWrap w:val="0"/>
            <w:vAlign w:val="center"/>
          </w:tcPr>
          <w:p w14:paraId="0F6666D7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15</w:t>
            </w:r>
          </w:p>
        </w:tc>
        <w:tc>
          <w:tcPr>
            <w:tcW w:w="3635" w:type="pct"/>
            <w:noWrap w:val="0"/>
            <w:vAlign w:val="center"/>
          </w:tcPr>
          <w:p w14:paraId="7461B042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针对第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二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章中的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采购需求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：不满足技术条款的，每项扣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3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分；扣完为止。</w:t>
            </w:r>
          </w:p>
        </w:tc>
      </w:tr>
      <w:tr w14:paraId="12D96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1" w:hRule="atLeast"/>
          <w:jc w:val="center"/>
        </w:trPr>
        <w:tc>
          <w:tcPr>
            <w:tcW w:w="330" w:type="pct"/>
            <w:noWrap w:val="0"/>
            <w:vAlign w:val="center"/>
          </w:tcPr>
          <w:p w14:paraId="4D422A61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66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4F24434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zh-CN"/>
              </w:rPr>
              <w:t>服务方案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整体质量</w:t>
            </w:r>
          </w:p>
          <w:p w14:paraId="6937CC78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主观分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64" w:type="pct"/>
            <w:noWrap w:val="0"/>
            <w:vAlign w:val="center"/>
          </w:tcPr>
          <w:p w14:paraId="4F3088BC">
            <w:pPr>
              <w:spacing w:line="240" w:lineRule="auto"/>
              <w:jc w:val="center"/>
              <w:rPr>
                <w:rFonts w:hint="default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30</w:t>
            </w:r>
          </w:p>
        </w:tc>
        <w:tc>
          <w:tcPr>
            <w:tcW w:w="3635" w:type="pct"/>
            <w:noWrap w:val="0"/>
            <w:vAlign w:val="center"/>
          </w:tcPr>
          <w:p w14:paraId="0085CA8B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优秀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21～30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分）：方案整体质量高，方案合理可行性强，响应措施及时高效，项目进度安排紧凑合理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。</w:t>
            </w:r>
          </w:p>
          <w:p w14:paraId="0C5C1BD9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良好（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11～20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分）：方案整体质量较好，响应措施尚可，方案个别细节有待进一步完善。</w:t>
            </w:r>
          </w:p>
          <w:p w14:paraId="1CD5D97E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一般（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6～10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分）：方案整体质量一般，合理性与可行性一般，存在风险但总体可控的。</w:t>
            </w:r>
          </w:p>
          <w:p w14:paraId="43A31D4A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较差（0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～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分）：方案整体质量较差，与项目实际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契合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度低的。</w:t>
            </w:r>
          </w:p>
        </w:tc>
      </w:tr>
      <w:tr w14:paraId="32116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330" w:type="pct"/>
            <w:noWrap w:val="0"/>
            <w:vAlign w:val="center"/>
          </w:tcPr>
          <w:p w14:paraId="0820CDCF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669" w:type="pct"/>
            <w:noWrap w:val="0"/>
            <w:vAlign w:val="center"/>
          </w:tcPr>
          <w:p w14:paraId="0F73A171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服务承诺</w:t>
            </w:r>
          </w:p>
          <w:p w14:paraId="09656F32">
            <w:pPr>
              <w:pStyle w:val="13"/>
              <w:jc w:val="left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主观分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64" w:type="pct"/>
            <w:noWrap w:val="0"/>
            <w:vAlign w:val="center"/>
          </w:tcPr>
          <w:p w14:paraId="5282DA09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2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0</w:t>
            </w:r>
          </w:p>
        </w:tc>
        <w:tc>
          <w:tcPr>
            <w:tcW w:w="3635" w:type="pct"/>
            <w:noWrap w:val="0"/>
            <w:vAlign w:val="top"/>
          </w:tcPr>
          <w:p w14:paraId="4AA3E186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优秀（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16～20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分）：服务承诺等合理可行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。</w:t>
            </w:r>
          </w:p>
          <w:p w14:paraId="71512670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良好（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11～15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分）：服务承诺等比较合理。</w:t>
            </w:r>
          </w:p>
          <w:p w14:paraId="295E5700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一般（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6～10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分）：服务承诺等合理性与可行性一般。</w:t>
            </w:r>
          </w:p>
          <w:p w14:paraId="5A4EEF3E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较差（0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～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分）：服务承诺等合理性与可行性较差。</w:t>
            </w:r>
          </w:p>
        </w:tc>
      </w:tr>
    </w:tbl>
    <w:p w14:paraId="07B2BD1D">
      <w:pP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br w:type="page"/>
      </w:r>
    </w:p>
    <w:p w14:paraId="71E5B026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sectPr>
          <w:footerReference r:id="rId3" w:type="default"/>
          <w:pgSz w:w="11906" w:h="16838"/>
          <w:pgMar w:top="1440" w:right="1080" w:bottom="1440" w:left="1080" w:header="851" w:footer="992" w:gutter="0"/>
          <w:pgNumType w:fmt="decimal"/>
          <w:cols w:space="425" w:num="1"/>
          <w:docGrid w:type="lines" w:linePitch="312" w:charSpace="0"/>
        </w:sectPr>
      </w:pPr>
    </w:p>
    <w:p w14:paraId="3E74C2BD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第四章 格式附件</w:t>
      </w:r>
    </w:p>
    <w:p w14:paraId="636BB61B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附件1：报价单</w:t>
      </w:r>
    </w:p>
    <w:p w14:paraId="52D9A168">
      <w:pPr>
        <w:spacing w:line="440" w:lineRule="exact"/>
        <w:jc w:val="center"/>
        <w:rPr>
          <w:rFonts w:hint="default" w:ascii="宋体" w:hAnsi="宋体" w:eastAsia="宋体"/>
          <w:color w:val="auto"/>
          <w:sz w:val="24"/>
          <w:highlight w:val="none"/>
          <w:lang w:val="en-US" w:eastAsia="zh-CN"/>
        </w:rPr>
      </w:pP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</w:rPr>
        <w:t>报   价   单</w:t>
      </w:r>
    </w:p>
    <w:p w14:paraId="50E6B72B">
      <w:pPr>
        <w:spacing w:line="440" w:lineRule="exact"/>
        <w:jc w:val="left"/>
        <w:rPr>
          <w:rFonts w:hint="default" w:ascii="黑体" w:hAnsi="华文楷体" w:eastAsia="黑体"/>
          <w:color w:val="auto"/>
          <w:sz w:val="24"/>
          <w:highlight w:val="none"/>
          <w:lang w:val="en-US" w:eastAsia="zh-CN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 xml:space="preserve">TO: </w:t>
      </w:r>
      <w:r>
        <w:rPr>
          <w:rFonts w:hint="eastAsia" w:ascii="黑体" w:hAnsi="华文楷体" w:eastAsia="黑体"/>
          <w:color w:val="auto"/>
          <w:sz w:val="24"/>
          <w:highlight w:val="none"/>
        </w:rPr>
        <w:t xml:space="preserve"> 上海海事大学 </w:t>
      </w:r>
      <w:r>
        <w:rPr>
          <w:rFonts w:hint="eastAsia" w:ascii="黑体" w:hAnsi="华文楷体" w:eastAsia="黑体"/>
          <w:color w:val="auto"/>
          <w:sz w:val="24"/>
          <w:highlight w:val="none"/>
          <w:lang w:val="en-US" w:eastAsia="zh-CN"/>
        </w:rPr>
        <w:t>采购与招投标管理中心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</w:rPr>
        <w:t xml:space="preserve">           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  <w:lang w:val="en-US" w:eastAsia="zh-CN"/>
        </w:rPr>
        <w:t xml:space="preserve">  </w:t>
      </w:r>
      <w:r>
        <w:rPr>
          <w:rFonts w:hint="eastAsia" w:ascii="黑体" w:hAnsi="华文楷体" w:eastAsia="黑体"/>
          <w:color w:val="auto"/>
          <w:sz w:val="24"/>
          <w:highlight w:val="none"/>
          <w:lang w:val="en-US" w:eastAsia="zh-CN"/>
        </w:rPr>
        <w:t>项目编号：HFBX2026087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</w:rPr>
        <w:t xml:space="preserve"> 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  <w:lang w:val="en-US" w:eastAsia="zh-CN"/>
        </w:rPr>
        <w:t xml:space="preserve">                    </w:t>
      </w:r>
    </w:p>
    <w:p w14:paraId="192C9FAF">
      <w:pPr>
        <w:spacing w:line="440" w:lineRule="exact"/>
        <w:rPr>
          <w:rFonts w:hint="eastAsia" w:ascii="方正仿宋_GB2312" w:hAnsi="方正仿宋_GB2312" w:eastAsia="方正仿宋_GB2312" w:cs="方正仿宋_GB2312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电子邮箱：</w:t>
      </w:r>
      <w:r>
        <w:rPr>
          <w:rFonts w:ascii="黑体" w:hAnsi="华文楷体" w:eastAsia="黑体"/>
          <w:b/>
          <w:color w:val="auto"/>
          <w:sz w:val="24"/>
          <w:highlight w:val="none"/>
        </w:rPr>
        <w:fldChar w:fldCharType="begin"/>
      </w:r>
      <w:r>
        <w:rPr>
          <w:rFonts w:ascii="黑体" w:hAnsi="华文楷体" w:eastAsia="黑体"/>
          <w:b/>
          <w:color w:val="auto"/>
          <w:sz w:val="24"/>
          <w:highlight w:val="none"/>
        </w:rPr>
        <w:instrText xml:space="preserve"> HYPERLINK "mailto:quotation@shmtu.edu.cn" </w:instrText>
      </w:r>
      <w:r>
        <w:rPr>
          <w:rFonts w:ascii="黑体" w:hAnsi="华文楷体" w:eastAsia="黑体"/>
          <w:b/>
          <w:color w:val="auto"/>
          <w:sz w:val="24"/>
          <w:highlight w:val="none"/>
        </w:rPr>
        <w:fldChar w:fldCharType="separate"/>
      </w:r>
      <w:r>
        <w:rPr>
          <w:rStyle w:val="18"/>
          <w:rFonts w:ascii="黑体" w:hAnsi="华文楷体" w:eastAsia="黑体"/>
          <w:b/>
          <w:color w:val="auto"/>
          <w:sz w:val="24"/>
          <w:highlight w:val="none"/>
        </w:rPr>
        <w:t>quotation@shmtu.edu.cn</w:t>
      </w:r>
      <w:r>
        <w:rPr>
          <w:rFonts w:ascii="黑体" w:hAnsi="华文楷体" w:eastAsia="黑体"/>
          <w:b/>
          <w:color w:val="auto"/>
          <w:sz w:val="24"/>
          <w:highlight w:val="none"/>
        </w:rPr>
        <w:fldChar w:fldCharType="end"/>
      </w:r>
    </w:p>
    <w:p w14:paraId="1D25A65B">
      <w:pPr>
        <w:spacing w:line="440" w:lineRule="exact"/>
        <w:rPr>
          <w:rFonts w:ascii="黑体" w:hAnsi="华文楷体" w:eastAsia="黑体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公司名称：</w:t>
      </w:r>
      <w:r>
        <w:rPr>
          <w:rFonts w:hint="eastAsia" w:ascii="黑体" w:hAnsi="华文楷体" w:eastAsia="黑体"/>
          <w:color w:val="auto"/>
          <w:sz w:val="24"/>
          <w:highlight w:val="none"/>
        </w:rPr>
        <w:t xml:space="preserve">                                                </w:t>
      </w:r>
      <w:r>
        <w:rPr>
          <w:rFonts w:hint="eastAsia" w:ascii="黑体" w:hAnsi="华文楷体" w:eastAsia="黑体"/>
          <w:b/>
          <w:color w:val="auto"/>
          <w:sz w:val="24"/>
          <w:highlight w:val="none"/>
        </w:rPr>
        <w:t>联系人：</w:t>
      </w:r>
    </w:p>
    <w:p w14:paraId="0416696A">
      <w:pPr>
        <w:spacing w:line="440" w:lineRule="exact"/>
        <w:rPr>
          <w:rFonts w:ascii="黑体" w:hAnsi="华文楷体" w:eastAsia="黑体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电子邮箱：                                                公司地址：</w:t>
      </w:r>
    </w:p>
    <w:p w14:paraId="096E10B9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电话：                                                    联系人手机：</w:t>
      </w:r>
    </w:p>
    <w:tbl>
      <w:tblPr>
        <w:tblStyle w:val="14"/>
        <w:tblW w:w="4987" w:type="pct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28" w:type="dxa"/>
          <w:bottom w:w="0" w:type="dxa"/>
          <w:right w:w="28" w:type="dxa"/>
        </w:tblCellMar>
      </w:tblPr>
      <w:tblGrid>
        <w:gridCol w:w="612"/>
        <w:gridCol w:w="3725"/>
        <w:gridCol w:w="2566"/>
        <w:gridCol w:w="2868"/>
      </w:tblGrid>
      <w:tr w14:paraId="579A946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0" w:hRule="exact"/>
        </w:trPr>
        <w:tc>
          <w:tcPr>
            <w:tcW w:w="313" w:type="pct"/>
            <w:tcBorders>
              <w:top w:val="single" w:color="auto" w:sz="12" w:space="0"/>
              <w:left w:val="single" w:color="auto" w:sz="12" w:space="0"/>
              <w:bottom w:val="double" w:color="auto" w:sz="4" w:space="0"/>
            </w:tcBorders>
            <w:noWrap w:val="0"/>
            <w:vAlign w:val="center"/>
          </w:tcPr>
          <w:p w14:paraId="474CD489">
            <w:pPr>
              <w:tabs>
                <w:tab w:val="left" w:pos="7020"/>
              </w:tabs>
              <w:jc w:val="center"/>
              <w:rPr>
                <w:rFonts w:ascii="黑体" w:hAnsi="黑体" w:eastAsia="黑体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</w:rPr>
              <w:t>序号</w:t>
            </w:r>
          </w:p>
        </w:tc>
        <w:tc>
          <w:tcPr>
            <w:tcW w:w="1906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73B7305B">
            <w:pPr>
              <w:tabs>
                <w:tab w:val="left" w:pos="7020"/>
              </w:tabs>
              <w:jc w:val="center"/>
              <w:rPr>
                <w:rFonts w:ascii="黑体" w:hAnsi="黑体" w:eastAsia="黑体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</w:rPr>
              <w:t>项目名称</w:t>
            </w:r>
          </w:p>
        </w:tc>
        <w:tc>
          <w:tcPr>
            <w:tcW w:w="1313" w:type="pct"/>
            <w:tcBorders>
              <w:top w:val="single" w:color="auto" w:sz="12" w:space="0"/>
              <w:bottom w:val="double" w:color="auto" w:sz="4" w:space="0"/>
              <w:right w:val="single" w:color="auto" w:sz="4" w:space="0"/>
            </w:tcBorders>
            <w:noWrap w:val="0"/>
            <w:vAlign w:val="center"/>
          </w:tcPr>
          <w:p w14:paraId="4894B890">
            <w:pPr>
              <w:tabs>
                <w:tab w:val="left" w:pos="7020"/>
              </w:tabs>
              <w:jc w:val="center"/>
              <w:rPr>
                <w:rFonts w:hint="default" w:ascii="黑体" w:hAnsi="黑体" w:eastAsia="黑体"/>
                <w:b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  <w:lang w:val="en-US" w:eastAsia="zh-CN"/>
              </w:rPr>
              <w:t>项目报价（元）</w:t>
            </w:r>
          </w:p>
        </w:tc>
        <w:tc>
          <w:tcPr>
            <w:tcW w:w="1467" w:type="pct"/>
            <w:tcBorders>
              <w:top w:val="single" w:color="auto" w:sz="12" w:space="0"/>
              <w:left w:val="single" w:color="auto" w:sz="4" w:space="0"/>
              <w:bottom w:val="double" w:color="auto" w:sz="4" w:space="0"/>
              <w:right w:val="single" w:color="auto" w:sz="12" w:space="0"/>
            </w:tcBorders>
            <w:noWrap w:val="0"/>
            <w:vAlign w:val="center"/>
          </w:tcPr>
          <w:p w14:paraId="1DA56D7A">
            <w:pPr>
              <w:tabs>
                <w:tab w:val="left" w:pos="7020"/>
              </w:tabs>
              <w:jc w:val="center"/>
              <w:rPr>
                <w:rFonts w:hint="default" w:ascii="黑体" w:hAnsi="黑体" w:eastAsia="黑体"/>
                <w:b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  <w:lang w:val="en-US" w:eastAsia="zh-CN"/>
              </w:rPr>
              <w:t>备注</w:t>
            </w:r>
          </w:p>
        </w:tc>
      </w:tr>
      <w:tr w14:paraId="579C94B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705" w:hRule="exact"/>
        </w:trPr>
        <w:tc>
          <w:tcPr>
            <w:tcW w:w="313" w:type="pct"/>
            <w:tcBorders>
              <w:top w:val="double" w:color="auto" w:sz="4" w:space="0"/>
              <w:left w:val="single" w:color="auto" w:sz="12" w:space="0"/>
              <w:bottom w:val="double" w:color="auto" w:sz="4" w:space="0"/>
            </w:tcBorders>
            <w:noWrap w:val="0"/>
            <w:vAlign w:val="center"/>
          </w:tcPr>
          <w:p w14:paraId="384D002E">
            <w:pPr>
              <w:tabs>
                <w:tab w:val="left" w:pos="7020"/>
              </w:tabs>
              <w:jc w:val="center"/>
              <w:rPr>
                <w:rFonts w:ascii="黑体" w:hAnsi="黑体" w:eastAsia="黑体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</w:rPr>
              <w:t>1</w:t>
            </w:r>
          </w:p>
        </w:tc>
        <w:tc>
          <w:tcPr>
            <w:tcW w:w="1906" w:type="pct"/>
            <w:tcBorders>
              <w:top w:val="double" w:color="auto" w:sz="4" w:space="0"/>
              <w:bottom w:val="double" w:color="auto" w:sz="4" w:space="0"/>
            </w:tcBorders>
            <w:noWrap w:val="0"/>
            <w:vAlign w:val="center"/>
          </w:tcPr>
          <w:p w14:paraId="6719B3FD">
            <w:pPr>
              <w:tabs>
                <w:tab w:val="left" w:pos="7020"/>
              </w:tabs>
              <w:jc w:val="center"/>
              <w:rPr>
                <w:rFonts w:hint="eastAsia" w:ascii="黑体" w:hAnsi="黑体" w:eastAsia="黑体" w:cs="Times New Roman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  <w:lang w:val="en-US" w:eastAsia="zh-CN"/>
              </w:rPr>
              <w:t>《航海大学英语读写译教程》第一、二册数字教材出版服务</w:t>
            </w:r>
          </w:p>
        </w:tc>
        <w:tc>
          <w:tcPr>
            <w:tcW w:w="1313" w:type="pct"/>
            <w:tcBorders>
              <w:top w:val="double" w:color="auto" w:sz="4" w:space="0"/>
              <w:bottom w:val="double" w:color="auto" w:sz="4" w:space="0"/>
              <w:right w:val="single" w:color="auto" w:sz="4" w:space="0"/>
            </w:tcBorders>
            <w:noWrap w:val="0"/>
            <w:vAlign w:val="center"/>
          </w:tcPr>
          <w:p w14:paraId="03A2AFB4">
            <w:pPr>
              <w:tabs>
                <w:tab w:val="left" w:pos="7020"/>
              </w:tabs>
              <w:jc w:val="center"/>
              <w:rPr>
                <w:rFonts w:hint="default"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1467" w:type="pct"/>
            <w:tcBorders>
              <w:top w:val="double" w:color="auto" w:sz="4" w:space="0"/>
              <w:left w:val="single" w:color="auto" w:sz="4" w:space="0"/>
              <w:bottom w:val="double" w:color="auto" w:sz="4" w:space="0"/>
              <w:right w:val="single" w:color="auto" w:sz="12" w:space="0"/>
            </w:tcBorders>
            <w:noWrap w:val="0"/>
            <w:vAlign w:val="center"/>
          </w:tcPr>
          <w:p w14:paraId="3F20429A">
            <w:pPr>
              <w:tabs>
                <w:tab w:val="left" w:pos="7020"/>
              </w:tabs>
              <w:jc w:val="center"/>
              <w:rPr>
                <w:rFonts w:hint="default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  <w:lang w:val="en-US" w:eastAsia="zh-CN"/>
              </w:rPr>
              <w:t>我方承诺合同签订后6个月内完成两册数字教材正式出版、平台部署上线</w:t>
            </w:r>
          </w:p>
        </w:tc>
      </w:tr>
      <w:tr w14:paraId="5510E56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0" w:hRule="exact"/>
        </w:trPr>
        <w:tc>
          <w:tcPr>
            <w:tcW w:w="2219" w:type="pct"/>
            <w:gridSpan w:val="2"/>
            <w:tcBorders>
              <w:top w:val="doub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 w14:paraId="0F13BD8C">
            <w:pPr>
              <w:tabs>
                <w:tab w:val="left" w:pos="7020"/>
              </w:tabs>
              <w:jc w:val="center"/>
              <w:rPr>
                <w:rFonts w:ascii="黑体" w:hAnsi="黑体" w:eastAsia="黑体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</w:rPr>
              <w:t>合计金额（人民币）</w:t>
            </w:r>
          </w:p>
        </w:tc>
        <w:tc>
          <w:tcPr>
            <w:tcW w:w="2780" w:type="pct"/>
            <w:gridSpan w:val="2"/>
            <w:tcBorders>
              <w:top w:val="doub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70C7A344">
            <w:pPr>
              <w:tabs>
                <w:tab w:val="left" w:pos="7020"/>
              </w:tabs>
              <w:jc w:val="center"/>
              <w:rPr>
                <w:rFonts w:ascii="黑体" w:hAnsi="黑体" w:eastAsia="黑体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</w:rPr>
              <w:t>￥           （大写）：</w:t>
            </w:r>
          </w:p>
        </w:tc>
      </w:tr>
    </w:tbl>
    <w:p w14:paraId="0F0EB054">
      <w:pPr>
        <w:spacing w:line="440" w:lineRule="exact"/>
        <w:rPr>
          <w:rFonts w:ascii="黑体" w:hAnsi="华文楷体" w:eastAsia="黑体"/>
          <w:color w:val="auto"/>
          <w:sz w:val="24"/>
          <w:highlight w:val="none"/>
        </w:rPr>
      </w:pPr>
    </w:p>
    <w:p w14:paraId="2983B437">
      <w:pPr>
        <w:spacing w:line="440" w:lineRule="exact"/>
        <w:rPr>
          <w:rFonts w:hint="eastAsia" w:ascii="黑体" w:hAnsi="华文楷体" w:eastAsia="黑体"/>
          <w:color w:val="auto"/>
          <w:sz w:val="24"/>
          <w:highlight w:val="none"/>
        </w:rPr>
      </w:pPr>
      <w:r>
        <w:rPr>
          <w:rFonts w:hint="eastAsia" w:ascii="黑体" w:hAnsi="华文楷体" w:eastAsia="黑体"/>
          <w:color w:val="auto"/>
          <w:sz w:val="24"/>
          <w:highlight w:val="none"/>
        </w:rPr>
        <w:t>公司名称（盖章）：           委托代理人（签字）：        报价日期：      年    月   日</w:t>
      </w:r>
    </w:p>
    <w:p w14:paraId="3D1E3BE6">
      <w:pPr>
        <w:spacing w:line="440" w:lineRule="exact"/>
        <w:rPr>
          <w:rFonts w:hint="eastAsia" w:ascii="黑体" w:hAnsi="华文楷体" w:eastAsia="黑体"/>
          <w:color w:val="auto"/>
          <w:sz w:val="24"/>
          <w:highlight w:val="none"/>
        </w:rPr>
      </w:pPr>
    </w:p>
    <w:p w14:paraId="0AB850DE">
      <w:pPr>
        <w:rPr>
          <w:rFonts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>报价说明：1、报价公司提供的上述产品，应完全满足或者优于我校提出的需求。</w:t>
      </w:r>
    </w:p>
    <w:p w14:paraId="2BC4FDED">
      <w:pPr>
        <w:rPr>
          <w:rFonts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 xml:space="preserve">          2、如属非标配产品，其技术指标（特别是优于我校需求的部分）请另行附页说明。</w:t>
      </w:r>
    </w:p>
    <w:p w14:paraId="38CF93AD">
      <w:pPr>
        <w:rPr>
          <w:rFonts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 xml:space="preserve">          3、特殊的售后服务措施、代理证明情况等需要说明的，请另行附页说明。</w:t>
      </w:r>
    </w:p>
    <w:p w14:paraId="020FDD5C">
      <w:pPr>
        <w:rPr>
          <w:rFonts w:hint="eastAsia"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 xml:space="preserve">          4、报价单附页（如有）共</w:t>
      </w:r>
      <w:r>
        <w:rPr>
          <w:rFonts w:hint="eastAsia" w:ascii="黑体" w:hAnsi="华文楷体" w:eastAsia="黑体"/>
          <w:color w:val="auto"/>
          <w:szCs w:val="21"/>
          <w:highlight w:val="none"/>
          <w:u w:val="single"/>
        </w:rPr>
        <w:t xml:space="preserve">      </w:t>
      </w:r>
      <w:r>
        <w:rPr>
          <w:rFonts w:hint="eastAsia" w:ascii="黑体" w:hAnsi="华文楷体" w:eastAsia="黑体"/>
          <w:color w:val="auto"/>
          <w:szCs w:val="21"/>
          <w:highlight w:val="none"/>
        </w:rPr>
        <w:t>页。</w:t>
      </w:r>
    </w:p>
    <w:p w14:paraId="71A36308">
      <w:pP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  <w:lang w:val="en-US" w:eastAsia="zh-CN"/>
        </w:rPr>
      </w:pPr>
      <w: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  <w:lang w:val="en-US" w:eastAsia="zh-CN"/>
        </w:rPr>
        <w:br w:type="page"/>
      </w:r>
    </w:p>
    <w:p w14:paraId="0D7FB27B">
      <w:pPr>
        <w:spacing w:after="120" w:afterLines="50" w:line="240" w:lineRule="auto"/>
        <w:ind w:left="0" w:leftChars="0" w:firstLine="0" w:firstLineChars="0"/>
        <w:jc w:val="center"/>
        <w:rPr>
          <w:rFonts w:ascii="仿宋" w:hAnsi="仿宋" w:eastAsia="仿宋"/>
          <w:b/>
          <w:bCs/>
          <w:color w:val="auto"/>
          <w:kern w:val="0"/>
          <w:sz w:val="36"/>
          <w:szCs w:val="36"/>
          <w:highlight w:val="none"/>
        </w:rPr>
      </w:pPr>
      <w: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  <w:lang w:val="en-US" w:eastAsia="zh-CN"/>
        </w:rPr>
        <w:t>报价</w:t>
      </w:r>
      <w: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</w:rPr>
        <w:t>承诺函</w:t>
      </w:r>
    </w:p>
    <w:p w14:paraId="154139ED">
      <w:pPr>
        <w:spacing w:after="120" w:afterLines="50" w:line="240" w:lineRule="auto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致：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上海海事大学</w:t>
      </w:r>
    </w:p>
    <w:p w14:paraId="37C42137">
      <w:pPr>
        <w:spacing w:after="120" w:afterLines="50" w:line="240" w:lineRule="auto"/>
        <w:ind w:left="0" w:leftChars="0" w:firstLine="480" w:firstLineChars="200"/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我</w:t>
      </w:r>
      <w:r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  <w:t>公司在参加本次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比选采购</w:t>
      </w:r>
      <w:r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  <w:t>活动中，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做如下</w:t>
      </w:r>
      <w:r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  <w:t>承诺：</w:t>
      </w:r>
    </w:p>
    <w:p w14:paraId="46C0BB39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一、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具备独立法人资格，能够独立承担民事责任。</w:t>
      </w:r>
    </w:p>
    <w:p w14:paraId="50EE2300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二、我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财务状况良好，具备履行合同所需资金实力。</w:t>
      </w:r>
    </w:p>
    <w:p w14:paraId="3F8FCAE5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三、我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拥有履行项目所需的专业技术人员和先进的生产设备。</w:t>
      </w:r>
    </w:p>
    <w:p w14:paraId="45943AA8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四、我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依法纳税，并按时缴纳社会保险费。</w:t>
      </w:r>
    </w:p>
    <w:p w14:paraId="0F0C6E90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五、我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在最近三年内无任何违法违规行为，信誉良好。</w:t>
      </w:r>
    </w:p>
    <w:p w14:paraId="3EF4200C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六、我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完全符合政府采购法及其他相关法律法规的规定。</w:t>
      </w:r>
    </w:p>
    <w:p w14:paraId="072F3ABB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七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、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公司提供的相关文件均真实、有效。</w:t>
      </w:r>
    </w:p>
    <w:p w14:paraId="1E86BCEA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八、我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公司未挂靠、借用资质进行投标等违法违规行为。</w:t>
      </w:r>
    </w:p>
    <w:p w14:paraId="1961C25F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九、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我公司承诺在参加本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次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采购活动中，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不存在串标围标行为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，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不存在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损害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校方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或者其他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报价单位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利益的行为。</w:t>
      </w:r>
    </w:p>
    <w:p w14:paraId="1B3C8AA7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十、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公司管理层中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没有从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贵校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离职或退休3年以内的人员担任控股股东或实际控股人、董事、监事，也没有聘用从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贵校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离职或退休3年以内的人员。</w:t>
      </w:r>
    </w:p>
    <w:p w14:paraId="3FE2B1FA">
      <w:pPr>
        <w:spacing w:after="120" w:afterLines="50" w:line="240" w:lineRule="auto"/>
        <w:ind w:left="0" w:leftChars="0" w:firstLine="480" w:firstLineChars="200"/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我公司保证上述声明真实无误，如有不实，愿承担相应法律责任。</w:t>
      </w:r>
    </w:p>
    <w:p w14:paraId="2C38F8B9">
      <w:pPr>
        <w:spacing w:after="120" w:afterLines="50" w:line="240" w:lineRule="auto"/>
        <w:ind w:left="0" w:leftChars="0" w:firstLine="0" w:firstLineChars="0"/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</w:pPr>
    </w:p>
    <w:p w14:paraId="09B2690C">
      <w:pPr>
        <w:spacing w:after="120" w:afterLines="50" w:line="240" w:lineRule="auto"/>
        <w:ind w:left="0" w:leftChars="0" w:firstLine="0" w:firstLineChars="0"/>
        <w:rPr>
          <w:rFonts w:ascii="黑体" w:hAnsi="华文楷体" w:eastAsia="黑体"/>
          <w:b/>
          <w:bCs/>
          <w:color w:val="auto"/>
          <w:sz w:val="32"/>
          <w:szCs w:val="32"/>
          <w:highlight w:val="none"/>
        </w:rPr>
      </w:pPr>
      <w:r>
        <w:rPr>
          <w:rFonts w:hint="eastAsia" w:ascii="黑体" w:hAnsi="华文楷体" w:eastAsia="黑体"/>
          <w:color w:val="auto"/>
          <w:sz w:val="24"/>
          <w:szCs w:val="24"/>
          <w:highlight w:val="none"/>
        </w:rPr>
        <w:t>公司名称（盖章）：                              委托代理人（签字）：</w:t>
      </w:r>
    </w:p>
    <w:p w14:paraId="2D04C0D2">
      <w:pPr>
        <w:pStyle w:val="5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</w:p>
    <w:p w14:paraId="3F5F1DB4">
      <w:pPr>
        <w:pStyle w:val="5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</w:p>
    <w:p w14:paraId="086B01F9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sectPr>
          <w:pgSz w:w="11906" w:h="16838"/>
          <w:pgMar w:top="1440" w:right="1083" w:bottom="1440" w:left="1083" w:header="851" w:footer="992" w:gutter="0"/>
          <w:pgNumType w:fmt="decimal"/>
          <w:cols w:space="0" w:num="1"/>
          <w:rtlGutter w:val="0"/>
          <w:docGrid w:type="lines" w:linePitch="314" w:charSpace="0"/>
        </w:sectPr>
      </w:pPr>
    </w:p>
    <w:p w14:paraId="67BD576D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附件2：其他材料</w:t>
      </w:r>
    </w:p>
    <w:p w14:paraId="64950263">
      <w:pPr>
        <w:pStyle w:val="4"/>
        <w:ind w:left="0" w:leftChars="0" w:firstLine="0" w:firstLineChars="0"/>
        <w:rPr>
          <w:rFonts w:hint="default"/>
          <w:color w:val="auto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包括但不限于：</w:t>
      </w:r>
    </w:p>
    <w:p w14:paraId="0B07932C">
      <w:pPr>
        <w:pStyle w:val="4"/>
        <w:numPr>
          <w:ilvl w:val="0"/>
          <w:numId w:val="0"/>
        </w:numPr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1、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营业执照扫描件</w:t>
      </w:r>
    </w:p>
    <w:p w14:paraId="43613652">
      <w:pPr>
        <w:pStyle w:val="4"/>
        <w:numPr>
          <w:ilvl w:val="0"/>
          <w:numId w:val="0"/>
        </w:numPr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</w:pPr>
      <w:r>
        <w:rPr>
          <w:rFonts w:hint="eastAsia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2、出版许可资质证明</w:t>
      </w:r>
    </w:p>
    <w:p w14:paraId="2B48E574">
      <w:pPr>
        <w:pStyle w:val="4"/>
        <w:numPr>
          <w:ilvl w:val="0"/>
          <w:numId w:val="0"/>
        </w:numPr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3、图书出版方案</w:t>
      </w:r>
    </w:p>
    <w:p w14:paraId="5856E4F7">
      <w:pPr>
        <w:pStyle w:val="4"/>
        <w:numPr>
          <w:ilvl w:val="0"/>
          <w:numId w:val="0"/>
        </w:numPr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4</w:t>
      </w:r>
      <w:r>
        <w:rPr>
          <w:rFonts w:hint="default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服务保障承诺</w:t>
      </w:r>
    </w:p>
    <w:p w14:paraId="0E222C46">
      <w:pPr>
        <w:pStyle w:val="4"/>
        <w:numPr>
          <w:ilvl w:val="0"/>
          <w:numId w:val="0"/>
        </w:numPr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5</w:t>
      </w:r>
      <w:r>
        <w:rPr>
          <w:rFonts w:hint="default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业绩案例</w:t>
      </w:r>
    </w:p>
    <w:p w14:paraId="575220FA">
      <w:pPr>
        <w:pStyle w:val="4"/>
        <w:numPr>
          <w:ilvl w:val="0"/>
          <w:numId w:val="0"/>
        </w:numPr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6、其他所必需的相关材料</w:t>
      </w:r>
    </w:p>
    <w:sectPr>
      <w:pgSz w:w="11906" w:h="16838"/>
      <w:pgMar w:top="1440" w:right="1083" w:bottom="1440" w:left="1083" w:header="851" w:footer="992" w:gutter="0"/>
      <w:pgNumType w:fmt="decimal"/>
      <w:cols w:space="0" w:num="1"/>
      <w:rtlGutter w:val="0"/>
      <w:docGrid w:type="lines"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DDE14B3-A6F6-472C-BBC9-3CDB23CBEF9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44C632CC-6063-420F-A06C-A89B82A898A7}"/>
  </w:font>
  <w:font w:name="方正兰亭黑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12F2F0B5-2EA0-452C-8C71-9112B44A1704}"/>
  </w:font>
  <w:font w:name="华文楷体">
    <w:panose1 w:val="02010600040101010101"/>
    <w:charset w:val="86"/>
    <w:family w:val="auto"/>
    <w:pitch w:val="default"/>
    <w:sig w:usb0="A00002BF" w:usb1="78CF7CFB" w:usb2="00000016" w:usb3="00000000" w:csb0="6006009F" w:csb1="DFD70000"/>
    <w:embedRegular r:id="rId4" w:fontKey="{5E1C6FA3-C62E-4A3F-8F32-DA8CC39437F0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A8E47970-1A4F-4977-B1D1-B60A2B03F21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004925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C62FB9A">
                          <w:pPr>
                            <w:pStyle w:val="7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C62FB9A">
                    <w:pPr>
                      <w:pStyle w:val="7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8D2EBEB"/>
    <w:multiLevelType w:val="singleLevel"/>
    <w:tmpl w:val="E8D2EBEB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7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675436"/>
    <w:rsid w:val="029C08D4"/>
    <w:rsid w:val="13353790"/>
    <w:rsid w:val="157E6317"/>
    <w:rsid w:val="19F06820"/>
    <w:rsid w:val="1E596D71"/>
    <w:rsid w:val="21C07B72"/>
    <w:rsid w:val="24050543"/>
    <w:rsid w:val="269F2B16"/>
    <w:rsid w:val="2FB07FD7"/>
    <w:rsid w:val="33B3033B"/>
    <w:rsid w:val="35906085"/>
    <w:rsid w:val="3A9852E0"/>
    <w:rsid w:val="3D6469F5"/>
    <w:rsid w:val="3FCC680A"/>
    <w:rsid w:val="3FDF48A5"/>
    <w:rsid w:val="40115E5B"/>
    <w:rsid w:val="40134FEB"/>
    <w:rsid w:val="41007DAA"/>
    <w:rsid w:val="438704B0"/>
    <w:rsid w:val="480A63EB"/>
    <w:rsid w:val="487158D1"/>
    <w:rsid w:val="488E3B06"/>
    <w:rsid w:val="4CCA439B"/>
    <w:rsid w:val="4EFD134C"/>
    <w:rsid w:val="543D6D6A"/>
    <w:rsid w:val="58C4549A"/>
    <w:rsid w:val="5AEA704B"/>
    <w:rsid w:val="5DF2219B"/>
    <w:rsid w:val="5E8720EC"/>
    <w:rsid w:val="5EE9209B"/>
    <w:rsid w:val="5F44384A"/>
    <w:rsid w:val="60BF2A71"/>
    <w:rsid w:val="66E533C4"/>
    <w:rsid w:val="681A51E0"/>
    <w:rsid w:val="695E3370"/>
    <w:rsid w:val="699D5EE7"/>
    <w:rsid w:val="6B99520C"/>
    <w:rsid w:val="75BE1C93"/>
    <w:rsid w:val="79311F78"/>
    <w:rsid w:val="7CFA5264"/>
    <w:rsid w:val="7EF81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qFormat="1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6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99"/>
    <w:pPr>
      <w:jc w:val="left"/>
    </w:pPr>
    <w:rPr>
      <w:kern w:val="0"/>
      <w:sz w:val="20"/>
      <w:szCs w:val="20"/>
    </w:r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Body Text Indent"/>
    <w:basedOn w:val="1"/>
    <w:qFormat/>
    <w:uiPriority w:val="0"/>
    <w:pPr>
      <w:ind w:left="420" w:leftChars="200"/>
    </w:pPr>
  </w:style>
  <w:style w:type="paragraph" w:styleId="5">
    <w:name w:val="Plain Text"/>
    <w:basedOn w:val="1"/>
    <w:qFormat/>
    <w:uiPriority w:val="0"/>
    <w:rPr>
      <w:rFonts w:ascii="宋体" w:hAnsi="Courier New"/>
    </w:rPr>
  </w:style>
  <w:style w:type="paragraph" w:styleId="6">
    <w:name w:val="Body Text Indent 2"/>
    <w:basedOn w:val="1"/>
    <w:unhideWhenUsed/>
    <w:qFormat/>
    <w:uiPriority w:val="0"/>
    <w:pPr>
      <w:ind w:firstLine="540"/>
    </w:pPr>
    <w:rPr>
      <w:rFonts w:ascii="Calibri" w:hAnsi="Calibri"/>
      <w:sz w:val="28"/>
      <w:szCs w:val="20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toc 1"/>
    <w:basedOn w:val="1"/>
    <w:next w:val="1"/>
    <w:unhideWhenUsed/>
    <w:qFormat/>
    <w:uiPriority w:val="39"/>
    <w:rPr>
      <w:rFonts w:ascii="Calibri" w:hAnsi="Calibri" w:eastAsia="宋体" w:cs="Times New Roman"/>
    </w:rPr>
  </w:style>
  <w:style w:type="paragraph" w:styleId="10">
    <w:name w:val="Body Text Indent 3"/>
    <w:basedOn w:val="1"/>
    <w:qFormat/>
    <w:uiPriority w:val="0"/>
    <w:pPr>
      <w:ind w:firstLine="600" w:firstLineChars="200"/>
    </w:pPr>
    <w:rPr>
      <w:color w:val="FF0000"/>
      <w:sz w:val="30"/>
      <w:szCs w:val="20"/>
    </w:rPr>
  </w:style>
  <w:style w:type="paragraph" w:styleId="11">
    <w:name w:val="Body Text 2"/>
    <w:basedOn w:val="1"/>
    <w:qFormat/>
    <w:uiPriority w:val="0"/>
    <w:pPr>
      <w:spacing w:after="120" w:line="480" w:lineRule="auto"/>
    </w:pPr>
    <w:rPr>
      <w:szCs w:val="24"/>
    </w:rPr>
  </w:style>
  <w:style w:type="paragraph" w:styleId="1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3">
    <w:name w:val="Body Text First Indent"/>
    <w:basedOn w:val="3"/>
    <w:qFormat/>
    <w:uiPriority w:val="0"/>
    <w:pPr>
      <w:widowControl/>
      <w:spacing w:after="120"/>
      <w:ind w:firstLine="420" w:firstLineChars="100"/>
      <w:jc w:val="left"/>
    </w:pPr>
    <w:rPr>
      <w:rFonts w:ascii="Times New Roman"/>
    </w:r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qFormat/>
    <w:uiPriority w:val="22"/>
    <w:rPr>
      <w:b/>
      <w:bCs/>
    </w:rPr>
  </w:style>
  <w:style w:type="character" w:styleId="18">
    <w:name w:val="Hyperlink"/>
    <w:basedOn w:val="16"/>
    <w:unhideWhenUsed/>
    <w:qFormat/>
    <w:uiPriority w:val="99"/>
    <w:rPr>
      <w:color w:val="0000FF"/>
      <w:u w:val="single"/>
    </w:rPr>
  </w:style>
  <w:style w:type="paragraph" w:customStyle="1" w:styleId="19">
    <w:name w:val="列表段落1"/>
    <w:basedOn w:val="1"/>
    <w:qFormat/>
    <w:uiPriority w:val="0"/>
    <w:pPr>
      <w:ind w:firstLine="420" w:firstLineChars="200"/>
    </w:pPr>
  </w:style>
  <w:style w:type="paragraph" w:customStyle="1" w:styleId="20">
    <w:name w:val="Default"/>
    <w:qFormat/>
    <w:uiPriority w:val="0"/>
    <w:pPr>
      <w:widowControl w:val="0"/>
      <w:autoSpaceDE w:val="0"/>
      <w:autoSpaceDN w:val="0"/>
      <w:adjustRightInd w:val="0"/>
    </w:pPr>
    <w:rPr>
      <w:rFonts w:ascii="楷体" w:hAnsi="Times New Roman" w:eastAsia="楷体" w:cs="楷体"/>
      <w:color w:val="000000"/>
      <w:sz w:val="24"/>
      <w:szCs w:val="24"/>
      <w:lang w:val="en-US" w:eastAsia="zh-CN" w:bidi="ar-SA"/>
    </w:rPr>
  </w:style>
  <w:style w:type="character" w:customStyle="1" w:styleId="21">
    <w:name w:val="15"/>
    <w:basedOn w:val="16"/>
    <w:qFormat/>
    <w:uiPriority w:val="0"/>
    <w:rPr>
      <w:rFonts w:hint="default" w:ascii="Calibri" w:hAnsi="Calibri" w:cs="Calibri"/>
      <w:b/>
      <w:bCs/>
    </w:rPr>
  </w:style>
  <w:style w:type="paragraph" w:styleId="22">
    <w:name w:val="List Paragraph"/>
    <w:basedOn w:val="1"/>
    <w:qFormat/>
    <w:uiPriority w:val="34"/>
    <w:pPr>
      <w:ind w:left="720"/>
      <w:contextualSpacing/>
    </w:pPr>
  </w:style>
  <w:style w:type="table" w:customStyle="1" w:styleId="2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4">
    <w:name w:val="表格正文内容"/>
    <w:basedOn w:val="1"/>
    <w:next w:val="1"/>
    <w:autoRedefine/>
    <w:qFormat/>
    <w:uiPriority w:val="0"/>
    <w:pPr>
      <w:widowControl/>
      <w:spacing w:line="360" w:lineRule="exact"/>
      <w:jc w:val="left"/>
    </w:pPr>
    <w:rPr>
      <w:rFonts w:ascii="楷体_GB2312" w:hAnsi="方正小标宋简体" w:eastAsia="仿宋_GB2312" w:cs="仿宋"/>
      <w:sz w:val="24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2509</Words>
  <Characters>2666</Characters>
  <Lines>0</Lines>
  <Paragraphs>0</Paragraphs>
  <TotalTime>1</TotalTime>
  <ScaleCrop>false</ScaleCrop>
  <LinksUpToDate>false</LinksUpToDate>
  <CharactersWithSpaces>2669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2025-04-03T05:09:00Z</dcterms:created>
  <dc:creator>HP</dc:creator>
  <cp:lastModifiedBy>仲杰</cp:lastModifiedBy>
  <dcterms:modified xsi:type="dcterms:W3CDTF">2026-10-08T01:28:06Z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eyJoZGlkIjoiMjQzMjJjYTEzYzEzMjVjOGIxYWQwMTc0ZTUwZGE2YjIiLCJ1c2VySWQiOiIyOTgyOTgyOTEifQ==</vt:lpwstr>
  </property>
  <property fmtid="{D5CDD505-2E9C-101B-9397-08002B2CF9AE}" pid="4" name="ICV">
    <vt:lpwstr>2BFD31D5F3FB4B709DBC969892577809_12</vt:lpwstr>
  </property>
</Properties>
</file>